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A5A5A"/>
          <w:sz w:val="24"/>
        </w:rPr>
        <w:t>BELGİN KUYUMCULUK - SEMİH SONBAHAR</w:t>
      </w:r>
    </w:p>
    <w:p>
      <w:pPr>
        <w:pStyle w:val="Title"/>
        <w:jc w:val="center"/>
      </w:pPr>
      <w:r>
        <w:t>KVKK MÜŞTERİ AYDINLATMA METNİ</w:t>
      </w:r>
    </w:p>
    <w:p>
      <w:r>
        <w:t>Sürüm: 25.08.2026 | Türkiye Cumhuriyeti mevzuatına göre hazırlanmış web/e-ticaret taslak seti.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7EEF7"/>
          </w:tcPr>
          <w:p>
            <w:r>
              <w:t>Ticari Unvan</w:t>
            </w:r>
          </w:p>
        </w:tc>
        <w:tc>
          <w:tcPr>
            <w:tcW w:type="dxa" w:w="4986"/>
          </w:tcPr>
          <w:p>
            <w:r>
              <w:t>BELGİN KUYUMCULUK - SEMİH SONBAHAR</w:t>
            </w:r>
          </w:p>
        </w:tc>
      </w:tr>
      <w:tr>
        <w:tc>
          <w:tcPr>
            <w:tcW w:type="dxa" w:w="4986"/>
            <w:shd w:fill="E7EEF7"/>
          </w:tcPr>
          <w:p>
            <w:r>
              <w:t>MERSİS/VKN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Adres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Telefon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E-posta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KEP</w:t>
            </w:r>
          </w:p>
        </w:tc>
        <w:tc>
          <w:tcPr>
            <w:tcW w:type="dxa" w:w="4986"/>
          </w:tcPr>
          <w:p>
            <w:r>
              <w:t>[VARSA 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Web Sitesi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ETBİS Bilgisi</w:t>
            </w:r>
          </w:p>
        </w:tc>
        <w:tc>
          <w:tcPr>
            <w:tcW w:type="dxa" w:w="4986"/>
          </w:tcPr>
          <w:p>
            <w:r>
              <w:t>[VARSA 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Yetki Belgesi No</w:t>
            </w:r>
          </w:p>
        </w:tc>
        <w:tc>
          <w:tcPr>
            <w:tcW w:type="dxa" w:w="4986"/>
          </w:tcPr>
          <w:p>
            <w:r>
              <w:t>[KUYUM TİCARETİ YETKİ BELGESİ / VARSA DOLDURULACAK]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r>
              <w:rPr>
                <w:b/>
              </w:rPr>
              <w:t xml:space="preserve">ÖNEMLİ UYARI: </w:t>
            </w:r>
            <w:r>
              <w:t>2026 tarihli KVKK İlke Kararı uyarınca aydınlatma metni ile açık rıza metni ayrı tutulmalıdır. Bu belge rıza metni değildir.</w:t>
            </w:r>
          </w:p>
        </w:tc>
      </w:tr>
    </w:tbl>
    <w:p/>
    <w:p>
      <w:pPr>
        <w:pStyle w:val="Heading1"/>
      </w:pPr>
      <w:r>
        <w:t>1. Veri Sorumlusu</w:t>
      </w:r>
    </w:p>
    <w:p>
      <w:r>
        <w:t>6698 sayılı Kişisel Verilerin Korunması Kanunu kapsamında veri sorumlusu: BELGİN KUYUMCULUK - SEMİH SONBAHAR. İletişim ve başvuru adresleri üst bölümde yer almaktadır.</w:t>
      </w:r>
    </w:p>
    <w:p>
      <w:pPr>
        <w:pStyle w:val="Heading1"/>
      </w:pPr>
      <w:r>
        <w:t>2. İşlenen Veri Kategorileri</w:t>
      </w:r>
    </w:p>
    <w:p>
      <w:pPr>
        <w:pStyle w:val="ListBullet"/>
      </w:pPr>
      <w:r>
        <w:t>Kimlik: ad-soyad, gerektiğinde kimlik belge türü/numarası, yüksek değerli teslimlerde maskeli kimlik kopyası.</w:t>
      </w:r>
    </w:p>
    <w:p>
      <w:pPr>
        <w:pStyle w:val="ListBullet"/>
      </w:pPr>
      <w:r>
        <w:t>İletişim: telefon, e-posta, teslim/ikamet adresi.</w:t>
      </w:r>
    </w:p>
    <w:p>
      <w:pPr>
        <w:pStyle w:val="ListBullet"/>
      </w:pPr>
      <w:r>
        <w:t>Müşteri işlem: sipariş, ürün, fatura, iade, teslim-tesellüm ve çağrı/yazışma kayıtları.</w:t>
      </w:r>
    </w:p>
    <w:p>
      <w:pPr>
        <w:pStyle w:val="ListBullet"/>
      </w:pPr>
      <w:r>
        <w:t>Finans: ödeme durumu, işlem referansı; kart bilgileri doğrudan ödeme kuruluşu tarafından işleniyorsa Satıcı tam kart verisini görmez.</w:t>
      </w:r>
    </w:p>
    <w:p>
      <w:pPr>
        <w:pStyle w:val="ListBullet"/>
      </w:pPr>
      <w:r>
        <w:t>İşlem güvenliği: IP, oturum/log, cihaz ve güvenlik kayıtları.</w:t>
      </w:r>
    </w:p>
    <w:p>
      <w:pPr>
        <w:pStyle w:val="ListBullet"/>
      </w:pPr>
      <w:r>
        <w:t>Hukuki işlem/uyum: uyuşmazlık, şikâyet, yetkilendirme, MASAK kapsamında gerekli kayıtlar.</w:t>
      </w:r>
    </w:p>
    <w:p>
      <w:pPr>
        <w:pStyle w:val="ListBullet"/>
      </w:pPr>
      <w:r>
        <w:t>Fiziksel mekân güvenliği: mağaza kamera kayıtları (uygulanıyorsa).</w:t>
      </w:r>
    </w:p>
    <w:p>
      <w:pPr>
        <w:pStyle w:val="Heading1"/>
      </w:pPr>
      <w:r>
        <w:t>3. İşleme Amaçları</w:t>
      </w:r>
    </w:p>
    <w:p>
      <w:pPr>
        <w:pStyle w:val="ListBullet"/>
      </w:pPr>
      <w:r>
        <w:t>Siparişin kurulması ve ifası, fatura düzenlenmesi, ürün teslimi.</w:t>
      </w:r>
    </w:p>
    <w:p>
      <w:pPr>
        <w:pStyle w:val="ListBullet"/>
      </w:pPr>
      <w:r>
        <w:t>Dolandırıcılık, yetkisiz ödeme, chargeback ve yanlış kişiye teslim riskinin önlenmesi.</w:t>
      </w:r>
    </w:p>
    <w:p>
      <w:pPr>
        <w:pStyle w:val="ListBullet"/>
      </w:pPr>
      <w:r>
        <w:t>Müşteri hizmetleri, iade/garanti/ayıplı mal süreçlerinin yürütülmesi.</w:t>
      </w:r>
    </w:p>
    <w:p>
      <w:pPr>
        <w:pStyle w:val="ListBullet"/>
      </w:pPr>
      <w:r>
        <w:t>Hukuki yükümlülüklerin yerine getirilmesi ve hakların tesisi, kullanılması veya korunması.</w:t>
      </w:r>
    </w:p>
    <w:p>
      <w:pPr>
        <w:pStyle w:val="ListBullet"/>
      </w:pPr>
      <w:r>
        <w:t>MASAK ve diğer yetkili makam yükümlülüklerinin yerine getirilmesi.</w:t>
      </w:r>
    </w:p>
    <w:p>
      <w:pPr>
        <w:pStyle w:val="ListBullet"/>
      </w:pPr>
      <w:r>
        <w:t>Bilgi güvenliği, loglama, denetim ve olay yönetimi.</w:t>
      </w:r>
    </w:p>
    <w:p>
      <w:pPr>
        <w:pStyle w:val="ListBullet"/>
      </w:pPr>
      <w:r>
        <w:t>Pazarlama faaliyetleri yalnız ayrıca geçerli hukuki şart/izin mevcutsa.</w:t>
      </w:r>
    </w:p>
    <w:p>
      <w:pPr>
        <w:pStyle w:val="Heading1"/>
      </w:pPr>
      <w:r>
        <w:t>4. Hukuki Sebepler</w:t>
      </w:r>
    </w:p>
    <w:p>
      <w:r>
        <w:t>Kişisel veriler; Kanunlarda açıkça öngörülme, sözleşmenin kurulması/ifası için gerekli olma, hukuki yükümlülüğün yerine getirilmesi, bir hakkın tesisi/kullanılması/korunması ve temel hakları ihlal etmemek kaydıyla meşru menfaat hukuki sebeplerine dayanılarak işlenebilir. Açık rıza gereken faaliyetler için ayrıca ve ayrı bir rıza alınır.</w:t>
      </w:r>
    </w:p>
    <w:p>
      <w:pPr>
        <w:pStyle w:val="Heading1"/>
      </w:pPr>
      <w:r>
        <w:t>5. Aktarım</w:t>
      </w:r>
    </w:p>
    <w:p>
      <w:pPr>
        <w:pStyle w:val="ListBullet"/>
      </w:pPr>
      <w:r>
        <w:t>Ödeme kuruluşu/Shopier ve bankalar (ödeme ve sahtecilik kontrolü).</w:t>
      </w:r>
    </w:p>
    <w:p>
      <w:pPr>
        <w:pStyle w:val="ListBullet"/>
      </w:pPr>
      <w:r>
        <w:t>Kargo/lojistik sağlayıcıları yalnız kargo ile teslim edilen ve politikaya uygun siparişlerde.</w:t>
      </w:r>
    </w:p>
    <w:p>
      <w:pPr>
        <w:pStyle w:val="ListBullet"/>
      </w:pPr>
      <w:r>
        <w:t>Mali müşavir, e-fatura/e-arşiv hizmet sağlayıcıları.</w:t>
      </w:r>
    </w:p>
    <w:p>
      <w:pPr>
        <w:pStyle w:val="ListBullet"/>
      </w:pPr>
      <w:r>
        <w:t>Yetkili servis/üretici/ithalatçı, garanti süreci gerektiğinde.</w:t>
      </w:r>
    </w:p>
    <w:p>
      <w:pPr>
        <w:pStyle w:val="ListBullet"/>
      </w:pPr>
      <w:r>
        <w:t>Avukat, danışman ve sigortacı, uyuşmazlık/hakların korunması gerektiğinde.</w:t>
      </w:r>
    </w:p>
    <w:p>
      <w:pPr>
        <w:pStyle w:val="ListBullet"/>
      </w:pPr>
      <w:r>
        <w:t>Kanunen yetkili kamu kurum ve kuruluşları.</w:t>
      </w:r>
    </w:p>
    <w:p>
      <w:pPr>
        <w:pStyle w:val="Heading1"/>
      </w:pPr>
      <w:r>
        <w:t>6. Yüksek Değerli Teslimlerde Kimlik Kopyası</w:t>
      </w:r>
    </w:p>
    <w:p>
      <w:r>
        <w:t>12.000 TL üzerindeki altın ve saat siparişlerinde mağaza teslim güvenliği için kimlik doğrulaması yapılır. Kimlik kopyasının gerekli olduğu işletme prosedürlerinde veri minimizasyonu uygulanır ve mümkün olduğu ölçüde maskeli kopya alınır.</w:t>
      </w:r>
    </w:p>
    <w:p>
      <w:r>
        <w:t>Kimlik kopyası yalnız teslim uyuşmazlığının ispatı, dolandırıcılığın önlenmesi, hakların korunması ve kanuni uyum amaçlarıyla sınırlı işlenir; pazarlama amacıyla kullanılmaz.</w:t>
      </w:r>
    </w:p>
    <w:p>
      <w:pPr>
        <w:pStyle w:val="Heading1"/>
      </w:pPr>
      <w:r>
        <w:t>7. Saklama ve İmha</w:t>
      </w:r>
    </w:p>
    <w:p>
      <w:r>
        <w:t>Veriler, ilgili mevzuatta öngörülen veya işlendikleri amaç için gerekli süre boyunca saklanır; süre sonunda silme, yok etme veya anonimleştirme süreçleri uygulanır. Kimlik kopyası ve kamera kayıtları için ayrıca veri envanterinde gerekçeli, mümkün olan en kısa saklama süresi belirlenmelidir.</w:t>
      </w:r>
    </w:p>
    <w:p>
      <w:pPr>
        <w:pStyle w:val="Heading1"/>
      </w:pPr>
      <w:r>
        <w:t>8. İlgili Kişi Hakları ve Başvuru</w:t>
      </w:r>
    </w:p>
    <w:p>
      <w:r>
        <w:t>KVKK m.11 kapsamındaki haklarınıza ilişkin başvurularınızı yukarıdaki iletişim kanallarından, kimliğinizi doğrulayacak şekilde Satıcıya iletebilirsiniz. Başvurular kanuni süre içinde cevaplandırılır.</w:t>
      </w:r>
    </w:p>
    <w:p>
      <w:pPr>
        <w:pStyle w:val="Heading1"/>
      </w:pPr>
      <w:r>
        <w:t>Hukuki Dayanak ve Uyum Notu</w:t>
      </w:r>
    </w:p>
    <w:p>
      <w:pPr>
        <w:pStyle w:val="ListBullet"/>
      </w:pPr>
      <w:r>
        <w:t>6698 sayılı KVKK</w:t>
      </w:r>
    </w:p>
    <w:p>
      <w:pPr>
        <w:pStyle w:val="ListBullet"/>
      </w:pPr>
      <w:r>
        <w:t>Aydınlatma Yükümlülüğünün Yerine Getirilmesinde Uyulacak Usul ve Esaslar Hakkında Tebliğ</w:t>
      </w:r>
    </w:p>
    <w:p>
      <w:pPr>
        <w:pStyle w:val="ListBullet"/>
      </w:pPr>
      <w:r>
        <w:t>KVKK Kurulunun 18.02.2026 tarihli aydınlatma ve açık rızanın ayrılması İlke Kararı</w:t>
      </w:r>
    </w:p>
    <w:p>
      <w:r>
        <w:t>Bu metin, somut işletme verileri ve kullanılan ödeme/kargo/çerez altyapısı girildikten sonra uygulamaya alınmalıdır. Kanunda emredici olarak tanınan tüketici haklarını ortadan kaldıran veya daraltan hiçbir hüküm uygulanmaz.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5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71C3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5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