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BELGİN KUYUMCULUK - SEMİH SONBAHAR</w:t>
      </w:r>
    </w:p>
    <w:p>
      <w:pPr>
        <w:pStyle w:val="Title"/>
        <w:jc w:val="center"/>
      </w:pPr>
      <w:r>
        <w:t>GİZLİLİK VE KİŞİSEL VERİ GÜVENLİĞİ POLİTİKASI</w:t>
      </w:r>
    </w:p>
    <w:p>
      <w:r>
        <w:t>Sürüm: 25.08.2026 | Türkiye Cumhuriyeti mevzuatına göre hazırlanmış web/e-ticaret taslak seti.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7"/>
          </w:tcPr>
          <w:p>
            <w:r>
              <w:t>Ticari Unvan</w:t>
            </w:r>
          </w:p>
        </w:tc>
        <w:tc>
          <w:tcPr>
            <w:tcW w:type="dxa" w:w="4986"/>
          </w:tcPr>
          <w:p>
            <w:r>
              <w:t>BELGİN KUYUMCULUK - SEMİH SONBAHAR</w:t>
            </w:r>
          </w:p>
        </w:tc>
      </w:tr>
      <w:tr>
        <w:tc>
          <w:tcPr>
            <w:tcW w:type="dxa" w:w="4986"/>
            <w:shd w:fill="E7EEF7"/>
          </w:tcPr>
          <w:p>
            <w:r>
              <w:t>MERSİS/VKN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Adres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Telefon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E-posta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KEP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Web Sitesi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ETBİS Bilgisi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Yetki Belgesi No</w:t>
            </w:r>
          </w:p>
        </w:tc>
        <w:tc>
          <w:tcPr>
            <w:tcW w:type="dxa" w:w="4986"/>
          </w:tcPr>
          <w:p>
            <w:r>
              <w:t>[KUYUM TİCARETİ YETKİ BELGESİ / VARSA DOLDURULACAK]</w:t>
            </w:r>
          </w:p>
        </w:tc>
      </w:tr>
    </w:tbl>
    <w:p/>
    <w:p>
      <w:pPr>
        <w:pStyle w:val="Heading1"/>
      </w:pPr>
      <w:r>
        <w:t>1. Amaç</w:t>
      </w:r>
    </w:p>
    <w:p>
      <w:r>
        <w:t>Bu politika, web sitesi ve mağaza işlemlerinde müşteri bilgilerinin hangi güvenlik ve gizlilik prensipleriyle yönetildiğini açıklar.</w:t>
      </w:r>
    </w:p>
    <w:p>
      <w:pPr>
        <w:pStyle w:val="Heading1"/>
      </w:pPr>
      <w:r>
        <w:t>2. Temel Güvenlik İlkeleri</w:t>
      </w:r>
    </w:p>
    <w:p>
      <w:pPr>
        <w:pStyle w:val="ListBullet"/>
      </w:pPr>
      <w:r>
        <w:t>En az veri: İşlem için gerekli olmayan kişisel veri talep edilmez.</w:t>
      </w:r>
    </w:p>
    <w:p>
      <w:pPr>
        <w:pStyle w:val="ListBullet"/>
      </w:pPr>
      <w:r>
        <w:t>En az yetki: Kimlik/teslim/ödeme kayıtlarına yalnız görev gereği erişim verilir.</w:t>
      </w:r>
    </w:p>
    <w:p>
      <w:pPr>
        <w:pStyle w:val="ListBullet"/>
      </w:pPr>
      <w:r>
        <w:t>Ayrıştırma: Ödeme kartı verileri mümkün olduğunca ödeme kuruluşu altyapısında tutulur; Satıcı tam kart verisini saklamaz.</w:t>
      </w:r>
    </w:p>
    <w:p>
      <w:pPr>
        <w:pStyle w:val="ListBullet"/>
      </w:pPr>
      <w:r>
        <w:t>Kanıt zinciri: Yüksek değerli teslimlerde sipariş, ödeme, kimlik doğrulama, ürün seri/gram bilgisi ve imza aynı işlem numarasıyla ilişkilendirilir.</w:t>
      </w:r>
    </w:p>
    <w:p>
      <w:pPr>
        <w:pStyle w:val="ListBullet"/>
      </w:pPr>
      <w:r>
        <w:t>Şifreleme ve erişim kontrolü: Elektronik kayıtlar yetkisiz erişime karşı korunur; yedekleme ve erişim logları tutulur.</w:t>
      </w:r>
    </w:p>
    <w:p>
      <w:pPr>
        <w:pStyle w:val="ListBullet"/>
      </w:pPr>
      <w:r>
        <w:t>İhlal yönetimi: Veri ihlali şüphesinde erişim kesme, olay kaydı, etki analizi ve gerekli yasal bildirim süreçleri işletilir.</w:t>
      </w:r>
    </w:p>
    <w:p>
      <w:pPr>
        <w:pStyle w:val="Heading1"/>
      </w:pPr>
      <w:r>
        <w:t>3. Dolandırıcılık Önleme</w:t>
      </w:r>
    </w:p>
    <w:p>
      <w:pPr>
        <w:pStyle w:val="ListBullet"/>
      </w:pPr>
      <w:r>
        <w:t>Uyumsuz kart sahibi/sipariş sahibi bilgileri manuel kontrole alınabilir.</w:t>
      </w:r>
    </w:p>
    <w:p>
      <w:pPr>
        <w:pStyle w:val="ListBullet"/>
      </w:pPr>
      <w:r>
        <w:t>Aşırı hızlı/çoklu sipariş, farklı kartlarla deneme, yüksek riskli IP/cihaz sinyalleri işlem güvenliği kapsamında değerlendirilebilir.</w:t>
      </w:r>
    </w:p>
    <w:p>
      <w:pPr>
        <w:pStyle w:val="ListBullet"/>
      </w:pPr>
      <w:r>
        <w:t>Yüksek değerli ürünler mağaza tesliminde kimlikle ve imzayla teslim edilir.</w:t>
      </w:r>
    </w:p>
    <w:p>
      <w:pPr>
        <w:pStyle w:val="ListBullet"/>
      </w:pPr>
      <w:r>
        <w:t>Satıcı personeli, müşteriden kart şifresi, SMS doğrulama kodu veya internet bankacılığı parolası istemez.</w:t>
      </w:r>
    </w:p>
    <w:p>
      <w:pPr>
        <w:pStyle w:val="Heading1"/>
      </w:pPr>
      <w:r>
        <w:t>4. Üçüncü Taraflar</w:t>
      </w:r>
    </w:p>
    <w:p>
      <w:r>
        <w:t>Ödeme, kargo, analiz ve benzeri hizmetler üçüncü taraflarca sağlanabilir. Veri aktarımı, hizmetin gerektirdiği ölçüyle sınırlı yapılır ve sözleşmesel/veri güvenliği kontrolleri uygulanır.</w:t>
      </w:r>
    </w:p>
    <w:p>
      <w:pPr>
        <w:pStyle w:val="Heading1"/>
      </w:pPr>
      <w:r>
        <w:t>Hukuki Dayanak ve Uyum Notu</w:t>
      </w:r>
    </w:p>
    <w:p>
      <w:pPr>
        <w:pStyle w:val="ListBullet"/>
      </w:pPr>
      <w:r>
        <w:t>KVKK m.4 genel ilkeleri, m.12 veri güvenliği yükümlülükleri</w:t>
      </w:r>
    </w:p>
    <w:p>
      <w:pPr>
        <w:pStyle w:val="ListBullet"/>
      </w:pPr>
      <w:r>
        <w:t>6563 ve e-ticaret ikincil düzenlemeleri</w:t>
      </w:r>
    </w:p>
    <w:p>
      <w:r>
        <w:t>Bu metin, somut işletme verileri ve kullanılan ödeme/kargo/çerez altyapısı girildikten sonra uygulamaya alınmalıdır. Kanunda emredici olarak tanınan tüketici haklarını ortadan kaldıran veya daraltan hiçbir hüküm uygulanmaz.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71C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5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