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5A5A"/>
          <w:sz w:val="24"/>
        </w:rPr>
        <w:t>BELGİN KUYUMCULUK - SEMİH SONBAHAR</w:t>
      </w:r>
    </w:p>
    <w:p>
      <w:pPr>
        <w:pStyle w:val="Title"/>
        <w:jc w:val="center"/>
      </w:pPr>
      <w:r>
        <w:t>WEB SİTESİ KULLANIM KOŞULLARI</w:t>
      </w:r>
    </w:p>
    <w:p>
      <w:r>
        <w:t>Sürüm: 25.08.2026 | Türkiye Cumhuriyeti mevzuatına göre hazırlanmış web/e-ticaret taslak seti.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EF7"/>
          </w:tcPr>
          <w:p>
            <w:r>
              <w:t>Ticari Unvan</w:t>
            </w:r>
          </w:p>
        </w:tc>
        <w:tc>
          <w:tcPr>
            <w:tcW w:type="dxa" w:w="4986"/>
          </w:tcPr>
          <w:p>
            <w:r>
              <w:t>BELGİN KUYUMCULUK - SEMİH SONBAHAR</w:t>
            </w:r>
          </w:p>
        </w:tc>
      </w:tr>
      <w:tr>
        <w:tc>
          <w:tcPr>
            <w:tcW w:type="dxa" w:w="4986"/>
            <w:shd w:fill="E7EEF7"/>
          </w:tcPr>
          <w:p>
            <w:r>
              <w:t>MERSİS/VKN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Adres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Telefon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E-posta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KEP</w:t>
            </w:r>
          </w:p>
        </w:tc>
        <w:tc>
          <w:tcPr>
            <w:tcW w:type="dxa" w:w="4986"/>
          </w:tcPr>
          <w:p>
            <w:r>
              <w:t>[VARSA 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Web Sitesi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ETBİS Bilgisi</w:t>
            </w:r>
          </w:p>
        </w:tc>
        <w:tc>
          <w:tcPr>
            <w:tcW w:type="dxa" w:w="4986"/>
          </w:tcPr>
          <w:p>
            <w:r>
              <w:t>[VARSA 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Yetki Belgesi No</w:t>
            </w:r>
          </w:p>
        </w:tc>
        <w:tc>
          <w:tcPr>
            <w:tcW w:type="dxa" w:w="4986"/>
          </w:tcPr>
          <w:p>
            <w:r>
              <w:t>[KUYUM TİCARETİ YETKİ BELGESİ / VARSA DOLDURULACAK]</w:t>
            </w:r>
          </w:p>
        </w:tc>
      </w:tr>
    </w:tbl>
    <w:p/>
    <w:p>
      <w:pPr>
        <w:pStyle w:val="Heading1"/>
      </w:pPr>
      <w:r>
        <w:t>1. Site Kullanımı</w:t>
      </w:r>
    </w:p>
    <w:p>
      <w:r>
        <w:t>Siteyi kullanan kişi, hukuka uygun amaçla hareket etmeyi; site altyapısına zarar vermemeyi, otomatik veri çekme/istismar, sahte sipariş, yetkisiz erişim ve ödeme dolandırıcılığı yapmamayı kabul eder.</w:t>
      </w:r>
    </w:p>
    <w:p>
      <w:pPr>
        <w:pStyle w:val="Heading1"/>
      </w:pPr>
      <w:r>
        <w:t>2. Ürün Bilgileri ve Fiyatlar</w:t>
      </w:r>
    </w:p>
    <w:p>
      <w:r>
        <w:t>Ürün bilgileri mümkün olan en doğru şekilde sunulur. Açık ve objektif sistem/yazım hatalarında Satıcı, sözleşmenin kurulup kurulmadığı ve tüketici mevzuatı çerçevesinde durumu değerlendirir; tek taraflı keyfi fiyat değişikliği yapmaz.</w:t>
      </w:r>
    </w:p>
    <w:p>
      <w:pPr>
        <w:pStyle w:val="Heading1"/>
      </w:pPr>
      <w:r>
        <w:t>3. Fikri Mülkiyet</w:t>
      </w:r>
    </w:p>
    <w:p>
      <w:r>
        <w:t>Site tasarımı, metinler, fotoğraflar, ürün sunumları, logo ve veri tabanı unsurları ilgili hak sahiplerinin mülkiyetindedir. Ticari amaçla izinsiz kopyalanamaz.</w:t>
      </w:r>
    </w:p>
    <w:p>
      <w:pPr>
        <w:pStyle w:val="Heading1"/>
      </w:pPr>
      <w:r>
        <w:t>4. Hesap Güvenliği</w:t>
      </w:r>
    </w:p>
    <w:p>
      <w:r>
        <w:t>Üyelik sistemi varsa kullanıcı, hesabının güvenliğinden ve giriş bilgilerinin gizliliğinden sorumludur. Şüpheli hesap etkinliği halinde Satıcı hesabı geçici olarak kısıtlayabilir.</w:t>
      </w:r>
    </w:p>
    <w:p>
      <w:pPr>
        <w:pStyle w:val="Heading1"/>
      </w:pPr>
      <w:r>
        <w:t>5. Yüksek Değerli Sipariş Kuralı</w:t>
      </w:r>
    </w:p>
    <w:p>
      <w:r>
        <w:t>12.000 TL üzerindeki altın ve saat ürünlerinin teslimi yalnız mağazadan, resmi kimlik doğrulaması ve imzalı teslim-tesellüm ile yapılır. Bu kural sipariş öncesi ürün/ödeme akışında ayrıca gösterilir.</w:t>
      </w:r>
    </w:p>
    <w:p>
      <w:pPr>
        <w:pStyle w:val="Heading1"/>
      </w:pPr>
      <w:r>
        <w:t>6. Sorumluluk Sınırı</w:t>
      </w:r>
    </w:p>
    <w:p>
      <w:r>
        <w:t>Satıcı, emredici mevzuattan doğan sorumluluklarını ortadan kaldıran bir sorumsuzluk kaydı ileri sürmez. Üçüncü taraf bağlantıları ve hizmetlerinde sorumluluk, somut olay ve mevzuata göre belirlenir.</w:t>
      </w:r>
    </w:p>
    <w:p>
      <w:pPr>
        <w:pStyle w:val="Heading1"/>
      </w:pPr>
      <w:r>
        <w:t>Hukuki Dayanak ve Uyum Notu</w:t>
      </w:r>
    </w:p>
    <w:p>
      <w:pPr>
        <w:pStyle w:val="ListBullet"/>
      </w:pPr>
      <w:r>
        <w:t>6502 sayılı Kanun</w:t>
      </w:r>
    </w:p>
    <w:p>
      <w:pPr>
        <w:pStyle w:val="ListBullet"/>
      </w:pPr>
      <w:r>
        <w:t>6563 sayılı Kanun</w:t>
      </w:r>
    </w:p>
    <w:p>
      <w:pPr>
        <w:pStyle w:val="ListBullet"/>
      </w:pPr>
      <w:r>
        <w:t>Türk Borçlar Kanunu</w:t>
      </w:r>
    </w:p>
    <w:p>
      <w:pPr>
        <w:pStyle w:val="ListBullet"/>
      </w:pPr>
      <w:r>
        <w:t>Fikir ve Sanat Eserleri Kanunu ilgili hükümleri</w:t>
      </w:r>
    </w:p>
    <w:p>
      <w:r>
        <w:t>Bu metin, somut işletme verileri ve kullanılan ödeme/kargo/çerez altyapısı girildikten sonra uygulamaya alınmalıdır. Kanunda emredici olarak tanınan tüketici haklarını ortadan kaldıran veya daraltan hiçbir hüküm uygulanmaz.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5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71C3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5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