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KVKK AÇIK RIZA METNİ - AYRI VE İSTEĞE BAĞLI İŞLEMLER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ÖNEMLİ UYARI: </w:t>
            </w:r>
            <w:r>
              <w:t>Bu metin yalnız açık rıza gerçekten hukuki sebep olduğunda kullanılmalıdır. Sözleşmenin ifası veya kanuni yükümlülük için gerekli veriler bakımından rıza istenmemelidir.</w:t>
            </w:r>
          </w:p>
        </w:tc>
      </w:tr>
    </w:tbl>
    <w:p/>
    <w:p>
      <w:pPr>
        <w:pStyle w:val="Heading1"/>
      </w:pPr>
      <w:r>
        <w:t>A. Pazarlama Profillemesi (Varsa)</w:t>
      </w:r>
    </w:p>
    <w:p>
      <w:r>
        <w:t>Alışveriş geçmişimin ve site etkileşimlerimin kişiselleştirilmiş kampanya/öneri amacıyla analiz edilmesine: ☐ ONAY VERİYORUM ☐ ONAY VERMİYORUM</w:t>
      </w:r>
    </w:p>
    <w:p>
      <w:pPr>
        <w:pStyle w:val="Heading1"/>
      </w:pPr>
      <w:r>
        <w:t>B. Yurt Dışı Aktarım (Varsa)</w:t>
      </w:r>
    </w:p>
    <w:p>
      <w:r>
        <w:t>Yurt dışı sunucu/analitik/reklam sağlayıcısı kullanılıyorsa, KVKK'nın güncel yurt dışı aktarım rejimine uygun hukuki mekanizma kurulmadan bu kutu kullanılmamalıdır.</w:t>
      </w:r>
    </w:p>
    <w:p>
      <w:r>
        <w:t>Belirtilen aktarım faaliyetine: ☐ ONAY VERİYORUM ☐ ONAY VERMİYORUM</w:t>
      </w:r>
    </w:p>
    <w:p>
      <w:pPr>
        <w:pStyle w:val="Heading1"/>
      </w:pPr>
      <w:r>
        <w:t>C. Kimlik Fotokopisi Hakkında Not</w:t>
      </w:r>
    </w:p>
    <w:p>
      <w:r>
        <w:t>Yüksek değerli ürün teslimindeki kimlik doğrulama, mümkünse açık rızaya değil sözleşmenin ifası/hakların korunması/meşru menfaat veya kanuni yükümlülük gibi uygun hukuki sebebe dayandırılmalıdır. Kimlik fotokopisini 'rıza vermezsen ürün teslim edilmez' şeklinde zorunlu açık rızaya bağlamak hukuki risk yaratabilir.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KVKK m.5 ve 2026/347 sayılı İlke Kararı çerçevesinde aydınlatma ve rızanın ayrılması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