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GARANTİ - AYIPLI MAL - SATIŞ SONRASI HİZMET POLİTİKASI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1. Kanuni Hakların Üstünlüğü</w:t>
      </w:r>
    </w:p>
    <w:p>
      <w:r>
        <w:t>Bu politika, tüketicinin 6502 sayılı Kanundan doğan ayıplı mala ilişkin seçimlik haklarını sınırlamaz.</w:t>
      </w:r>
    </w:p>
    <w:p>
      <w:pPr>
        <w:pStyle w:val="Heading1"/>
      </w:pPr>
      <w:r>
        <w:t>2. Saat Ürünleri</w:t>
      </w:r>
    </w:p>
    <w:p>
      <w:pPr>
        <w:pStyle w:val="ListBullet"/>
      </w:pPr>
      <w:r>
        <w:t>Garanti belgesine tabi marka/modelde garanti belgesi ve yetkili servis bilgileri sağlanır.</w:t>
      </w:r>
    </w:p>
    <w:p>
      <w:pPr>
        <w:pStyle w:val="ListBullet"/>
      </w:pPr>
      <w:r>
        <w:t>Seri numarası, garanti kartı ve fatura eşleşmesi servis sürecinde kontrol edilebilir.</w:t>
      </w:r>
    </w:p>
    <w:p>
      <w:pPr>
        <w:pStyle w:val="ListBullet"/>
      </w:pPr>
      <w:r>
        <w:t>Yetkisiz müdahale, darbe veya kullanım hatası iddiaları teknik servis tespitiyle değerlendirilir; otomatik olarak tüketicinin haklarını ortadan kaldırmaz.</w:t>
      </w:r>
    </w:p>
    <w:p>
      <w:pPr>
        <w:pStyle w:val="Heading1"/>
      </w:pPr>
      <w:r>
        <w:t>3. Altın ve Mücevher Ürünleri</w:t>
      </w:r>
    </w:p>
    <w:p>
      <w:pPr>
        <w:pStyle w:val="ListBullet"/>
      </w:pPr>
      <w:r>
        <w:t>Ayar, gram, taş ve ürün özellikleri satış belgesinde/ürün kartında gösterilir.</w:t>
      </w:r>
    </w:p>
    <w:p>
      <w:pPr>
        <w:pStyle w:val="ListBullet"/>
      </w:pPr>
      <w:r>
        <w:t>Ürün tesliminde görülebilir fiziksel durum müşteriyle kontrol edilir.</w:t>
      </w:r>
    </w:p>
    <w:p>
      <w:pPr>
        <w:pStyle w:val="ListBullet"/>
      </w:pPr>
      <w:r>
        <w:t>Üretim/işçilik kaynaklı sorunlar ile kullanım sonucu deformasyon birbirinden ayrılarak teknik inceleme yapılır.</w:t>
      </w:r>
    </w:p>
    <w:p>
      <w:pPr>
        <w:pStyle w:val="Heading1"/>
      </w:pPr>
      <w:r>
        <w:t>4. Servise Ürün Kabul Tutanağı</w:t>
      </w:r>
    </w:p>
    <w:p>
      <w:r>
        <w:t>Ürün kodu/seri no: ______ | Teslim tarihi: ______ | Şikâyet: ______ | Fiziksel durum: ______ | Teslim edilen aksesuarlar: ______ | Müşteri imza: ______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6502 sayılı Kanun</w:t>
      </w:r>
    </w:p>
    <w:p>
      <w:pPr>
        <w:pStyle w:val="ListBullet"/>
      </w:pPr>
      <w:r>
        <w:t>Garanti Belgesi Yönetmeliği</w:t>
      </w:r>
    </w:p>
    <w:p>
      <w:pPr>
        <w:pStyle w:val="ListBullet"/>
      </w:pPr>
      <w:r>
        <w:t>Satış Sonrası Hizmetler Yönetmeliği, ürün kategorisine uygulanabildiği ölçüde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