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760D" w:rsidRDefault="00221AAF" w:rsidP="00221AAF">
      <w:pPr>
        <w:pStyle w:val="Title"/>
      </w:pPr>
      <w:r>
        <w:t>The Asymmetric Relationship between ECOWAS-Eurozone Trade (EET) and Exchange Rate Volatility.</w:t>
      </w:r>
    </w:p>
    <w:p w:rsidR="00DD760D" w:rsidRDefault="00221AAF" w:rsidP="00221AAF">
      <w:pPr>
        <w:pStyle w:val="Author"/>
        <w:spacing w:line="360" w:lineRule="auto"/>
      </w:pPr>
      <w:r>
        <w:t>Sagiru Mati</w:t>
      </w:r>
      <w:r>
        <w:rPr>
          <w:vertAlign w:val="superscript"/>
        </w:rPr>
        <w:t>1</w:t>
      </w:r>
      <w:r>
        <w:t>, Irfan Civcir</w:t>
      </w:r>
      <w:r>
        <w:rPr>
          <w:vertAlign w:val="superscript"/>
        </w:rPr>
        <w:t>2</w:t>
      </w:r>
      <w:r>
        <w:t>*, Hüseyin Özdeşer</w:t>
      </w:r>
      <w:r>
        <w:rPr>
          <w:vertAlign w:val="superscript"/>
        </w:rPr>
        <w:t>3</w:t>
      </w:r>
    </w:p>
    <w:p w:rsidR="00DD760D" w:rsidRDefault="00221AAF" w:rsidP="00221AAF">
      <w:pPr>
        <w:pStyle w:val="FirstParagraph"/>
        <w:spacing w:line="360" w:lineRule="auto"/>
      </w:pPr>
      <w:r>
        <w:rPr>
          <w:vertAlign w:val="superscript"/>
        </w:rPr>
        <w:t>1</w:t>
      </w:r>
      <w:r>
        <w:t xml:space="preserve">Faculty of Economics and Administrative Sciences, Near East University, North Cyprus, </w:t>
      </w:r>
      <w:hyperlink r:id="rId7">
        <w:r>
          <w:rPr>
            <w:rStyle w:val="Hyperlink"/>
          </w:rPr>
          <w:t>sagirumati@gmail.com</w:t>
        </w:r>
      </w:hyperlink>
    </w:p>
    <w:p w:rsidR="00DD760D" w:rsidRDefault="00221AAF" w:rsidP="00221AAF">
      <w:pPr>
        <w:pStyle w:val="BodyText"/>
        <w:spacing w:line="360" w:lineRule="auto"/>
      </w:pPr>
      <w:r>
        <w:rPr>
          <w:vertAlign w:val="superscript"/>
        </w:rPr>
        <w:t>2</w:t>
      </w:r>
      <w:r>
        <w:t xml:space="preserve">Faculty of Polical Science, Ankara University, Turkey, </w:t>
      </w:r>
      <w:hyperlink r:id="rId8">
        <w:r>
          <w:rPr>
            <w:rStyle w:val="Hyperlink"/>
          </w:rPr>
          <w:t>civcir@politics.ankara.edu.tr</w:t>
        </w:r>
      </w:hyperlink>
    </w:p>
    <w:p w:rsidR="00DD760D" w:rsidRDefault="00221AAF" w:rsidP="00221AAF">
      <w:pPr>
        <w:pStyle w:val="BodyText"/>
        <w:spacing w:line="360" w:lineRule="auto"/>
      </w:pPr>
      <w:r>
        <w:rPr>
          <w:vertAlign w:val="superscript"/>
        </w:rPr>
        <w:t>3</w:t>
      </w:r>
      <w:r>
        <w:t xml:space="preserve">Faculty of Economics and Administrative Sciences, Near East University, North Cyprus, </w:t>
      </w:r>
      <w:hyperlink r:id="rId9">
        <w:r>
          <w:rPr>
            <w:rStyle w:val="Hyperlink"/>
          </w:rPr>
          <w:t>huseyinozdeser@neu.edu.tr</w:t>
        </w:r>
      </w:hyperlink>
    </w:p>
    <w:p w:rsidR="00DD760D" w:rsidRDefault="00221AAF" w:rsidP="00221AAF">
      <w:pPr>
        <w:pStyle w:val="Heading4"/>
        <w:spacing w:line="360" w:lineRule="auto"/>
      </w:pPr>
      <w:bookmarkStart w:id="0" w:name="abstract"/>
      <w:r>
        <w:t>Abstract</w:t>
      </w:r>
      <w:bookmarkEnd w:id="0"/>
    </w:p>
    <w:p w:rsidR="00DD760D" w:rsidRDefault="00221AAF" w:rsidP="00221AAF">
      <w:pPr>
        <w:pStyle w:val="FirstParagraph"/>
        <w:spacing w:line="360" w:lineRule="auto"/>
      </w:pPr>
      <w:r>
        <w:t>This paper focuses on the asymmetric effects of exchange rate volatility on trade between ECOWAS and Eurozone. Export and import equations of nine ECOWAS countries are estimated by using monthly data from 1999-2017 period. Based on a Nonlinear Autoregressive Distributed Lag (NARDL) model, long run asymmetric trade-volatility relationship is confirmed for six countries for the export equation and seven countries for the import equation. Real income is established to be the most important factor influencing the EET. Furthermore, the study finds that inferior goods have dominated the trade sector of Benin. Exchange rate volatility is found to exert negative impact on trade of all ECOWAS countries but Benin and Cote D’Ivoire. Therefore, free-floating exchange rate regime is recommended for Benin and Cote D’Ivoire, while exchange rate control is recommended for the rest of the ECOWAS members. For this reason, Eurozone needs be able to persuade the ECOWAS countries to opt for liberalization of trade and foreign exchange market. The persuasion can be in the form of incentives such as foreign aid, or signing trade agreements favourable to both ECOWAS and Eurozone.</w:t>
      </w:r>
    </w:p>
    <w:p w:rsidR="00DD760D" w:rsidRDefault="00221AAF" w:rsidP="00221AAF">
      <w:pPr>
        <w:pStyle w:val="BodyText"/>
        <w:spacing w:line="360" w:lineRule="auto"/>
      </w:pPr>
      <w:r>
        <w:rPr>
          <w:b/>
        </w:rPr>
        <w:t>Keywords:</w:t>
      </w:r>
      <w:r>
        <w:t xml:space="preserve"> exchange rate,asymmetric volatility, trade, ARCH,ECOWAS, NARDL</w:t>
      </w:r>
    </w:p>
    <w:p w:rsidR="00DD760D" w:rsidRDefault="00221AAF" w:rsidP="00221AAF">
      <w:pPr>
        <w:pStyle w:val="BodyText"/>
        <w:spacing w:line="360" w:lineRule="auto"/>
      </w:pPr>
      <w:r>
        <w:rPr>
          <w:b/>
        </w:rPr>
        <w:t>JEL classification:</w:t>
      </w:r>
      <w:r>
        <w:t xml:space="preserve"> C50, F14, F31</w:t>
      </w:r>
    </w:p>
    <w:p w:rsidR="00DD760D" w:rsidRDefault="00221AAF">
      <w:r>
        <w:pict>
          <v:rect id="_x0000_i1025" style="width:0;height:1.5pt" o:hralign="center" o:hrstd="t" o:hr="t"/>
        </w:pict>
      </w:r>
    </w:p>
    <w:p w:rsidR="00DD760D" w:rsidRDefault="00221AAF">
      <w:pPr>
        <w:pStyle w:val="FirstParagraph"/>
      </w:pPr>
      <w:r>
        <w:t xml:space="preserve">*Corresponding Author: </w:t>
      </w:r>
      <w:hyperlink r:id="rId10">
        <w:r>
          <w:rPr>
            <w:rStyle w:val="Hyperlink"/>
          </w:rPr>
          <w:t>civcir@politics.ankara.edu.tr</w:t>
        </w:r>
      </w:hyperlink>
      <w:r>
        <w:t xml:space="preserve">    </w:t>
      </w:r>
    </w:p>
    <w:p w:rsidR="00DD760D" w:rsidRDefault="00221AAF">
      <w:pPr>
        <w:pStyle w:val="Heading1"/>
      </w:pPr>
      <w:bookmarkStart w:id="1" w:name="introduction"/>
      <w:r>
        <w:lastRenderedPageBreak/>
        <w:t>Introduction</w:t>
      </w:r>
      <w:bookmarkEnd w:id="1"/>
    </w:p>
    <w:p w:rsidR="00DD760D" w:rsidRDefault="00221AAF">
      <w:pPr>
        <w:pStyle w:val="FirstParagraph"/>
      </w:pPr>
      <w:r>
        <w:t xml:space="preserve">The collapse of the Bretton Wood exchange rate system in 1973 did not only lead to the establishment of a flexible exchange rate system, but also brought uncertainty in international trade due to high volatility in the exchange rate (Adom, Morshed, &amp; Sharma, </w:t>
      </w:r>
      <w:hyperlink w:anchor="ref-adom2012sources">
        <w:r>
          <w:rPr>
            <w:rStyle w:val="Hyperlink"/>
          </w:rPr>
          <w:t>2012</w:t>
        </w:r>
      </w:hyperlink>
      <w:r>
        <w:t xml:space="preserve">; Hall, Hondroyiannis, Swamy, Tavlas, &amp; Ulan, </w:t>
      </w:r>
      <w:hyperlink w:anchor="ref-hall2010exchange">
        <w:r>
          <w:rPr>
            <w:rStyle w:val="Hyperlink"/>
          </w:rPr>
          <w:t>2010</w:t>
        </w:r>
      </w:hyperlink>
      <w:r>
        <w:t xml:space="preserve">). Exchange rate volatility refers to the unexpected and sudden swing or movement in the rate of currency exchange (Bouoiyour &amp; Rey, </w:t>
      </w:r>
      <w:hyperlink w:anchor="ref-bouoiyour2005exchange">
        <w:r>
          <w:rPr>
            <w:rStyle w:val="Hyperlink"/>
          </w:rPr>
          <w:t>2005</w:t>
        </w:r>
      </w:hyperlink>
      <w:r>
        <w:t xml:space="preserve">; McKenzie, </w:t>
      </w:r>
      <w:hyperlink w:anchor="ref-mckenzie1998impact">
        <w:r>
          <w:rPr>
            <w:rStyle w:val="Hyperlink"/>
          </w:rPr>
          <w:t>1998</w:t>
        </w:r>
      </w:hyperlink>
      <w:r>
        <w:t>). The Economic Community of West African States (ECOWAS) is a regional economic bloc of fifteen (15) member countries</w:t>
      </w:r>
      <w:r>
        <w:rPr>
          <w:rStyle w:val="FootnoteReference"/>
        </w:rPr>
        <w:footnoteReference w:id="1"/>
      </w:r>
      <w:r>
        <w:t>. The establishment of the Economic Partnership Agreement (EPA) has provided a free trade area between Europe and West Africa (ECOWAS + Mauritania) in accordance with Article XXIV of General Agreement on Trade and Tariff (GATT). Although the EPA may lead to the removal of some trade barriers, uncertainty surrounding sudden exchange rate changes may impede the smooth flow of exports and imports of ECOWAS countries to/from the Eurozone</w:t>
      </w:r>
      <w:r>
        <w:rPr>
          <w:rStyle w:val="FootnoteReference"/>
        </w:rPr>
        <w:footnoteReference w:id="2"/>
      </w:r>
      <w:r>
        <w:t>. Towards this end, this study aims to model the relationship between the ECOWAS-Eurozone Trade (EET) and exchange rate volatility.</w:t>
      </w:r>
    </w:p>
    <w:p w:rsidR="00DD760D" w:rsidRDefault="00221AAF">
      <w:pPr>
        <w:pStyle w:val="BodyText"/>
      </w:pPr>
      <w:r>
        <w:t xml:space="preserve">This empirical work attempts to answer some questions regarding modelling the relationship between exchange rate volatility and trade. For example, can the trade-volatility relationship for EET be modelled as a symmetric or asymmetric model? What factors determine the EET? How can the outcome of this study influence the decision of policy makers and businessmen in ECOWAS? The answers to these questions can help policy makers, analysts and businessmen determine the best model that relates EET and exchange rate volatility. In regard to the first </w:t>
      </w:r>
      <w:r>
        <w:lastRenderedPageBreak/>
        <w:t>question, some previous studies assume that trade-volatility relationship is symmetric, in the sense that effect of increased volatility on trade is as same as the effect of reduced volatility. Asymmetric relationship, on the other hand, assumes that the effects of increased volatility and reduced volatility on trade are different. Bahmani-Oskooee &amp; Aftab (</w:t>
      </w:r>
      <w:hyperlink w:anchor="ref-bahmani2017">
        <w:r>
          <w:rPr>
            <w:rStyle w:val="Hyperlink"/>
          </w:rPr>
          <w:t>2017</w:t>
        </w:r>
      </w:hyperlink>
      <w:r>
        <w:t>) point out that changes in expectation and new information determine how traders respond to a currency volatility; trade could be lower (higher) in the face of increased volatility (decreased volatility). Autoregressive Distributed Lag (ARDL) model and other econometric techniques that assume linearity are used to establish the symmetric trade-volatility relationship, while Nonlinear ARDL (NARDL) model is employed to establish asymmetric trade-volatility dynamics. Hence the main aim of this study is to determine whether the established relationship is symmetric or asymmetric, as trade and exchange rate policies guided by wrong trade-volatility relationships can be harmful to an economy.</w:t>
      </w:r>
    </w:p>
    <w:p w:rsidR="00DD760D" w:rsidRDefault="00221AAF">
      <w:pPr>
        <w:pStyle w:val="BodyText"/>
      </w:pPr>
      <w:r>
        <w:t xml:space="preserve">The outcome of this study is expected to provide a greater insight on the subject matter, based on the fact that previous studies in this area assume linearity of the trade-volatility relationship (Adom et al., </w:t>
      </w:r>
      <w:hyperlink w:anchor="ref-adom2012sources">
        <w:r>
          <w:rPr>
            <w:rStyle w:val="Hyperlink"/>
          </w:rPr>
          <w:t>2012</w:t>
        </w:r>
      </w:hyperlink>
      <w:r>
        <w:t xml:space="preserve">; Asteriou, Masatci, &amp; Pılbeam, </w:t>
      </w:r>
      <w:hyperlink w:anchor="ref-asteriou2016exchange">
        <w:r>
          <w:rPr>
            <w:rStyle w:val="Hyperlink"/>
          </w:rPr>
          <w:t>2016</w:t>
        </w:r>
      </w:hyperlink>
      <w:r>
        <w:t xml:space="preserve">; Ozturk &amp; Kalyoncu, </w:t>
      </w:r>
      <w:hyperlink w:anchor="ref-ozturk2009exchange">
        <w:r>
          <w:rPr>
            <w:rStyle w:val="Hyperlink"/>
          </w:rPr>
          <w:t>2009</w:t>
        </w:r>
      </w:hyperlink>
      <w:r>
        <w:t xml:space="preserve">). Moreover, other studies that consider non-linearity focus on other regions than ECOWAS and Eurozone (see for example Bahmani-Oskooee &amp; Aftab, </w:t>
      </w:r>
      <w:hyperlink w:anchor="ref-bahmani2017">
        <w:r>
          <w:rPr>
            <w:rStyle w:val="Hyperlink"/>
          </w:rPr>
          <w:t>2017</w:t>
        </w:r>
      </w:hyperlink>
      <w:r>
        <w:t>). In short, this study differs from all the previous ones as it incorporates recent developments in the volatility measure and econometric methodology. Specifically, it incorporates the procedure suggested by McKenzie (</w:t>
      </w:r>
      <w:hyperlink w:anchor="ref-mckenzie1998impact">
        <w:r>
          <w:rPr>
            <w:rStyle w:val="Hyperlink"/>
          </w:rPr>
          <w:t>1998</w:t>
        </w:r>
      </w:hyperlink>
      <w:r>
        <w:t>), Enders (</w:t>
      </w:r>
      <w:hyperlink w:anchor="ref-enders2015applied">
        <w:r>
          <w:rPr>
            <w:rStyle w:val="Hyperlink"/>
          </w:rPr>
          <w:t>2015</w:t>
        </w:r>
      </w:hyperlink>
      <w:r>
        <w:t>) and Asteriou et al. (</w:t>
      </w:r>
      <w:hyperlink w:anchor="ref-asteriou2016exchange">
        <w:r>
          <w:rPr>
            <w:rStyle w:val="Hyperlink"/>
          </w:rPr>
          <w:t>2016</w:t>
        </w:r>
      </w:hyperlink>
      <w:r>
        <w:t>) to generate the volatility measure; follows Bahmani-Oskooee &amp; Aftab (</w:t>
      </w:r>
      <w:hyperlink w:anchor="ref-bahmani2017">
        <w:r>
          <w:rPr>
            <w:rStyle w:val="Hyperlink"/>
          </w:rPr>
          <w:t>2017</w:t>
        </w:r>
      </w:hyperlink>
      <w:r>
        <w:t>) in terms of trade model, choice of variables and econometric methodology; follows Asteriou et al. (</w:t>
      </w:r>
      <w:hyperlink w:anchor="ref-asteriou2016exchange">
        <w:r>
          <w:rPr>
            <w:rStyle w:val="Hyperlink"/>
          </w:rPr>
          <w:t>2016</w:t>
        </w:r>
      </w:hyperlink>
      <w:r>
        <w:t>) in regard to the proxy of some variables; and adopts general-to-specific approach for the estimation of NARDL as suggested by Katrakilidis &amp; Trachanas (</w:t>
      </w:r>
      <w:hyperlink w:anchor="ref-katrakilidis2012drives">
        <w:r>
          <w:rPr>
            <w:rStyle w:val="Hyperlink"/>
          </w:rPr>
          <w:t>2012</w:t>
        </w:r>
      </w:hyperlink>
      <w:r>
        <w:t xml:space="preserve">) and </w:t>
      </w:r>
      <w:r>
        <w:lastRenderedPageBreak/>
        <w:t>Cheah, Yiew, &amp; Ng (</w:t>
      </w:r>
      <w:hyperlink w:anchor="ref-cheah2017nonlinear">
        <w:r>
          <w:rPr>
            <w:rStyle w:val="Hyperlink"/>
          </w:rPr>
          <w:t>2017</w:t>
        </w:r>
      </w:hyperlink>
      <w:r>
        <w:t>). This study serves as a hybrid of the good contributions made by the previous studies; hence, it is expected to improve the understanding of trade-volatility relationship and to provide a good guide for trade and exchange rate policies in the ECOWAS and Eurozone countries.</w:t>
      </w:r>
    </w:p>
    <w:p w:rsidR="00DD760D" w:rsidRDefault="00221AAF">
      <w:pPr>
        <w:pStyle w:val="Heading1"/>
      </w:pPr>
      <w:bookmarkStart w:id="2" w:name="literature-review"/>
      <w:r>
        <w:t>Literature review</w:t>
      </w:r>
      <w:bookmarkEnd w:id="2"/>
    </w:p>
    <w:p w:rsidR="00DD760D" w:rsidRDefault="00221AAF">
      <w:pPr>
        <w:pStyle w:val="FirstParagraph"/>
      </w:pPr>
      <w:r>
        <w:t xml:space="preserve">Both theoretical and empirical literature on the relationship between exchange rate volatility and trade points to the possibility of both negative and positive relationships. Theoretically, the impact of exchange rate volatility could be negative (Ethier, </w:t>
      </w:r>
      <w:hyperlink w:anchor="ref-ethier1973international">
        <w:r>
          <w:rPr>
            <w:rStyle w:val="Hyperlink"/>
          </w:rPr>
          <w:t>1973</w:t>
        </w:r>
      </w:hyperlink>
      <w:r>
        <w:t xml:space="preserve">; Hooper &amp; Kohlhagen, </w:t>
      </w:r>
      <w:hyperlink w:anchor="ref-hooper1978effect">
        <w:r>
          <w:rPr>
            <w:rStyle w:val="Hyperlink"/>
          </w:rPr>
          <w:t>1978</w:t>
        </w:r>
      </w:hyperlink>
      <w:r>
        <w:t xml:space="preserve">), and insignificant (Giovannini, </w:t>
      </w:r>
      <w:hyperlink w:anchor="ref-giovannini1988exchange">
        <w:r>
          <w:rPr>
            <w:rStyle w:val="Hyperlink"/>
          </w:rPr>
          <w:t>1988</w:t>
        </w:r>
      </w:hyperlink>
      <w:r>
        <w:t xml:space="preserve">) or postive (Dellas &amp; Zilberfarb, </w:t>
      </w:r>
      <w:hyperlink w:anchor="ref-dellas1993real">
        <w:r>
          <w:rPr>
            <w:rStyle w:val="Hyperlink"/>
          </w:rPr>
          <w:t>1993</w:t>
        </w:r>
      </w:hyperlink>
      <w:r>
        <w:t xml:space="preserve">). On the other hand, empirical literature also supports the theoretical literature in the sense that effects of exchange rate volatility on trade are mixed (see for example McKenzie, </w:t>
      </w:r>
      <w:hyperlink w:anchor="ref-mckenzie1998impact">
        <w:r>
          <w:rPr>
            <w:rStyle w:val="Hyperlink"/>
          </w:rPr>
          <w:t>1998</w:t>
        </w:r>
      </w:hyperlink>
      <w:r>
        <w:t xml:space="preserve">; Asteriou et al., </w:t>
      </w:r>
      <w:hyperlink w:anchor="ref-asteriou2016exchange">
        <w:r>
          <w:rPr>
            <w:rStyle w:val="Hyperlink"/>
          </w:rPr>
          <w:t>2016</w:t>
        </w:r>
      </w:hyperlink>
      <w:r>
        <w:t xml:space="preserve">; Bahmani-Oskooee &amp; Aftab, </w:t>
      </w:r>
      <w:hyperlink w:anchor="ref-bahmani2017">
        <w:r>
          <w:rPr>
            <w:rStyle w:val="Hyperlink"/>
          </w:rPr>
          <w:t>2017</w:t>
        </w:r>
      </w:hyperlink>
      <w:r>
        <w:t>). Asteriou et al. (</w:t>
      </w:r>
      <w:hyperlink w:anchor="ref-asteriou2016exchange">
        <w:r>
          <w:rPr>
            <w:rStyle w:val="Hyperlink"/>
          </w:rPr>
          <w:t>2016</w:t>
        </w:r>
      </w:hyperlink>
      <w:r>
        <w:t>) use GARCH(1,1) and ARDL to investigate the effect of exchange rate volatility on the trade volumes for Mexico, Indonesia, Nigeria and Turkey (MINT). Their results show that, apart from the case of Turkey, there is no long run effects of exchange rate volatility on international trade. Bahmani-Oskooee &amp; Aftab (</w:t>
      </w:r>
      <w:hyperlink w:anchor="ref-bahmani2017">
        <w:r>
          <w:rPr>
            <w:rStyle w:val="Hyperlink"/>
          </w:rPr>
          <w:t>2017</w:t>
        </w:r>
      </w:hyperlink>
      <w:r>
        <w:t>) utilizes GARCH(1,1) and NARDL to estimate the asymmetric trade-volatility relationship in the light of US-Malaysia trade at the industry level. Their findings support asymmetric effect of exchange rate volatility in about one-third of the industries. The study further identifies industries affected by increased volatility and those affected by decreased volatility.</w:t>
      </w:r>
    </w:p>
    <w:p w:rsidR="00DD760D" w:rsidRDefault="00221AAF">
      <w:pPr>
        <w:pStyle w:val="BodyText"/>
      </w:pPr>
      <w:r>
        <w:t xml:space="preserve">Various measures of volatility exist in the literature (Brooks, </w:t>
      </w:r>
      <w:hyperlink w:anchor="ref-brooks2008introductory">
        <w:r>
          <w:rPr>
            <w:rStyle w:val="Hyperlink"/>
          </w:rPr>
          <w:t>2008</w:t>
        </w:r>
      </w:hyperlink>
      <w:r>
        <w:t xml:space="preserve">; McKenzie, </w:t>
      </w:r>
      <w:hyperlink w:anchor="ref-mckenzie1998impact">
        <w:r>
          <w:rPr>
            <w:rStyle w:val="Hyperlink"/>
          </w:rPr>
          <w:t>1998</w:t>
        </w:r>
      </w:hyperlink>
      <w:r>
        <w:t xml:space="preserve">), but one of the most recent measures is the Autoregressive Conditional Heteroscedastic (ARCH) model (see for example, Bahmani-Oskooee &amp; Aftab, </w:t>
      </w:r>
      <w:hyperlink w:anchor="ref-bahmani2017">
        <w:r>
          <w:rPr>
            <w:rStyle w:val="Hyperlink"/>
          </w:rPr>
          <w:t>2017</w:t>
        </w:r>
      </w:hyperlink>
      <w:r>
        <w:t xml:space="preserve">; Asteriou et al., </w:t>
      </w:r>
      <w:hyperlink w:anchor="ref-asteriou2016exchange">
        <w:r>
          <w:rPr>
            <w:rStyle w:val="Hyperlink"/>
          </w:rPr>
          <w:t>2016</w:t>
        </w:r>
      </w:hyperlink>
      <w:r>
        <w:t xml:space="preserve">; Bahmani-Oskooee &amp; </w:t>
      </w:r>
      <w:r>
        <w:lastRenderedPageBreak/>
        <w:t xml:space="preserve">Harvey, </w:t>
      </w:r>
      <w:hyperlink w:anchor="ref-bahmani2011exchange">
        <w:r>
          <w:rPr>
            <w:rStyle w:val="Hyperlink"/>
          </w:rPr>
          <w:t>2011</w:t>
        </w:r>
      </w:hyperlink>
      <w:r>
        <w:t xml:space="preserve">; Baum &amp; Caglayan, </w:t>
      </w:r>
      <w:hyperlink w:anchor="ref-baum2010sensitivity">
        <w:r>
          <w:rPr>
            <w:rStyle w:val="Hyperlink"/>
          </w:rPr>
          <w:t>2010</w:t>
        </w:r>
      </w:hyperlink>
      <w:r>
        <w:t xml:space="preserve">; Gür &amp; Ertuğrul, </w:t>
      </w:r>
      <w:hyperlink w:anchor="ref-gur2012doviz">
        <w:r>
          <w:rPr>
            <w:rStyle w:val="Hyperlink"/>
          </w:rPr>
          <w:t>2012</w:t>
        </w:r>
      </w:hyperlink>
      <w:r>
        <w:t>). Bollerslev (</w:t>
      </w:r>
      <w:hyperlink w:anchor="ref-bollerslev1986generalized">
        <w:r>
          <w:rPr>
            <w:rStyle w:val="Hyperlink"/>
          </w:rPr>
          <w:t>1986</w:t>
        </w:r>
      </w:hyperlink>
      <w:r>
        <w:t>) pioneered the Generalized ARCH (GARCH) families to serve as an extension to the ARCH model proposed by Engle (</w:t>
      </w:r>
      <w:hyperlink w:anchor="ref-engle1982autoregressive">
        <w:r>
          <w:rPr>
            <w:rStyle w:val="Hyperlink"/>
          </w:rPr>
          <w:t>1982</w:t>
        </w:r>
      </w:hyperlink>
      <w:r>
        <w:t>), and also extended to Integrated GARCH (IGARCH) by Nelson (</w:t>
      </w:r>
      <w:hyperlink w:anchor="ref-nelson1990stationarity">
        <w:r>
          <w:rPr>
            <w:rStyle w:val="Hyperlink"/>
          </w:rPr>
          <w:t>1990</w:t>
        </w:r>
      </w:hyperlink>
      <w:r>
        <w:t xml:space="preserve">). Moreover, it is more important to measure volatility using a measure that relies on prediction errors (McKenzie, </w:t>
      </w:r>
      <w:hyperlink w:anchor="ref-mckenzie1998impact">
        <w:r>
          <w:rPr>
            <w:rStyle w:val="Hyperlink"/>
          </w:rPr>
          <w:t>1998</w:t>
        </w:r>
      </w:hyperlink>
      <w:r>
        <w:t>).</w:t>
      </w:r>
    </w:p>
    <w:p w:rsidR="00DD760D" w:rsidRDefault="00221AAF">
      <w:pPr>
        <w:pStyle w:val="BodyText"/>
      </w:pPr>
      <w:r>
        <w:t>There are a number of econometric methodologies used to estimate the trade-volatility relationship. Chowdhury (</w:t>
      </w:r>
      <w:hyperlink w:anchor="ref-chowdhury1993does">
        <w:r>
          <w:rPr>
            <w:rStyle w:val="Hyperlink"/>
          </w:rPr>
          <w:t>1993</w:t>
        </w:r>
      </w:hyperlink>
      <w:r>
        <w:t>), Vergil (</w:t>
      </w:r>
      <w:hyperlink w:anchor="ref-vergil2002exchange">
        <w:r>
          <w:rPr>
            <w:rStyle w:val="Hyperlink"/>
          </w:rPr>
          <w:t>2002</w:t>
        </w:r>
      </w:hyperlink>
      <w:r>
        <w:t>), Aqeel &amp; Nishat (</w:t>
      </w:r>
      <w:hyperlink w:anchor="ref-aqeel2006effect">
        <w:r>
          <w:rPr>
            <w:rStyle w:val="Hyperlink"/>
          </w:rPr>
          <w:t>2006</w:t>
        </w:r>
      </w:hyperlink>
      <w:r>
        <w:t>) and Zorlubas (</w:t>
      </w:r>
      <w:hyperlink w:anchor="ref-zorlubas2011exchange">
        <w:r>
          <w:rPr>
            <w:rStyle w:val="Hyperlink"/>
          </w:rPr>
          <w:t>2011</w:t>
        </w:r>
      </w:hyperlink>
      <w:r>
        <w:t xml:space="preserve">) have used the Vector Error Correction Model (VECM). Some studies, on the other hand, have employed different methodologies such as Multiple Regression (see Hayakawa &amp; Kimura, </w:t>
      </w:r>
      <w:hyperlink w:anchor="ref-hayakawa2009effect">
        <w:r>
          <w:rPr>
            <w:rStyle w:val="Hyperlink"/>
          </w:rPr>
          <w:t>2009</w:t>
        </w:r>
      </w:hyperlink>
      <w:r>
        <w:t xml:space="preserve">; and Baak, </w:t>
      </w:r>
      <w:hyperlink w:anchor="ref-baak2004exchange">
        <w:r>
          <w:rPr>
            <w:rStyle w:val="Hyperlink"/>
          </w:rPr>
          <w:t>2004</w:t>
        </w:r>
      </w:hyperlink>
      <w:r>
        <w:t>). Asteriou et al. (</w:t>
      </w:r>
      <w:hyperlink w:anchor="ref-asteriou2016exchange">
        <w:r>
          <w:rPr>
            <w:rStyle w:val="Hyperlink"/>
          </w:rPr>
          <w:t>2016</w:t>
        </w:r>
      </w:hyperlink>
      <w:r>
        <w:t xml:space="preserve">) use the ARDL model to estimate the trade-volatility relationship. However, studies that are more recent have assumed nonlinearity in the trade-volatility relationship and therefore employed NARDL for the estimation (Arize, Malindretos, &amp; Igwe, </w:t>
      </w:r>
      <w:hyperlink w:anchor="ref-arize2017exchange">
        <w:r>
          <w:rPr>
            <w:rStyle w:val="Hyperlink"/>
          </w:rPr>
          <w:t>2017</w:t>
        </w:r>
      </w:hyperlink>
      <w:r>
        <w:t xml:space="preserve">; Bahmani-Oskooee &amp; Aftab, </w:t>
      </w:r>
      <w:hyperlink w:anchor="ref-bahmani2017">
        <w:r>
          <w:rPr>
            <w:rStyle w:val="Hyperlink"/>
          </w:rPr>
          <w:t>2017</w:t>
        </w:r>
      </w:hyperlink>
      <w:r>
        <w:t>). The NARDL estimation gives room for isolating the effect of increased volatility from the effect of decreased volatility on trade. This will guide policy makers to adopt more appropriate policies when volatility increases or decreases.</w:t>
      </w:r>
    </w:p>
    <w:p w:rsidR="00DD760D" w:rsidRDefault="00221AAF">
      <w:pPr>
        <w:pStyle w:val="BodyText"/>
      </w:pPr>
      <w:r>
        <w:t xml:space="preserve">The review of the above studies implies that various studies have employed several econometric models to examine the trade-volatility relationship in different countries (see for example Bahmani-Oskooee &amp; Aftab, </w:t>
      </w:r>
      <w:hyperlink w:anchor="ref-bahmani2017">
        <w:r>
          <w:rPr>
            <w:rStyle w:val="Hyperlink"/>
          </w:rPr>
          <w:t>2017</w:t>
        </w:r>
      </w:hyperlink>
      <w:r>
        <w:t xml:space="preserve">; Asteriou et al., </w:t>
      </w:r>
      <w:hyperlink w:anchor="ref-asteriou2016exchange">
        <w:r>
          <w:rPr>
            <w:rStyle w:val="Hyperlink"/>
          </w:rPr>
          <w:t>2016</w:t>
        </w:r>
      </w:hyperlink>
      <w:r>
        <w:t xml:space="preserve">). One common feature of these studies is that they model exchange rate as GARCH(1,1) to measure the volatility. Therefore, it is important to consider and choose from other variants of the GARCH families such as Integrated GARCH (IGARCH), Threshold ARCH (TARCH), and Exponential GARCH (EGARCH) to measure the volatility. Moreover, some previous studies assume linear trade-volatility relationships and those that assume non-linearity focus on other regions than ECOWAS and Eurozone. Additionally, the </w:t>
      </w:r>
      <w:r>
        <w:lastRenderedPageBreak/>
        <w:t>previous studies adopt GARCH(1,1) as the measure of volatility, without considering other variants of ARCH families. This study deems that choosing the most reliable of the ARCH models along with NARDL to examine trade between ECOWAS and Eurozone will shed more light on the trade-volatility relationship</w:t>
      </w:r>
      <w:r>
        <w:rPr>
          <w:rStyle w:val="FootnoteReference"/>
        </w:rPr>
        <w:footnoteReference w:id="3"/>
      </w:r>
      <w:r>
        <w:t>.</w:t>
      </w:r>
    </w:p>
    <w:p w:rsidR="00DD760D" w:rsidRDefault="00221AAF">
      <w:pPr>
        <w:pStyle w:val="Heading1"/>
      </w:pPr>
      <w:bookmarkStart w:id="3" w:name="data-and-econometric-methodology"/>
      <w:r>
        <w:t>Data and econometric methodology</w:t>
      </w:r>
      <w:bookmarkEnd w:id="3"/>
    </w:p>
    <w:p w:rsidR="00DD760D" w:rsidRDefault="00221AAF">
      <w:pPr>
        <w:pStyle w:val="Heading2"/>
      </w:pPr>
      <w:bookmarkStart w:id="4" w:name="econometric-model"/>
      <w:r>
        <w:t>Econometric model</w:t>
      </w:r>
      <w:bookmarkEnd w:id="4"/>
    </w:p>
    <w:p w:rsidR="00DD760D" w:rsidRDefault="00221AAF">
      <w:pPr>
        <w:pStyle w:val="FirstParagraph"/>
      </w:pPr>
      <w:r>
        <w:t>This study follows Bahmani-Oskooee &amp; Harvey (</w:t>
      </w:r>
      <w:hyperlink w:anchor="ref-bahmani2011exchange">
        <w:r>
          <w:rPr>
            <w:rStyle w:val="Hyperlink"/>
          </w:rPr>
          <w:t>2011</w:t>
        </w:r>
      </w:hyperlink>
      <w:r>
        <w:t>) and Bahmani-Oskooee &amp; Aftab (</w:t>
      </w:r>
      <w:hyperlink w:anchor="ref-bahmani2017">
        <w:r>
          <w:rPr>
            <w:rStyle w:val="Hyperlink"/>
          </w:rPr>
          <w:t>2017</w:t>
        </w:r>
      </w:hyperlink>
      <w:r>
        <w:t>) to estimate the following trade model</w:t>
      </w:r>
    </w:p>
    <w:p w:rsidR="00DD760D" w:rsidRDefault="00221AAF">
      <w:pPr>
        <w:pStyle w:val="BodyText"/>
      </w:pPr>
      <m:oMathPara>
        <m:oMathParaPr>
          <m:jc m:val="center"/>
        </m:oMathParaPr>
        <m:oMath>
          <m:r>
            <w:rPr>
              <w:rFonts w:ascii="Cambria Math" w:hAnsi="Cambria Math"/>
            </w:rPr>
            <m:t>ln</m:t>
          </m:r>
          <m:sSubSup>
            <m:sSubSupPr>
              <m:ctrlPr>
                <w:rPr>
                  <w:rFonts w:ascii="Cambria Math" w:hAnsi="Cambria Math"/>
                </w:rPr>
              </m:ctrlPr>
            </m:sSubSupPr>
            <m:e>
              <m:r>
                <w:rPr>
                  <w:rFonts w:ascii="Cambria Math" w:hAnsi="Cambria Math"/>
                </w:rPr>
                <m:t>X</m:t>
              </m:r>
            </m:e>
            <m:sub>
              <m:r>
                <w:rPr>
                  <w:rFonts w:ascii="Cambria Math" w:hAnsi="Cambria Math"/>
                </w:rPr>
                <m:t>t</m:t>
              </m:r>
            </m:sub>
            <m:sup>
              <m:r>
                <w:rPr>
                  <w:rFonts w:ascii="Cambria Math" w:hAnsi="Cambria Math"/>
                </w:rPr>
                <m:t>i</m:t>
              </m:r>
            </m:sup>
          </m:sSubSup>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1</m:t>
              </m:r>
            </m:sub>
          </m:sSub>
          <m:r>
            <w:rPr>
              <w:rFonts w:ascii="Cambria Math" w:hAnsi="Cambria Math"/>
            </w:rPr>
            <m:t>ln</m:t>
          </m:r>
          <m:sSubSup>
            <m:sSubSupPr>
              <m:ctrlPr>
                <w:rPr>
                  <w:rFonts w:ascii="Cambria Math" w:hAnsi="Cambria Math"/>
                </w:rPr>
              </m:ctrlPr>
            </m:sSubSupPr>
            <m:e>
              <m:r>
                <w:rPr>
                  <w:rFonts w:ascii="Cambria Math" w:hAnsi="Cambria Math"/>
                </w:rPr>
                <m:t>Y</m:t>
              </m:r>
            </m:e>
            <m:sub>
              <m:r>
                <w:rPr>
                  <w:rFonts w:ascii="Cambria Math" w:hAnsi="Cambria Math"/>
                </w:rPr>
                <m:t>t</m:t>
              </m:r>
            </m:sub>
            <m:sup>
              <m:r>
                <w:rPr>
                  <w:rFonts w:ascii="Cambria Math" w:hAnsi="Cambria Math"/>
                </w:rPr>
                <m:t>eu</m:t>
              </m:r>
            </m:sup>
          </m:sSubSup>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2</m:t>
              </m:r>
            </m:sub>
          </m:sSub>
          <m:r>
            <w:rPr>
              <w:rFonts w:ascii="Cambria Math" w:hAnsi="Cambria Math"/>
            </w:rPr>
            <m:t>ln</m:t>
          </m:r>
          <m:sSubSup>
            <m:sSubSupPr>
              <m:ctrlPr>
                <w:rPr>
                  <w:rFonts w:ascii="Cambria Math" w:hAnsi="Cambria Math"/>
                </w:rPr>
              </m:ctrlPr>
            </m:sSubSupPr>
            <m:e>
              <m:r>
                <w:rPr>
                  <w:rFonts w:ascii="Cambria Math" w:hAnsi="Cambria Math"/>
                </w:rPr>
                <m:t>R</m:t>
              </m:r>
            </m:e>
            <m:sub>
              <m:r>
                <w:rPr>
                  <w:rFonts w:ascii="Cambria Math" w:hAnsi="Cambria Math"/>
                </w:rPr>
                <m:t>t</m:t>
              </m:r>
            </m:sub>
            <m:sup>
              <m:r>
                <w:rPr>
                  <w:rFonts w:ascii="Cambria Math" w:hAnsi="Cambria Math"/>
                </w:rPr>
                <m:t>i</m:t>
              </m:r>
            </m:sup>
          </m:sSubSup>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3</m:t>
              </m:r>
            </m:sub>
          </m:sSub>
          <m:r>
            <w:rPr>
              <w:rFonts w:ascii="Cambria Math" w:hAnsi="Cambria Math"/>
            </w:rPr>
            <m:t>ln</m:t>
          </m:r>
          <m:sSubSup>
            <m:sSubSupPr>
              <m:ctrlPr>
                <w:rPr>
                  <w:rFonts w:ascii="Cambria Math" w:hAnsi="Cambria Math"/>
                </w:rPr>
              </m:ctrlPr>
            </m:sSubSupPr>
            <m:e>
              <m:r>
                <w:rPr>
                  <w:rFonts w:ascii="Cambria Math" w:hAnsi="Cambria Math"/>
                </w:rPr>
                <m:t>V</m:t>
              </m:r>
            </m:e>
            <m:sub>
              <m:r>
                <w:rPr>
                  <w:rFonts w:ascii="Cambria Math" w:hAnsi="Cambria Math"/>
                </w:rPr>
                <m:t>t</m:t>
              </m:r>
            </m:sub>
            <m:sup>
              <m:r>
                <w:rPr>
                  <w:rFonts w:ascii="Cambria Math" w:hAnsi="Cambria Math"/>
                </w:rPr>
                <m:t>i</m:t>
              </m:r>
            </m:sup>
          </m:sSubSup>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t</m:t>
              </m:r>
            </m:sub>
          </m:sSub>
          <m:r>
            <w:rPr>
              <w:rFonts w:ascii="Cambria Math" w:hAnsi="Cambria Math"/>
            </w:rPr>
            <m:t>  (1)</m:t>
          </m:r>
        </m:oMath>
      </m:oMathPara>
    </w:p>
    <w:p w:rsidR="00DD760D" w:rsidRDefault="00221AAF">
      <w:pPr>
        <w:pStyle w:val="FirstParagraph"/>
      </w:pPr>
      <m:oMathPara>
        <m:oMathParaPr>
          <m:jc m:val="center"/>
        </m:oMathParaPr>
        <m:oMath>
          <m:r>
            <w:rPr>
              <w:rFonts w:ascii="Cambria Math" w:hAnsi="Cambria Math"/>
            </w:rPr>
            <m:t>ln</m:t>
          </m:r>
          <m:sSubSup>
            <m:sSubSupPr>
              <m:ctrlPr>
                <w:rPr>
                  <w:rFonts w:ascii="Cambria Math" w:hAnsi="Cambria Math"/>
                </w:rPr>
              </m:ctrlPr>
            </m:sSubSupPr>
            <m:e>
              <m:r>
                <w:rPr>
                  <w:rFonts w:ascii="Cambria Math" w:hAnsi="Cambria Math"/>
                </w:rPr>
                <m:t>M</m:t>
              </m:r>
            </m:e>
            <m:sub>
              <m:r>
                <w:rPr>
                  <w:rFonts w:ascii="Cambria Math" w:hAnsi="Cambria Math"/>
                </w:rPr>
                <m:t>t</m:t>
              </m:r>
            </m:sub>
            <m:sup>
              <m:r>
                <w:rPr>
                  <w:rFonts w:ascii="Cambria Math" w:hAnsi="Cambria Math"/>
                </w:rPr>
                <m:t>i</m:t>
              </m:r>
            </m:sup>
          </m:sSubSup>
          <m:r>
            <w:rPr>
              <w:rFonts w:ascii="Cambria Math" w:hAnsi="Cambria Math"/>
            </w:rPr>
            <m:t>=</m:t>
          </m:r>
          <m:sSub>
            <m:sSubPr>
              <m:ctrlPr>
                <w:rPr>
                  <w:rFonts w:ascii="Cambria Math" w:hAnsi="Cambria Math"/>
                </w:rPr>
              </m:ctrlPr>
            </m:sSubPr>
            <m:e>
              <m:r>
                <w:rPr>
                  <w:rFonts w:ascii="Cambria Math" w:hAnsi="Cambria Math"/>
                </w:rPr>
                <m:t>ω</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ω</m:t>
              </m:r>
            </m:e>
            <m:sub>
              <m:r>
                <w:rPr>
                  <w:rFonts w:ascii="Cambria Math" w:hAnsi="Cambria Math"/>
                </w:rPr>
                <m:t>1</m:t>
              </m:r>
            </m:sub>
          </m:sSub>
          <m:r>
            <w:rPr>
              <w:rFonts w:ascii="Cambria Math" w:hAnsi="Cambria Math"/>
            </w:rPr>
            <m:t>ln</m:t>
          </m:r>
          <m:sSubSup>
            <m:sSubSupPr>
              <m:ctrlPr>
                <w:rPr>
                  <w:rFonts w:ascii="Cambria Math" w:hAnsi="Cambria Math"/>
                </w:rPr>
              </m:ctrlPr>
            </m:sSubSupPr>
            <m:e>
              <m:r>
                <w:rPr>
                  <w:rFonts w:ascii="Cambria Math" w:hAnsi="Cambria Math"/>
                </w:rPr>
                <m:t>Y</m:t>
              </m:r>
            </m:e>
            <m:sub>
              <m:r>
                <w:rPr>
                  <w:rFonts w:ascii="Cambria Math" w:hAnsi="Cambria Math"/>
                </w:rPr>
                <m:t>t</m:t>
              </m:r>
            </m:sub>
            <m:sup>
              <m:r>
                <w:rPr>
                  <w:rFonts w:ascii="Cambria Math" w:hAnsi="Cambria Math"/>
                </w:rPr>
                <m:t>i</m:t>
              </m:r>
            </m:sup>
          </m:sSubSup>
          <m:r>
            <w:rPr>
              <w:rFonts w:ascii="Cambria Math" w:hAnsi="Cambria Math"/>
            </w:rPr>
            <m:t>+</m:t>
          </m:r>
          <m:sSub>
            <m:sSubPr>
              <m:ctrlPr>
                <w:rPr>
                  <w:rFonts w:ascii="Cambria Math" w:hAnsi="Cambria Math"/>
                </w:rPr>
              </m:ctrlPr>
            </m:sSubPr>
            <m:e>
              <m:r>
                <w:rPr>
                  <w:rFonts w:ascii="Cambria Math" w:hAnsi="Cambria Math"/>
                </w:rPr>
                <m:t>ω</m:t>
              </m:r>
            </m:e>
            <m:sub>
              <m:r>
                <w:rPr>
                  <w:rFonts w:ascii="Cambria Math" w:hAnsi="Cambria Math"/>
                </w:rPr>
                <m:t>2</m:t>
              </m:r>
            </m:sub>
          </m:sSub>
          <m:r>
            <w:rPr>
              <w:rFonts w:ascii="Cambria Math" w:hAnsi="Cambria Math"/>
            </w:rPr>
            <m:t>ln</m:t>
          </m:r>
          <m:sSubSup>
            <m:sSubSupPr>
              <m:ctrlPr>
                <w:rPr>
                  <w:rFonts w:ascii="Cambria Math" w:hAnsi="Cambria Math"/>
                </w:rPr>
              </m:ctrlPr>
            </m:sSubSupPr>
            <m:e>
              <m:r>
                <w:rPr>
                  <w:rFonts w:ascii="Cambria Math" w:hAnsi="Cambria Math"/>
                </w:rPr>
                <m:t>R</m:t>
              </m:r>
            </m:e>
            <m:sub>
              <m:r>
                <w:rPr>
                  <w:rFonts w:ascii="Cambria Math" w:hAnsi="Cambria Math"/>
                </w:rPr>
                <m:t>t</m:t>
              </m:r>
            </m:sub>
            <m:sup>
              <m:r>
                <w:rPr>
                  <w:rFonts w:ascii="Cambria Math" w:hAnsi="Cambria Math"/>
                </w:rPr>
                <m:t>i</m:t>
              </m:r>
            </m:sup>
          </m:sSubSup>
          <m:r>
            <w:rPr>
              <w:rFonts w:ascii="Cambria Math" w:hAnsi="Cambria Math"/>
            </w:rPr>
            <m:t>+</m:t>
          </m:r>
          <m:sSub>
            <m:sSubPr>
              <m:ctrlPr>
                <w:rPr>
                  <w:rFonts w:ascii="Cambria Math" w:hAnsi="Cambria Math"/>
                </w:rPr>
              </m:ctrlPr>
            </m:sSubPr>
            <m:e>
              <m:r>
                <w:rPr>
                  <w:rFonts w:ascii="Cambria Math" w:hAnsi="Cambria Math"/>
                </w:rPr>
                <m:t>ω</m:t>
              </m:r>
            </m:e>
            <m:sub>
              <m:r>
                <w:rPr>
                  <w:rFonts w:ascii="Cambria Math" w:hAnsi="Cambria Math"/>
                </w:rPr>
                <m:t>3</m:t>
              </m:r>
            </m:sub>
          </m:sSub>
          <m:r>
            <w:rPr>
              <w:rFonts w:ascii="Cambria Math" w:hAnsi="Cambria Math"/>
            </w:rPr>
            <m:t>ln</m:t>
          </m:r>
          <m:sSubSup>
            <m:sSubSupPr>
              <m:ctrlPr>
                <w:rPr>
                  <w:rFonts w:ascii="Cambria Math" w:hAnsi="Cambria Math"/>
                </w:rPr>
              </m:ctrlPr>
            </m:sSubSupPr>
            <m:e>
              <m:r>
                <w:rPr>
                  <w:rFonts w:ascii="Cambria Math" w:hAnsi="Cambria Math"/>
                </w:rPr>
                <m:t>V</m:t>
              </m:r>
            </m:e>
            <m:sub>
              <m:r>
                <w:rPr>
                  <w:rFonts w:ascii="Cambria Math" w:hAnsi="Cambria Math"/>
                </w:rPr>
                <m:t>t</m:t>
              </m:r>
            </m:sub>
            <m:sup>
              <m:r>
                <w:rPr>
                  <w:rFonts w:ascii="Cambria Math" w:hAnsi="Cambria Math"/>
                </w:rPr>
                <m:t>i</m:t>
              </m:r>
            </m:sup>
          </m:sSubSup>
          <m:r>
            <w:rPr>
              <w:rFonts w:ascii="Cambria Math" w:hAnsi="Cambria Math"/>
            </w:rPr>
            <m:t>+</m:t>
          </m:r>
          <m:sSub>
            <m:sSubPr>
              <m:ctrlPr>
                <w:rPr>
                  <w:rFonts w:ascii="Cambria Math" w:hAnsi="Cambria Math"/>
                </w:rPr>
              </m:ctrlPr>
            </m:sSubPr>
            <m:e>
              <m:r>
                <w:rPr>
                  <w:rFonts w:ascii="Cambria Math" w:hAnsi="Cambria Math"/>
                </w:rPr>
                <m:t>ε</m:t>
              </m:r>
            </m:e>
            <m:sub>
              <m:r>
                <w:rPr>
                  <w:rFonts w:ascii="Cambria Math" w:hAnsi="Cambria Math"/>
                </w:rPr>
                <m:t>t</m:t>
              </m:r>
            </m:sub>
          </m:sSub>
          <m:r>
            <w:rPr>
              <w:rFonts w:ascii="Cambria Math" w:hAnsi="Cambria Math"/>
            </w:rPr>
            <m:t>  (2)</m:t>
          </m:r>
        </m:oMath>
      </m:oMathPara>
    </w:p>
    <w:p w:rsidR="00DD760D" w:rsidRDefault="00221AAF">
      <w:pPr>
        <w:pStyle w:val="FirstParagraph"/>
      </w:pPr>
      <w:r>
        <w:t xml:space="preserve">Where </w:t>
      </w:r>
      <m:oMath>
        <m:sSubSup>
          <m:sSubSupPr>
            <m:ctrlPr>
              <w:rPr>
                <w:rFonts w:ascii="Cambria Math" w:hAnsi="Cambria Math"/>
              </w:rPr>
            </m:ctrlPr>
          </m:sSubSupPr>
          <m:e>
            <m:r>
              <w:rPr>
                <w:rFonts w:ascii="Cambria Math" w:hAnsi="Cambria Math"/>
              </w:rPr>
              <m:t>X</m:t>
            </m:r>
          </m:e>
          <m:sub>
            <m:r>
              <w:rPr>
                <w:rFonts w:ascii="Cambria Math" w:hAnsi="Cambria Math"/>
              </w:rPr>
              <m:t>t</m:t>
            </m:r>
          </m:sub>
          <m:sup>
            <m:r>
              <w:rPr>
                <w:rFonts w:ascii="Cambria Math" w:hAnsi="Cambria Math"/>
              </w:rPr>
              <m:t>i</m:t>
            </m:r>
          </m:sup>
        </m:sSubSup>
      </m:oMath>
      <w:r>
        <w:t xml:space="preserve">, </w:t>
      </w:r>
      <m:oMath>
        <m:sSubSup>
          <m:sSubSupPr>
            <m:ctrlPr>
              <w:rPr>
                <w:rFonts w:ascii="Cambria Math" w:hAnsi="Cambria Math"/>
              </w:rPr>
            </m:ctrlPr>
          </m:sSubSupPr>
          <m:e>
            <m:r>
              <w:rPr>
                <w:rFonts w:ascii="Cambria Math" w:hAnsi="Cambria Math"/>
              </w:rPr>
              <m:t>M</m:t>
            </m:r>
          </m:e>
          <m:sub>
            <m:r>
              <w:rPr>
                <w:rFonts w:ascii="Cambria Math" w:hAnsi="Cambria Math"/>
              </w:rPr>
              <m:t>t</m:t>
            </m:r>
          </m:sub>
          <m:sup>
            <m:r>
              <w:rPr>
                <w:rFonts w:ascii="Cambria Math" w:hAnsi="Cambria Math"/>
              </w:rPr>
              <m:t>i</m:t>
            </m:r>
          </m:sup>
        </m:sSubSup>
      </m:oMath>
      <w:r>
        <w:t xml:space="preserve">, </w:t>
      </w:r>
      <m:oMath>
        <m:sSubSup>
          <m:sSubSupPr>
            <m:ctrlPr>
              <w:rPr>
                <w:rFonts w:ascii="Cambria Math" w:hAnsi="Cambria Math"/>
              </w:rPr>
            </m:ctrlPr>
          </m:sSubSupPr>
          <m:e>
            <m:r>
              <w:rPr>
                <w:rFonts w:ascii="Cambria Math" w:hAnsi="Cambria Math"/>
              </w:rPr>
              <m:t>Y</m:t>
            </m:r>
          </m:e>
          <m:sub>
            <m:r>
              <w:rPr>
                <w:rFonts w:ascii="Cambria Math" w:hAnsi="Cambria Math"/>
              </w:rPr>
              <m:t>t</m:t>
            </m:r>
          </m:sub>
          <m:sup>
            <m:r>
              <w:rPr>
                <w:rFonts w:ascii="Cambria Math" w:hAnsi="Cambria Math"/>
              </w:rPr>
              <m:t>e</m:t>
            </m:r>
          </m:sup>
        </m:sSubSup>
        <m:r>
          <w:rPr>
            <w:rFonts w:ascii="Cambria Math" w:hAnsi="Cambria Math"/>
          </w:rPr>
          <m:t>u</m:t>
        </m:r>
      </m:oMath>
      <w:r>
        <w:t xml:space="preserve"> and </w:t>
      </w:r>
      <m:oMath>
        <m:sSubSup>
          <m:sSubSupPr>
            <m:ctrlPr>
              <w:rPr>
                <w:rFonts w:ascii="Cambria Math" w:hAnsi="Cambria Math"/>
              </w:rPr>
            </m:ctrlPr>
          </m:sSubSupPr>
          <m:e>
            <m:r>
              <w:rPr>
                <w:rFonts w:ascii="Cambria Math" w:hAnsi="Cambria Math"/>
              </w:rPr>
              <m:t>Y</m:t>
            </m:r>
          </m:e>
          <m:sub>
            <m:r>
              <w:rPr>
                <w:rFonts w:ascii="Cambria Math" w:hAnsi="Cambria Math"/>
              </w:rPr>
              <m:t>t</m:t>
            </m:r>
          </m:sub>
          <m:sup>
            <m:r>
              <w:rPr>
                <w:rFonts w:ascii="Cambria Math" w:hAnsi="Cambria Math"/>
              </w:rPr>
              <m:t>i</m:t>
            </m:r>
          </m:sup>
        </m:sSubSup>
      </m:oMath>
      <w:r>
        <w:t xml:space="preserve"> stand for ECOWAS member’s export to Eurozone, import from Eurozone, Eurozone income and ECOWAS member’s income respectively. </w:t>
      </w:r>
      <m:oMath>
        <m:sSubSup>
          <m:sSubSupPr>
            <m:ctrlPr>
              <w:rPr>
                <w:rFonts w:ascii="Cambria Math" w:hAnsi="Cambria Math"/>
              </w:rPr>
            </m:ctrlPr>
          </m:sSubSupPr>
          <m:e>
            <m:r>
              <w:rPr>
                <w:rFonts w:ascii="Cambria Math" w:hAnsi="Cambria Math"/>
              </w:rPr>
              <m:t>R</m:t>
            </m:r>
          </m:e>
          <m:sub>
            <m:r>
              <w:rPr>
                <w:rFonts w:ascii="Cambria Math" w:hAnsi="Cambria Math"/>
              </w:rPr>
              <m:t>t</m:t>
            </m:r>
          </m:sub>
          <m:sup>
            <m:r>
              <w:rPr>
                <w:rFonts w:ascii="Cambria Math" w:hAnsi="Cambria Math"/>
              </w:rPr>
              <m:t>i</m:t>
            </m:r>
          </m:sup>
        </m:sSubSup>
      </m:oMath>
      <w:r>
        <w:t xml:space="preserve"> and </w:t>
      </w:r>
      <m:oMath>
        <m:sSubSup>
          <m:sSubSupPr>
            <m:ctrlPr>
              <w:rPr>
                <w:rFonts w:ascii="Cambria Math" w:hAnsi="Cambria Math"/>
              </w:rPr>
            </m:ctrlPr>
          </m:sSubSupPr>
          <m:e>
            <m:r>
              <w:rPr>
                <w:rFonts w:ascii="Cambria Math" w:hAnsi="Cambria Math"/>
              </w:rPr>
              <m:t>V</m:t>
            </m:r>
          </m:e>
          <m:sub>
            <m:r>
              <w:rPr>
                <w:rFonts w:ascii="Cambria Math" w:hAnsi="Cambria Math"/>
              </w:rPr>
              <m:t>t</m:t>
            </m:r>
          </m:sub>
          <m:sup>
            <m:r>
              <w:rPr>
                <w:rFonts w:ascii="Cambria Math" w:hAnsi="Cambria Math"/>
              </w:rPr>
              <m:t>i</m:t>
            </m:r>
          </m:sup>
        </m:sSubSup>
      </m:oMath>
      <w:r>
        <w:t xml:space="preserve"> represent ECOWAS member’s real exchange rate and volatility measure respectively. All the variables are in natural logarithm and the error terms </w:t>
      </w:r>
      <m:oMath>
        <m:sSub>
          <m:sSubPr>
            <m:ctrlPr>
              <w:rPr>
                <w:rFonts w:ascii="Cambria Math" w:hAnsi="Cambria Math"/>
              </w:rPr>
            </m:ctrlPr>
          </m:sSubPr>
          <m:e>
            <m:r>
              <w:rPr>
                <w:rFonts w:ascii="Cambria Math" w:hAnsi="Cambria Math"/>
              </w:rPr>
              <m:t>u</m:t>
            </m:r>
          </m:e>
          <m:sub>
            <m:r>
              <w:rPr>
                <w:rFonts w:ascii="Cambria Math" w:hAnsi="Cambria Math"/>
              </w:rPr>
              <m:t>t</m:t>
            </m:r>
          </m:sub>
        </m:sSub>
      </m:oMath>
      <w:r>
        <w:t xml:space="preserve"> and </w:t>
      </w:r>
      <m:oMath>
        <m:sSub>
          <m:sSubPr>
            <m:ctrlPr>
              <w:rPr>
                <w:rFonts w:ascii="Cambria Math" w:hAnsi="Cambria Math"/>
              </w:rPr>
            </m:ctrlPr>
          </m:sSubPr>
          <m:e>
            <m:r>
              <w:rPr>
                <w:rFonts w:ascii="Cambria Math" w:hAnsi="Cambria Math"/>
              </w:rPr>
              <m:t>ε</m:t>
            </m:r>
          </m:e>
          <m:sub>
            <m:r>
              <w:rPr>
                <w:rFonts w:ascii="Cambria Math" w:hAnsi="Cambria Math"/>
              </w:rPr>
              <m:t>t</m:t>
            </m:r>
          </m:sub>
        </m:sSub>
      </m:oMath>
      <w:r>
        <w:t xml:space="preserve"> are white noise. The expected signs of </w:t>
      </w:r>
      <m:oMath>
        <m:sSub>
          <m:sSubPr>
            <m:ctrlPr>
              <w:rPr>
                <w:rFonts w:ascii="Cambria Math" w:hAnsi="Cambria Math"/>
              </w:rPr>
            </m:ctrlPr>
          </m:sSubPr>
          <m:e>
            <m:r>
              <w:rPr>
                <w:rFonts w:ascii="Cambria Math" w:hAnsi="Cambria Math"/>
              </w:rPr>
              <m:t>γ</m:t>
            </m:r>
          </m:e>
          <m:sub>
            <m:r>
              <w:rPr>
                <w:rFonts w:ascii="Cambria Math" w:hAnsi="Cambria Math"/>
              </w:rPr>
              <m:t>1</m:t>
            </m:r>
          </m:sub>
        </m:sSub>
      </m:oMath>
      <w:r>
        <w:t xml:space="preserve"> and </w:t>
      </w:r>
      <m:oMath>
        <m:sSub>
          <m:sSubPr>
            <m:ctrlPr>
              <w:rPr>
                <w:rFonts w:ascii="Cambria Math" w:hAnsi="Cambria Math"/>
              </w:rPr>
            </m:ctrlPr>
          </m:sSubPr>
          <m:e>
            <m:r>
              <w:rPr>
                <w:rFonts w:ascii="Cambria Math" w:hAnsi="Cambria Math"/>
              </w:rPr>
              <m:t>ω</m:t>
            </m:r>
          </m:e>
          <m:sub>
            <m:r>
              <w:rPr>
                <w:rFonts w:ascii="Cambria Math" w:hAnsi="Cambria Math"/>
              </w:rPr>
              <m:t>1</m:t>
            </m:r>
          </m:sub>
        </m:sSub>
      </m:oMath>
      <w:r>
        <w:t xml:space="preserve"> are positive because increased income is expected to foster trade. The signs of </w:t>
      </w:r>
      <m:oMath>
        <m:sSub>
          <m:sSubPr>
            <m:ctrlPr>
              <w:rPr>
                <w:rFonts w:ascii="Cambria Math" w:hAnsi="Cambria Math"/>
              </w:rPr>
            </m:ctrlPr>
          </m:sSubPr>
          <m:e>
            <m:r>
              <w:rPr>
                <w:rFonts w:ascii="Cambria Math" w:hAnsi="Cambria Math"/>
              </w:rPr>
              <m:t>γ</m:t>
            </m:r>
          </m:e>
          <m:sub>
            <m:r>
              <w:rPr>
                <w:rFonts w:ascii="Cambria Math" w:hAnsi="Cambria Math"/>
              </w:rPr>
              <m:t>2</m:t>
            </m:r>
          </m:sub>
        </m:sSub>
      </m:oMath>
      <w:r>
        <w:t xml:space="preserve"> and </w:t>
      </w:r>
      <m:oMath>
        <m:sSub>
          <m:sSubPr>
            <m:ctrlPr>
              <w:rPr>
                <w:rFonts w:ascii="Cambria Math" w:hAnsi="Cambria Math"/>
              </w:rPr>
            </m:ctrlPr>
          </m:sSubPr>
          <m:e>
            <m:r>
              <w:rPr>
                <w:rFonts w:ascii="Cambria Math" w:hAnsi="Cambria Math"/>
              </w:rPr>
              <m:t>ω</m:t>
            </m:r>
          </m:e>
          <m:sub>
            <m:r>
              <w:rPr>
                <w:rFonts w:ascii="Cambria Math" w:hAnsi="Cambria Math"/>
              </w:rPr>
              <m:t>2</m:t>
            </m:r>
          </m:sub>
        </m:sSub>
      </m:oMath>
      <w:r>
        <w:t xml:space="preserve"> are expected to be positive and negative respectively, as real depreciation of domestic currency is expected to increase exports and reduce imports. Finally, the estimates of </w:t>
      </w:r>
      <m:oMath>
        <m:sSub>
          <m:sSubPr>
            <m:ctrlPr>
              <w:rPr>
                <w:rFonts w:ascii="Cambria Math" w:hAnsi="Cambria Math"/>
              </w:rPr>
            </m:ctrlPr>
          </m:sSubPr>
          <m:e>
            <m:r>
              <w:rPr>
                <w:rFonts w:ascii="Cambria Math" w:hAnsi="Cambria Math"/>
              </w:rPr>
              <m:t>γ</m:t>
            </m:r>
          </m:e>
          <m:sub>
            <m:r>
              <w:rPr>
                <w:rFonts w:ascii="Cambria Math" w:hAnsi="Cambria Math"/>
              </w:rPr>
              <m:t>3</m:t>
            </m:r>
          </m:sub>
        </m:sSub>
      </m:oMath>
      <w:r>
        <w:t xml:space="preserve"> and </w:t>
      </w:r>
      <m:oMath>
        <m:sSub>
          <m:sSubPr>
            <m:ctrlPr>
              <w:rPr>
                <w:rFonts w:ascii="Cambria Math" w:hAnsi="Cambria Math"/>
              </w:rPr>
            </m:ctrlPr>
          </m:sSubPr>
          <m:e>
            <m:r>
              <w:rPr>
                <w:rFonts w:ascii="Cambria Math" w:hAnsi="Cambria Math"/>
              </w:rPr>
              <m:t>ω</m:t>
            </m:r>
          </m:e>
          <m:sub>
            <m:r>
              <w:rPr>
                <w:rFonts w:ascii="Cambria Math" w:hAnsi="Cambria Math"/>
              </w:rPr>
              <m:t>3</m:t>
            </m:r>
          </m:sub>
        </m:sSub>
      </m:oMath>
      <w:r>
        <w:t xml:space="preserve"> could be negative or positive depending on the risk attitude of the economic agents.</w:t>
      </w:r>
    </w:p>
    <w:p w:rsidR="00DD760D" w:rsidRDefault="00221AAF">
      <w:pPr>
        <w:pStyle w:val="BodyText"/>
      </w:pPr>
      <w:r>
        <w:lastRenderedPageBreak/>
        <w:t>Two econometric techniques will be used to estimate the import and export equations. The econometric techniques considered in this study include the ARDL model that assumes symmetry (linearity) of trade-volatility relationship, and the NARDL model that considers the trade-volatility relationship to be asymmetric (nonlinear). The ARDL approach is developed by Pesaran, Shin, &amp; Smith (</w:t>
      </w:r>
      <w:hyperlink w:anchor="ref-pesaran2001bounds">
        <w:r>
          <w:rPr>
            <w:rStyle w:val="Hyperlink"/>
          </w:rPr>
          <w:t>2001</w:t>
        </w:r>
      </w:hyperlink>
      <w:r>
        <w:t xml:space="preserve">) and it can be applied to a mixture of I(1) and I(0), or purely I(1) regressors. In simple form, the ARDL modelling approach involves estimating the following conditional error correction models (see Asteriou &amp; Hall, </w:t>
      </w:r>
      <w:hyperlink w:anchor="ref-asteriou2011applied">
        <w:r>
          <w:rPr>
            <w:rStyle w:val="Hyperlink"/>
          </w:rPr>
          <w:t>2011</w:t>
        </w:r>
      </w:hyperlink>
      <w:r>
        <w:t>):</w:t>
      </w:r>
    </w:p>
    <w:p w:rsidR="00DD760D" w:rsidRDefault="00221AAF">
      <w:pPr>
        <w:pStyle w:val="BodyText"/>
      </w:pPr>
      <m:oMathPara>
        <m:oMathParaPr>
          <m:jc m:val="center"/>
        </m:oMathParaPr>
        <m:oMath>
          <m:r>
            <w:rPr>
              <w:rFonts w:ascii="Cambria Math" w:hAnsi="Cambria Math"/>
            </w:rPr>
            <m:t>Δ</m:t>
          </m:r>
          <m:sSub>
            <m:sSubPr>
              <m:ctrlPr>
                <w:rPr>
                  <w:rFonts w:ascii="Cambria Math" w:hAnsi="Cambria Math"/>
                </w:rPr>
              </m:ctrlPr>
            </m:sSubPr>
            <m:e>
              <m: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2</m:t>
              </m:r>
            </m:sub>
          </m:sSub>
          <m:r>
            <w:rPr>
              <w:rFonts w:ascii="Cambria Math" w:hAnsi="Cambria Math"/>
            </w:rPr>
            <m:t>t+</m:t>
          </m:r>
          <m:nary>
            <m:naryPr>
              <m:chr m:val="∑"/>
              <m:limLoc m:val="undOvr"/>
              <m:ctrlPr>
                <w:rPr>
                  <w:rFonts w:ascii="Cambria Math" w:hAnsi="Cambria Math"/>
                </w:rPr>
              </m:ctrlPr>
            </m:naryPr>
            <m:sub>
              <m:r>
                <w:rPr>
                  <w:rFonts w:ascii="Cambria Math" w:hAnsi="Cambria Math"/>
                </w:rPr>
                <m:t>i=1</m:t>
              </m:r>
            </m:sub>
            <m:sup>
              <m:r>
                <w:rPr>
                  <w:rFonts w:ascii="Cambria Math" w:hAnsi="Cambria Math"/>
                </w:rPr>
                <m:t>n-1</m:t>
              </m:r>
            </m:sup>
            <m:e>
              <m:sSub>
                <m:sSubPr>
                  <m:ctrlPr>
                    <w:rPr>
                      <w:rFonts w:ascii="Cambria Math" w:hAnsi="Cambria Math"/>
                    </w:rPr>
                  </m:ctrlPr>
                </m:sSubPr>
                <m:e>
                  <m:r>
                    <w:rPr>
                      <w:rFonts w:ascii="Cambria Math" w:hAnsi="Cambria Math"/>
                    </w:rPr>
                    <m:t>θ</m:t>
                  </m:r>
                </m:e>
                <m:sub>
                  <m:r>
                    <w:rPr>
                      <w:rFonts w:ascii="Cambria Math" w:hAnsi="Cambria Math"/>
                    </w:rPr>
                    <m:t>i</m:t>
                  </m:r>
                </m:sub>
              </m:sSub>
            </m:e>
          </m:nary>
          <m:r>
            <w:rPr>
              <w:rFonts w:ascii="Cambria Math" w:hAnsi="Cambria Math"/>
            </w:rPr>
            <m:t>Δ</m:t>
          </m:r>
          <m:sSub>
            <m:sSubPr>
              <m:ctrlPr>
                <w:rPr>
                  <w:rFonts w:ascii="Cambria Math" w:hAnsi="Cambria Math"/>
                </w:rPr>
              </m:ctrlPr>
            </m:sSubPr>
            <m:e>
              <m:r>
                <w:rPr>
                  <w:rFonts w:ascii="Cambria Math" w:hAnsi="Cambria Math"/>
                </w:rPr>
                <m:t>Y</m:t>
              </m:r>
            </m:e>
            <m:sub>
              <m:r>
                <w:rPr>
                  <w:rFonts w:ascii="Cambria Math" w:hAnsi="Cambria Math"/>
                </w:rPr>
                <m:t>t-i</m:t>
              </m:r>
            </m:sub>
          </m:sSub>
          <m:r>
            <w:rPr>
              <w:rFonts w:ascii="Cambria Math" w:hAnsi="Cambria Math"/>
            </w:rPr>
            <m:t>+</m:t>
          </m:r>
          <m:nary>
            <m:naryPr>
              <m:chr m:val="∑"/>
              <m:limLoc m:val="undOvr"/>
              <m:ctrlPr>
                <w:rPr>
                  <w:rFonts w:ascii="Cambria Math" w:hAnsi="Cambria Math"/>
                </w:rPr>
              </m:ctrlPr>
            </m:naryPr>
            <m:sub>
              <m:r>
                <w:rPr>
                  <w:rFonts w:ascii="Cambria Math" w:hAnsi="Cambria Math"/>
                </w:rPr>
                <m:t>i=0</m:t>
              </m:r>
            </m:sub>
            <m:sup>
              <m:r>
                <w:rPr>
                  <w:rFonts w:ascii="Cambria Math" w:hAnsi="Cambria Math"/>
                </w:rPr>
                <m:t>m-1</m:t>
              </m:r>
            </m:sup>
            <m:e>
              <m:sSub>
                <m:sSubPr>
                  <m:ctrlPr>
                    <w:rPr>
                      <w:rFonts w:ascii="Cambria Math" w:hAnsi="Cambria Math"/>
                    </w:rPr>
                  </m:ctrlPr>
                </m:sSubPr>
                <m:e>
                  <m:r>
                    <w:rPr>
                      <w:rFonts w:ascii="Cambria Math" w:hAnsi="Cambria Math"/>
                    </w:rPr>
                    <m:t>γ</m:t>
                  </m:r>
                </m:e>
                <m:sub>
                  <m:r>
                    <w:rPr>
                      <w:rFonts w:ascii="Cambria Math" w:hAnsi="Cambria Math"/>
                    </w:rPr>
                    <m:t>i</m:t>
                  </m:r>
                </m:sub>
              </m:sSub>
            </m:e>
          </m:nary>
          <m:r>
            <w:rPr>
              <w:rFonts w:ascii="Cambria Math" w:hAnsi="Cambria Math"/>
            </w:rPr>
            <m:t>Δ</m:t>
          </m:r>
          <m:sSub>
            <m:sSubPr>
              <m:ctrlPr>
                <w:rPr>
                  <w:rFonts w:ascii="Cambria Math" w:hAnsi="Cambria Math"/>
                </w:rPr>
              </m:ctrlPr>
            </m:sSubPr>
            <m:e>
              <m:r>
                <m:rPr>
                  <m:sty m:val="b"/>
                </m:rPr>
                <w:rPr>
                  <w:rFonts w:ascii="Cambria Math" w:hAnsi="Cambria Math"/>
                </w:rPr>
                <m:t>X</m:t>
              </m:r>
            </m:e>
            <m:sub>
              <m:r>
                <m:rPr>
                  <m:sty m:val="b"/>
                </m:rPr>
                <w:rPr>
                  <w:rFonts w:ascii="Cambria Math" w:hAnsi="Cambria Math"/>
                </w:rPr>
                <m:t>t-i</m:t>
              </m:r>
            </m:sub>
          </m:sSub>
          <m:r>
            <w:rPr>
              <w:rFonts w:ascii="Cambria Math" w:hAnsi="Cambria Math"/>
            </w:rPr>
            <m:t>+</m:t>
          </m:r>
          <m:sSub>
            <m:sSubPr>
              <m:ctrlPr>
                <w:rPr>
                  <w:rFonts w:ascii="Cambria Math" w:hAnsi="Cambria Math"/>
                </w:rPr>
              </m:ctrlPr>
            </m:sSubPr>
            <m:e>
              <m:r>
                <w:rPr>
                  <w:rFonts w:ascii="Cambria Math" w:hAnsi="Cambria Math"/>
                </w:rPr>
                <m:t>δ</m:t>
              </m:r>
            </m:e>
            <m:sub>
              <m:r>
                <w:rPr>
                  <w:rFonts w:ascii="Cambria Math" w:hAnsi="Cambria Math"/>
                </w:rPr>
                <m:t>0</m:t>
              </m:r>
            </m:sub>
          </m:sSub>
          <m:sSub>
            <m:sSubPr>
              <m:ctrlPr>
                <w:rPr>
                  <w:rFonts w:ascii="Cambria Math" w:hAnsi="Cambria Math"/>
                </w:rPr>
              </m:ctrlPr>
            </m:sSubPr>
            <m:e>
              <m:r>
                <w:rPr>
                  <w:rFonts w:ascii="Cambria Math" w:hAnsi="Cambria Math"/>
                </w:rPr>
                <m:t>Y</m:t>
              </m:r>
            </m:e>
            <m:sub>
              <m:r>
                <w:rPr>
                  <w:rFonts w:ascii="Cambria Math" w:hAnsi="Cambria Math"/>
                </w:rPr>
                <m:t>t-1</m:t>
              </m:r>
            </m:sub>
          </m:sSub>
          <m:r>
            <w:rPr>
              <w:rFonts w:ascii="Cambria Math" w:hAnsi="Cambria Math"/>
            </w:rPr>
            <m:t>+</m:t>
          </m:r>
          <m:sSub>
            <m:sSubPr>
              <m:ctrlPr>
                <w:rPr>
                  <w:rFonts w:ascii="Cambria Math" w:hAnsi="Cambria Math"/>
                </w:rPr>
              </m:ctrlPr>
            </m:sSubPr>
            <m:e>
              <m:r>
                <w:rPr>
                  <w:rFonts w:ascii="Cambria Math" w:hAnsi="Cambria Math"/>
                </w:rPr>
                <m:t>δ</m:t>
              </m:r>
            </m:e>
            <m:sub>
              <m:r>
                <w:rPr>
                  <w:rFonts w:ascii="Cambria Math" w:hAnsi="Cambria Math"/>
                </w:rPr>
                <m:t>i</m:t>
              </m:r>
            </m:sub>
          </m:sSub>
          <m:sSub>
            <m:sSubPr>
              <m:ctrlPr>
                <w:rPr>
                  <w:rFonts w:ascii="Cambria Math" w:hAnsi="Cambria Math"/>
                </w:rPr>
              </m:ctrlPr>
            </m:sSubPr>
            <m:e>
              <m:r>
                <m:rPr>
                  <m:sty m:val="b"/>
                </m:rPr>
                <w:rPr>
                  <w:rFonts w:ascii="Cambria Math" w:hAnsi="Cambria Math"/>
                </w:rPr>
                <m:t>X</m:t>
              </m:r>
            </m:e>
            <m:sub>
              <m:r>
                <m:rPr>
                  <m:sty m:val="b"/>
                </m:rPr>
                <w:rPr>
                  <w:rFonts w:ascii="Cambria Math" w:hAnsi="Cambria Math"/>
                </w:rPr>
                <m:t>t-1</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t</m:t>
              </m:r>
            </m:sub>
          </m:sSub>
          <m:r>
            <w:rPr>
              <w:rFonts w:ascii="Cambria Math" w:hAnsi="Cambria Math"/>
            </w:rPr>
            <m:t>  (3)</m:t>
          </m:r>
        </m:oMath>
      </m:oMathPara>
    </w:p>
    <w:p w:rsidR="00DD760D" w:rsidRDefault="00221AAF">
      <w:pPr>
        <w:pStyle w:val="FirstParagraph"/>
      </w:pPr>
      <w:r>
        <w:t xml:space="preserve">In Equation (3), </w:t>
      </w:r>
      <m:oMath>
        <m:r>
          <w:rPr>
            <w:rFonts w:ascii="Cambria Math" w:hAnsi="Cambria Math"/>
          </w:rPr>
          <m:t>Δ</m:t>
        </m:r>
      </m:oMath>
      <w:r>
        <w:t xml:space="preserve"> is the difference operator, </w:t>
      </w:r>
      <m:oMath>
        <m:sSub>
          <m:sSubPr>
            <m:ctrlPr>
              <w:rPr>
                <w:rFonts w:ascii="Cambria Math" w:hAnsi="Cambria Math"/>
              </w:rPr>
            </m:ctrlPr>
          </m:sSubPr>
          <m:e>
            <m:r>
              <w:rPr>
                <w:rFonts w:ascii="Cambria Math" w:hAnsi="Cambria Math"/>
              </w:rPr>
              <m:t>Y</m:t>
            </m:r>
          </m:e>
          <m:sub>
            <m:r>
              <w:rPr>
                <w:rFonts w:ascii="Cambria Math" w:hAnsi="Cambria Math"/>
              </w:rPr>
              <m:t>t</m:t>
            </m:r>
          </m:sub>
        </m:sSub>
      </m:oMath>
      <w:r>
        <w:t xml:space="preserve"> is the dependent variable, </w:t>
      </w:r>
      <m:oMath>
        <m:sSub>
          <m:sSubPr>
            <m:ctrlPr>
              <w:rPr>
                <w:rFonts w:ascii="Cambria Math" w:hAnsi="Cambria Math"/>
              </w:rPr>
            </m:ctrlPr>
          </m:sSubPr>
          <m:e>
            <m:r>
              <w:rPr>
                <w:rFonts w:ascii="Cambria Math" w:hAnsi="Cambria Math"/>
              </w:rPr>
              <m:t>X</m:t>
            </m:r>
          </m:e>
          <m:sub>
            <m:r>
              <w:rPr>
                <w:rFonts w:ascii="Cambria Math" w:hAnsi="Cambria Math"/>
              </w:rPr>
              <m:t>t</m:t>
            </m:r>
          </m:sub>
        </m:sSub>
      </m:oMath>
      <w:r>
        <w:t xml:space="preserve"> is a set of independent variables and </w:t>
      </w:r>
      <m:oMath>
        <m:sSub>
          <m:sSubPr>
            <m:ctrlPr>
              <w:rPr>
                <w:rFonts w:ascii="Cambria Math" w:hAnsi="Cambria Math"/>
              </w:rPr>
            </m:ctrlPr>
          </m:sSubPr>
          <m:e>
            <m:r>
              <w:rPr>
                <w:rFonts w:ascii="Cambria Math" w:hAnsi="Cambria Math"/>
              </w:rPr>
              <m:t>u</m:t>
            </m:r>
          </m:e>
          <m:sub>
            <m:r>
              <w:rPr>
                <w:rFonts w:ascii="Cambria Math" w:hAnsi="Cambria Math"/>
              </w:rPr>
              <m:t>t</m:t>
            </m:r>
          </m:sub>
        </m:sSub>
      </m:oMath>
      <w:r>
        <w:t xml:space="preserve"> is a serially independent random error term with zero mean. The F-test is used for investigating one or more long-run relationships among the variables in the equation. The null hypothesis of no co-integration (</w:t>
      </w:r>
      <m:oMath>
        <m:sSub>
          <m:sSubPr>
            <m:ctrlPr>
              <w:rPr>
                <w:rFonts w:ascii="Cambria Math" w:hAnsi="Cambria Math"/>
              </w:rPr>
            </m:ctrlPr>
          </m:sSubPr>
          <m:e>
            <m:r>
              <w:rPr>
                <w:rFonts w:ascii="Cambria Math" w:hAnsi="Cambria Math"/>
              </w:rPr>
              <m:t>H</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δ</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δ</m:t>
            </m:r>
          </m:e>
          <m:sub>
            <m:r>
              <w:rPr>
                <w:rFonts w:ascii="Cambria Math" w:hAnsi="Cambria Math"/>
              </w:rPr>
              <m:t>i</m:t>
            </m:r>
          </m:sub>
        </m:sSub>
        <m:r>
          <w:rPr>
            <w:rFonts w:ascii="Cambria Math" w:hAnsi="Cambria Math"/>
          </w:rPr>
          <m:t>=0</m:t>
        </m:r>
      </m:oMath>
      <w:r>
        <w:t>) is tested against the alternative hypothesis of co-integration (</w:t>
      </w:r>
      <m:oMath>
        <m:sSub>
          <m:sSubPr>
            <m:ctrlPr>
              <w:rPr>
                <w:rFonts w:ascii="Cambria Math" w:hAnsi="Cambria Math"/>
              </w:rPr>
            </m:ctrlPr>
          </m:sSubPr>
          <m:e>
            <m:r>
              <w:rPr>
                <w:rFonts w:ascii="Cambria Math" w:hAnsi="Cambria Math"/>
              </w:rPr>
              <m:t>H</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δ</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δ</m:t>
            </m:r>
          </m:e>
          <m:sub>
            <m:r>
              <w:rPr>
                <w:rFonts w:ascii="Cambria Math" w:hAnsi="Cambria Math"/>
              </w:rPr>
              <m:t>i</m:t>
            </m:r>
          </m:sub>
        </m:sSub>
        <m:r>
          <w:rPr>
            <w:rFonts w:ascii="Cambria Math" w:hAnsi="Cambria Math"/>
          </w:rPr>
          <m:t>≠0</m:t>
        </m:r>
      </m:oMath>
      <w:r>
        <w:t>).</w:t>
      </w:r>
    </w:p>
    <w:p w:rsidR="00DD760D" w:rsidRDefault="00221AAF">
      <w:pPr>
        <w:pStyle w:val="BodyText"/>
      </w:pPr>
      <w:r>
        <w:t xml:space="preserve">In the case of co-integration based on the bounds test, the error correction model (ECM) can be estimated. The ECM is a re-parametrization of the ARDL (Asteriou &amp; Hall, </w:t>
      </w:r>
      <w:hyperlink w:anchor="ref-asteriou2011applied">
        <w:r>
          <w:rPr>
            <w:rStyle w:val="Hyperlink"/>
          </w:rPr>
          <w:t>2011</w:t>
        </w:r>
      </w:hyperlink>
      <w:r>
        <w:t xml:space="preserve">; Pesaran et al., </w:t>
      </w:r>
      <w:hyperlink w:anchor="ref-pesaran2001bounds">
        <w:r>
          <w:rPr>
            <w:rStyle w:val="Hyperlink"/>
          </w:rPr>
          <w:t>2001</w:t>
        </w:r>
      </w:hyperlink>
      <w:r>
        <w:t>). Therefore, the most informative way to write the error correction models can be specified as follows:</w:t>
      </w:r>
    </w:p>
    <w:p w:rsidR="00DD760D" w:rsidRDefault="00221AAF">
      <w:pPr>
        <w:pStyle w:val="BodyText"/>
      </w:pPr>
      <m:oMathPara>
        <m:oMathParaPr>
          <m:jc m:val="center"/>
        </m:oMathParaPr>
        <m:oMath>
          <m:r>
            <w:rPr>
              <w:rFonts w:ascii="Cambria Math" w:hAnsi="Cambria Math"/>
            </w:rPr>
            <m:t>Δ</m:t>
          </m:r>
          <m:sSub>
            <m:sSubPr>
              <m:ctrlPr>
                <w:rPr>
                  <w:rFonts w:ascii="Cambria Math" w:hAnsi="Cambria Math"/>
                </w:rPr>
              </m:ctrlPr>
            </m:sSubPr>
            <m:e>
              <m: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2</m:t>
              </m:r>
            </m:sub>
          </m:sSub>
          <m:r>
            <w:rPr>
              <w:rFonts w:ascii="Cambria Math" w:hAnsi="Cambria Math"/>
            </w:rPr>
            <m:t>t+</m:t>
          </m:r>
          <m:nary>
            <m:naryPr>
              <m:chr m:val="∑"/>
              <m:limLoc m:val="undOvr"/>
              <m:ctrlPr>
                <w:rPr>
                  <w:rFonts w:ascii="Cambria Math" w:hAnsi="Cambria Math"/>
                </w:rPr>
              </m:ctrlPr>
            </m:naryPr>
            <m:sub>
              <m:r>
                <w:rPr>
                  <w:rFonts w:ascii="Cambria Math" w:hAnsi="Cambria Math"/>
                </w:rPr>
                <m:t>i=1</m:t>
              </m:r>
            </m:sub>
            <m:sup>
              <m:r>
                <w:rPr>
                  <w:rFonts w:ascii="Cambria Math" w:hAnsi="Cambria Math"/>
                </w:rPr>
                <m:t>n-1</m:t>
              </m:r>
            </m:sup>
            <m:e>
              <m:sSub>
                <m:sSubPr>
                  <m:ctrlPr>
                    <w:rPr>
                      <w:rFonts w:ascii="Cambria Math" w:hAnsi="Cambria Math"/>
                    </w:rPr>
                  </m:ctrlPr>
                </m:sSubPr>
                <m:e>
                  <m:r>
                    <w:rPr>
                      <w:rFonts w:ascii="Cambria Math" w:hAnsi="Cambria Math"/>
                    </w:rPr>
                    <m:t>θ</m:t>
                  </m:r>
                </m:e>
                <m:sub>
                  <m:r>
                    <w:rPr>
                      <w:rFonts w:ascii="Cambria Math" w:hAnsi="Cambria Math"/>
                    </w:rPr>
                    <m:t>i</m:t>
                  </m:r>
                </m:sub>
              </m:sSub>
            </m:e>
          </m:nary>
          <m:r>
            <w:rPr>
              <w:rFonts w:ascii="Cambria Math" w:hAnsi="Cambria Math"/>
            </w:rPr>
            <m:t>Δ</m:t>
          </m:r>
          <m:sSub>
            <m:sSubPr>
              <m:ctrlPr>
                <w:rPr>
                  <w:rFonts w:ascii="Cambria Math" w:hAnsi="Cambria Math"/>
                </w:rPr>
              </m:ctrlPr>
            </m:sSubPr>
            <m:e>
              <m:r>
                <w:rPr>
                  <w:rFonts w:ascii="Cambria Math" w:hAnsi="Cambria Math"/>
                </w:rPr>
                <m:t>Y</m:t>
              </m:r>
            </m:e>
            <m:sub>
              <m:r>
                <w:rPr>
                  <w:rFonts w:ascii="Cambria Math" w:hAnsi="Cambria Math"/>
                </w:rPr>
                <m:t>t-i</m:t>
              </m:r>
            </m:sub>
          </m:sSub>
          <m:r>
            <w:rPr>
              <w:rFonts w:ascii="Cambria Math" w:hAnsi="Cambria Math"/>
            </w:rPr>
            <m:t>+</m:t>
          </m:r>
          <m:nary>
            <m:naryPr>
              <m:chr m:val="∑"/>
              <m:limLoc m:val="undOvr"/>
              <m:ctrlPr>
                <w:rPr>
                  <w:rFonts w:ascii="Cambria Math" w:hAnsi="Cambria Math"/>
                </w:rPr>
              </m:ctrlPr>
            </m:naryPr>
            <m:sub>
              <m:r>
                <w:rPr>
                  <w:rFonts w:ascii="Cambria Math" w:hAnsi="Cambria Math"/>
                </w:rPr>
                <m:t>i=0</m:t>
              </m:r>
            </m:sub>
            <m:sup>
              <m:r>
                <w:rPr>
                  <w:rFonts w:ascii="Cambria Math" w:hAnsi="Cambria Math"/>
                </w:rPr>
                <m:t>m-1</m:t>
              </m:r>
            </m:sup>
            <m:e>
              <m:sSub>
                <m:sSubPr>
                  <m:ctrlPr>
                    <w:rPr>
                      <w:rFonts w:ascii="Cambria Math" w:hAnsi="Cambria Math"/>
                    </w:rPr>
                  </m:ctrlPr>
                </m:sSubPr>
                <m:e>
                  <m:r>
                    <w:rPr>
                      <w:rFonts w:ascii="Cambria Math" w:hAnsi="Cambria Math"/>
                    </w:rPr>
                    <m:t>γ</m:t>
                  </m:r>
                </m:e>
                <m:sub>
                  <m:r>
                    <w:rPr>
                      <w:rFonts w:ascii="Cambria Math" w:hAnsi="Cambria Math"/>
                    </w:rPr>
                    <m:t>i</m:t>
                  </m:r>
                </m:sub>
              </m:sSub>
            </m:e>
          </m:nary>
          <m:r>
            <w:rPr>
              <w:rFonts w:ascii="Cambria Math" w:hAnsi="Cambria Math"/>
            </w:rPr>
            <m:t>Δ</m:t>
          </m:r>
          <m:sSub>
            <m:sSubPr>
              <m:ctrlPr>
                <w:rPr>
                  <w:rFonts w:ascii="Cambria Math" w:hAnsi="Cambria Math"/>
                </w:rPr>
              </m:ctrlPr>
            </m:sSubPr>
            <m:e>
              <m:r>
                <w:rPr>
                  <w:rFonts w:ascii="Cambria Math" w:hAnsi="Cambria Math"/>
                </w:rPr>
                <m:t>X</m:t>
              </m:r>
            </m:e>
            <m:sub>
              <m:r>
                <w:rPr>
                  <w:rFonts w:ascii="Cambria Math" w:hAnsi="Cambria Math"/>
                </w:rPr>
                <m:t>t-i</m:t>
              </m:r>
            </m:sub>
          </m:sSub>
          <m:r>
            <w:rPr>
              <w:rFonts w:ascii="Cambria Math" w:hAnsi="Cambria Math"/>
            </w:rPr>
            <m:t>-π</m:t>
          </m:r>
          <m:sSub>
            <m:sSubPr>
              <m:ctrlPr>
                <w:rPr>
                  <w:rFonts w:ascii="Cambria Math" w:hAnsi="Cambria Math"/>
                </w:rPr>
              </m:ctrlPr>
            </m:sSubPr>
            <m:e>
              <m:r>
                <w:rPr>
                  <w:rFonts w:ascii="Cambria Math" w:hAnsi="Cambria Math"/>
                </w:rPr>
                <m:t>e</m:t>
              </m:r>
            </m:e>
            <m:sub>
              <m:r>
                <w:rPr>
                  <w:rFonts w:ascii="Cambria Math" w:hAnsi="Cambria Math"/>
                </w:rPr>
                <m:t>t-1</m:t>
              </m:r>
            </m:sub>
          </m:sSub>
          <m:r>
            <w:rPr>
              <w:rFonts w:ascii="Cambria Math" w:hAnsi="Cambria Math"/>
            </w:rPr>
            <m:t>+</m:t>
          </m:r>
          <m:sSub>
            <m:sSubPr>
              <m:ctrlPr>
                <w:rPr>
                  <w:rFonts w:ascii="Cambria Math" w:hAnsi="Cambria Math"/>
                </w:rPr>
              </m:ctrlPr>
            </m:sSubPr>
            <m:e>
              <m:r>
                <w:rPr>
                  <w:rFonts w:ascii="Cambria Math" w:hAnsi="Cambria Math"/>
                </w:rPr>
                <m:t>ε</m:t>
              </m:r>
            </m:e>
            <m:sub>
              <m:r>
                <w:rPr>
                  <w:rFonts w:ascii="Cambria Math" w:hAnsi="Cambria Math"/>
                </w:rPr>
                <m:t>t</m:t>
              </m:r>
            </m:sub>
          </m:sSub>
          <m:r>
            <w:rPr>
              <w:rFonts w:ascii="Cambria Math" w:hAnsi="Cambria Math"/>
            </w:rPr>
            <m:t>  (4)</m:t>
          </m:r>
        </m:oMath>
      </m:oMathPara>
    </w:p>
    <w:p w:rsidR="00DD760D" w:rsidRDefault="00221AAF">
      <w:pPr>
        <w:pStyle w:val="FirstParagraph"/>
      </w:pPr>
      <w:r>
        <w:t xml:space="preserve">In Equation (4), </w:t>
      </w:r>
      <m:oMath>
        <m:r>
          <w:rPr>
            <w:rFonts w:ascii="Cambria Math" w:hAnsi="Cambria Math"/>
          </w:rPr>
          <m:t>Δ</m:t>
        </m:r>
      </m:oMath>
      <w:r>
        <w:t xml:space="preserve"> denotes the difference operator, </w:t>
      </w:r>
      <m:oMath>
        <m:sSub>
          <m:sSubPr>
            <m:ctrlPr>
              <w:rPr>
                <w:rFonts w:ascii="Cambria Math" w:hAnsi="Cambria Math"/>
              </w:rPr>
            </m:ctrlPr>
          </m:sSubPr>
          <m:e>
            <m:r>
              <w:rPr>
                <w:rFonts w:ascii="Cambria Math" w:hAnsi="Cambria Math"/>
              </w:rPr>
              <m:t>ε</m:t>
            </m:r>
          </m:e>
          <m:sub>
            <m:r>
              <w:rPr>
                <w:rFonts w:ascii="Cambria Math" w:hAnsi="Cambria Math"/>
              </w:rPr>
              <m:t>t</m:t>
            </m:r>
          </m:sub>
        </m:sSub>
      </m:oMath>
      <w:r>
        <w:t xml:space="preserve"> is the white-noise error term, </w:t>
      </w:r>
      <m:oMath>
        <m:r>
          <w:rPr>
            <w:rFonts w:ascii="Cambria Math" w:hAnsi="Cambria Math"/>
          </w:rPr>
          <m:t>π</m:t>
        </m:r>
      </m:oMath>
      <w:r>
        <w:t xml:space="preserve"> is the coefficient of adjustment derived from the long-run co-integration relationship. In fact, </w:t>
      </w:r>
      <m:oMath>
        <m:r>
          <w:rPr>
            <w:rFonts w:ascii="Cambria Math" w:hAnsi="Cambria Math"/>
          </w:rPr>
          <m:t>π</m:t>
        </m:r>
      </m:oMath>
      <w:r>
        <w:t xml:space="preserve"> reveals </w:t>
      </w:r>
      <w:r>
        <w:lastRenderedPageBreak/>
        <w:t xml:space="preserve">how much of the equilibrium error is corrected each period and it is expected to be negative and statistically significant. If </w:t>
      </w:r>
      <m:oMath>
        <m:r>
          <w:rPr>
            <w:rFonts w:ascii="Cambria Math" w:hAnsi="Cambria Math"/>
          </w:rPr>
          <m:t>π=0</m:t>
        </m:r>
      </m:oMath>
      <w:r>
        <w:t xml:space="preserve">, then there is no adjustment and therefore there is no long-run relationship (Pesaran et al., </w:t>
      </w:r>
      <w:hyperlink w:anchor="ref-pesaran2001bounds">
        <w:r>
          <w:rPr>
            <w:rStyle w:val="Hyperlink"/>
          </w:rPr>
          <w:t>2001</w:t>
        </w:r>
      </w:hyperlink>
      <w:r>
        <w:t>).</w:t>
      </w:r>
    </w:p>
    <w:p w:rsidR="00DD760D" w:rsidRDefault="00221AAF">
      <w:pPr>
        <w:pStyle w:val="BodyText"/>
      </w:pPr>
      <w:r>
        <w:t xml:space="preserve">The export and import equations can be transformed in the form of the ARDL model using Equation (5) , where </w:t>
      </w:r>
      <m:oMath>
        <m:sSub>
          <m:sSubPr>
            <m:ctrlPr>
              <w:rPr>
                <w:rFonts w:ascii="Cambria Math" w:hAnsi="Cambria Math"/>
              </w:rPr>
            </m:ctrlPr>
          </m:sSubPr>
          <m:e>
            <m:r>
              <w:rPr>
                <w:rFonts w:ascii="Cambria Math" w:hAnsi="Cambria Math"/>
              </w:rPr>
              <m:t>Z</m:t>
            </m:r>
          </m:e>
          <m:sub>
            <m:r>
              <w:rPr>
                <w:rFonts w:ascii="Cambria Math" w:hAnsi="Cambria Math"/>
              </w:rPr>
              <m:t>t</m:t>
            </m:r>
          </m:sub>
        </m:sSub>
      </m:oMath>
      <w:r>
        <w:t xml:space="preserve"> stands for </w:t>
      </w:r>
      <m:oMath>
        <m:sSub>
          <m:sSubPr>
            <m:ctrlPr>
              <w:rPr>
                <w:rFonts w:ascii="Cambria Math" w:hAnsi="Cambria Math"/>
              </w:rPr>
            </m:ctrlPr>
          </m:sSubPr>
          <m:e>
            <m:r>
              <w:rPr>
                <w:rFonts w:ascii="Cambria Math" w:hAnsi="Cambria Math"/>
              </w:rPr>
              <m:t>X</m:t>
            </m:r>
          </m:e>
          <m:sub>
            <m:r>
              <w:rPr>
                <w:rFonts w:ascii="Cambria Math" w:hAnsi="Cambria Math"/>
              </w:rPr>
              <m:t>t</m:t>
            </m:r>
          </m:sub>
        </m:sSub>
      </m:oMath>
      <w:r>
        <w:t xml:space="preserve"> in the case of export equation and </w:t>
      </w:r>
      <m:oMath>
        <m:sSub>
          <m:sSubPr>
            <m:ctrlPr>
              <w:rPr>
                <w:rFonts w:ascii="Cambria Math" w:hAnsi="Cambria Math"/>
              </w:rPr>
            </m:ctrlPr>
          </m:sSubPr>
          <m:e>
            <m:r>
              <w:rPr>
                <w:rFonts w:ascii="Cambria Math" w:hAnsi="Cambria Math"/>
              </w:rPr>
              <m:t>M</m:t>
            </m:r>
          </m:e>
          <m:sub>
            <m:r>
              <w:rPr>
                <w:rFonts w:ascii="Cambria Math" w:hAnsi="Cambria Math"/>
              </w:rPr>
              <m:t>t</m:t>
            </m:r>
          </m:sub>
        </m:sSub>
      </m:oMath>
      <w:r>
        <w:t xml:space="preserve"> in the case of import equation. Similarly, </w:t>
      </w:r>
      <m:oMath>
        <m:sSub>
          <m:sSubPr>
            <m:ctrlPr>
              <w:rPr>
                <w:rFonts w:ascii="Cambria Math" w:hAnsi="Cambria Math"/>
              </w:rPr>
            </m:ctrlPr>
          </m:sSubPr>
          <m:e>
            <m:r>
              <w:rPr>
                <w:rFonts w:ascii="Cambria Math" w:hAnsi="Cambria Math"/>
              </w:rPr>
              <m:t>Q</m:t>
            </m:r>
          </m:e>
          <m:sub>
            <m:r>
              <w:rPr>
                <w:rFonts w:ascii="Cambria Math" w:hAnsi="Cambria Math"/>
              </w:rPr>
              <m:t>t</m:t>
            </m:r>
          </m:sub>
        </m:sSub>
      </m:oMath>
      <w:r>
        <w:t xml:space="preserve"> represents </w:t>
      </w:r>
      <m:oMath>
        <m:sSubSup>
          <m:sSubSupPr>
            <m:ctrlPr>
              <w:rPr>
                <w:rFonts w:ascii="Cambria Math" w:hAnsi="Cambria Math"/>
              </w:rPr>
            </m:ctrlPr>
          </m:sSubSupPr>
          <m:e>
            <m:r>
              <w:rPr>
                <w:rFonts w:ascii="Cambria Math" w:hAnsi="Cambria Math"/>
              </w:rPr>
              <m:t>Y</m:t>
            </m:r>
          </m:e>
          <m:sub>
            <m:r>
              <w:rPr>
                <w:rFonts w:ascii="Cambria Math" w:hAnsi="Cambria Math"/>
              </w:rPr>
              <m:t>t</m:t>
            </m:r>
          </m:sub>
          <m:sup>
            <m:r>
              <w:rPr>
                <w:rFonts w:ascii="Cambria Math" w:hAnsi="Cambria Math"/>
              </w:rPr>
              <m:t>eu</m:t>
            </m:r>
          </m:sup>
        </m:sSubSup>
      </m:oMath>
      <w:r>
        <w:t xml:space="preserve"> and </w:t>
      </w:r>
      <m:oMath>
        <m:sSub>
          <m:sSubPr>
            <m:ctrlPr>
              <w:rPr>
                <w:rFonts w:ascii="Cambria Math" w:hAnsi="Cambria Math"/>
              </w:rPr>
            </m:ctrlPr>
          </m:sSubPr>
          <m:e>
            <m:r>
              <w:rPr>
                <w:rFonts w:ascii="Cambria Math" w:hAnsi="Cambria Math"/>
              </w:rPr>
              <m:t>Y</m:t>
            </m:r>
          </m:e>
          <m:sub>
            <m:r>
              <w:rPr>
                <w:rFonts w:ascii="Cambria Math" w:hAnsi="Cambria Math"/>
              </w:rPr>
              <m:t>t</m:t>
            </m:r>
          </m:sub>
        </m:sSub>
      </m:oMath>
      <w:r>
        <w:t xml:space="preserve"> in the export and import equations respectively.</w:t>
      </w:r>
    </w:p>
    <w:p w:rsidR="00DD760D" w:rsidRDefault="00221AAF">
      <w:pPr>
        <w:pStyle w:val="BodyText"/>
      </w:pPr>
      <m:oMathPara>
        <m:oMathParaPr>
          <m:jc m:val="center"/>
        </m:oMathParaPr>
        <m:oMath>
          <m:r>
            <w:rPr>
              <w:rFonts w:ascii="Cambria Math" w:hAnsi="Cambria Math"/>
            </w:rPr>
            <m:t>Δln</m:t>
          </m:r>
          <m:sSub>
            <m:sSubPr>
              <m:ctrlPr>
                <w:rPr>
                  <w:rFonts w:ascii="Cambria Math" w:hAnsi="Cambria Math"/>
                </w:rPr>
              </m:ctrlPr>
            </m:sSubPr>
            <m:e>
              <m:r>
                <w:rPr>
                  <w:rFonts w:ascii="Cambria Math" w:hAnsi="Cambria Math"/>
                </w:rPr>
                <m:t>Z</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2</m:t>
              </m:r>
            </m:sub>
          </m:sSub>
          <m:r>
            <w:rPr>
              <w:rFonts w:ascii="Cambria Math" w:hAnsi="Cambria Math"/>
            </w:rPr>
            <m:t>t+</m:t>
          </m:r>
          <m:nary>
            <m:naryPr>
              <m:chr m:val="∑"/>
              <m:limLoc m:val="undOvr"/>
              <m:ctrlPr>
                <w:rPr>
                  <w:rFonts w:ascii="Cambria Math" w:hAnsi="Cambria Math"/>
                </w:rPr>
              </m:ctrlPr>
            </m:naryPr>
            <m:sub>
              <m:r>
                <w:rPr>
                  <w:rFonts w:ascii="Cambria Math" w:hAnsi="Cambria Math"/>
                </w:rPr>
                <m:t>i=1</m:t>
              </m:r>
            </m:sub>
            <m:sup>
              <m:r>
                <w:rPr>
                  <w:rFonts w:ascii="Cambria Math" w:hAnsi="Cambria Math"/>
                </w:rPr>
                <m:t>n-1</m:t>
              </m:r>
            </m:sup>
            <m:e>
              <m:sSub>
                <m:sSubPr>
                  <m:ctrlPr>
                    <w:rPr>
                      <w:rFonts w:ascii="Cambria Math" w:hAnsi="Cambria Math"/>
                    </w:rPr>
                  </m:ctrlPr>
                </m:sSubPr>
                <m:e>
                  <m:r>
                    <w:rPr>
                      <w:rFonts w:ascii="Cambria Math" w:hAnsi="Cambria Math"/>
                    </w:rPr>
                    <m:t>θ</m:t>
                  </m:r>
                </m:e>
                <m:sub>
                  <m:r>
                    <w:rPr>
                      <w:rFonts w:ascii="Cambria Math" w:hAnsi="Cambria Math"/>
                    </w:rPr>
                    <m:t>i</m:t>
                  </m:r>
                </m:sub>
              </m:sSub>
            </m:e>
          </m:nary>
          <m:r>
            <w:rPr>
              <w:rFonts w:ascii="Cambria Math" w:hAnsi="Cambria Math"/>
            </w:rPr>
            <m:t>Δln</m:t>
          </m:r>
          <m:sSub>
            <m:sSubPr>
              <m:ctrlPr>
                <w:rPr>
                  <w:rFonts w:ascii="Cambria Math" w:hAnsi="Cambria Math"/>
                </w:rPr>
              </m:ctrlPr>
            </m:sSubPr>
            <m:e>
              <m:r>
                <w:rPr>
                  <w:rFonts w:ascii="Cambria Math" w:hAnsi="Cambria Math"/>
                </w:rPr>
                <m:t>Z</m:t>
              </m:r>
            </m:e>
            <m:sub>
              <m:r>
                <w:rPr>
                  <w:rFonts w:ascii="Cambria Math" w:hAnsi="Cambria Math"/>
                </w:rPr>
                <m:t>t-i</m:t>
              </m:r>
            </m:sub>
          </m:sSub>
          <m:r>
            <w:rPr>
              <w:rFonts w:ascii="Cambria Math" w:hAnsi="Cambria Math"/>
            </w:rPr>
            <m:t>+</m:t>
          </m:r>
          <m:nary>
            <m:naryPr>
              <m:chr m:val="∑"/>
              <m:limLoc m:val="undOvr"/>
              <m:ctrlPr>
                <w:rPr>
                  <w:rFonts w:ascii="Cambria Math" w:hAnsi="Cambria Math"/>
                </w:rPr>
              </m:ctrlPr>
            </m:naryPr>
            <m:sub>
              <m:r>
                <w:rPr>
                  <w:rFonts w:ascii="Cambria Math" w:hAnsi="Cambria Math"/>
                </w:rPr>
                <m:t>i=0</m:t>
              </m:r>
            </m:sub>
            <m:sup>
              <m:r>
                <w:rPr>
                  <w:rFonts w:ascii="Cambria Math" w:hAnsi="Cambria Math"/>
                </w:rPr>
                <m:t>m-1</m:t>
              </m:r>
            </m:sup>
            <m:e>
              <m:r>
                <w:rPr>
                  <w:rFonts w:ascii="Cambria Math" w:hAnsi="Cambria Math"/>
                </w:rPr>
                <m:t>(</m:t>
              </m:r>
            </m:e>
          </m:nary>
          <m:sSub>
            <m:sSubPr>
              <m:ctrlPr>
                <w:rPr>
                  <w:rFonts w:ascii="Cambria Math" w:hAnsi="Cambria Math"/>
                </w:rPr>
              </m:ctrlPr>
            </m:sSubPr>
            <m:e>
              <m:r>
                <w:rPr>
                  <w:rFonts w:ascii="Cambria Math" w:hAnsi="Cambria Math"/>
                </w:rPr>
                <m:t>γ</m:t>
              </m:r>
            </m:e>
            <m:sub>
              <m:r>
                <w:rPr>
                  <w:rFonts w:ascii="Cambria Math" w:hAnsi="Cambria Math"/>
                </w:rPr>
                <m:t>i</m:t>
              </m:r>
            </m:sub>
          </m:sSub>
          <m:r>
            <w:rPr>
              <w:rFonts w:ascii="Cambria Math" w:hAnsi="Cambria Math"/>
            </w:rPr>
            <m:t>Δln</m:t>
          </m:r>
          <m:sSub>
            <m:sSubPr>
              <m:ctrlPr>
                <w:rPr>
                  <w:rFonts w:ascii="Cambria Math" w:hAnsi="Cambria Math"/>
                </w:rPr>
              </m:ctrlPr>
            </m:sSubPr>
            <m:e>
              <m:r>
                <w:rPr>
                  <w:rFonts w:ascii="Cambria Math" w:hAnsi="Cambria Math"/>
                </w:rPr>
                <m:t>Q</m:t>
              </m:r>
            </m:e>
            <m:sub>
              <m:r>
                <w:rPr>
                  <w:rFonts w:ascii="Cambria Math" w:hAnsi="Cambria Math"/>
                </w:rPr>
                <m:t>t-i</m:t>
              </m:r>
            </m:sub>
          </m:sSub>
          <m:r>
            <w:rPr>
              <w:rFonts w:ascii="Cambria Math" w:hAnsi="Cambria Math"/>
            </w:rPr>
            <m:t>+</m:t>
          </m:r>
          <m:sSub>
            <m:sSubPr>
              <m:ctrlPr>
                <w:rPr>
                  <w:rFonts w:ascii="Cambria Math" w:hAnsi="Cambria Math"/>
                </w:rPr>
              </m:ctrlPr>
            </m:sSubPr>
            <m:e>
              <m:r>
                <w:rPr>
                  <w:rFonts w:ascii="Cambria Math" w:hAnsi="Cambria Math"/>
                </w:rPr>
                <m:t>η</m:t>
              </m:r>
            </m:e>
            <m:sub>
              <m:r>
                <w:rPr>
                  <w:rFonts w:ascii="Cambria Math" w:hAnsi="Cambria Math"/>
                </w:rPr>
                <m:t>i</m:t>
              </m:r>
            </m:sub>
          </m:sSub>
          <m:r>
            <w:rPr>
              <w:rFonts w:ascii="Cambria Math" w:hAnsi="Cambria Math"/>
            </w:rPr>
            <m:t>Δln</m:t>
          </m:r>
          <m:sSub>
            <m:sSubPr>
              <m:ctrlPr>
                <w:rPr>
                  <w:rFonts w:ascii="Cambria Math" w:hAnsi="Cambria Math"/>
                </w:rPr>
              </m:ctrlPr>
            </m:sSubPr>
            <m:e>
              <m:r>
                <w:rPr>
                  <w:rFonts w:ascii="Cambria Math" w:hAnsi="Cambria Math"/>
                </w:rPr>
                <m:t>R</m:t>
              </m:r>
            </m:e>
            <m:sub>
              <m:r>
                <w:rPr>
                  <w:rFonts w:ascii="Cambria Math" w:hAnsi="Cambria Math"/>
                </w:rPr>
                <m:t>t-i</m:t>
              </m:r>
            </m:sub>
          </m:sSub>
          <m:r>
            <w:rPr>
              <w:rFonts w:ascii="Cambria Math" w:hAnsi="Cambria Math"/>
            </w:rPr>
            <m:t>+</m:t>
          </m:r>
          <m:sSub>
            <m:sSubPr>
              <m:ctrlPr>
                <w:rPr>
                  <w:rFonts w:ascii="Cambria Math" w:hAnsi="Cambria Math"/>
                </w:rPr>
              </m:ctrlPr>
            </m:sSubPr>
            <m:e>
              <m:r>
                <w:rPr>
                  <w:rFonts w:ascii="Cambria Math" w:hAnsi="Cambria Math"/>
                </w:rPr>
                <m:t>ω</m:t>
              </m:r>
            </m:e>
            <m:sub>
              <m:r>
                <w:rPr>
                  <w:rFonts w:ascii="Cambria Math" w:hAnsi="Cambria Math"/>
                </w:rPr>
                <m:t>i</m:t>
              </m:r>
            </m:sub>
          </m:sSub>
          <m:r>
            <w:rPr>
              <w:rFonts w:ascii="Cambria Math" w:hAnsi="Cambria Math"/>
            </w:rPr>
            <m:t>Δln</m:t>
          </m:r>
          <m:sSub>
            <m:sSubPr>
              <m:ctrlPr>
                <w:rPr>
                  <w:rFonts w:ascii="Cambria Math" w:hAnsi="Cambria Math"/>
                </w:rPr>
              </m:ctrlPr>
            </m:sSubPr>
            <m:e>
              <m:r>
                <w:rPr>
                  <w:rFonts w:ascii="Cambria Math" w:hAnsi="Cambria Math"/>
                </w:rPr>
                <m:t>V</m:t>
              </m:r>
            </m:e>
            <m:sub>
              <m:r>
                <w:rPr>
                  <w:rFonts w:ascii="Cambria Math" w:hAnsi="Cambria Math"/>
                </w:rPr>
                <m:t>t-i</m:t>
              </m:r>
            </m:sub>
          </m:sSub>
          <m:r>
            <w:rPr>
              <w:rFonts w:ascii="Cambria Math" w:hAnsi="Cambria Math"/>
            </w:rPr>
            <m:t>)+</m:t>
          </m:r>
          <m:sSub>
            <m:sSubPr>
              <m:ctrlPr>
                <w:rPr>
                  <w:rFonts w:ascii="Cambria Math" w:hAnsi="Cambria Math"/>
                </w:rPr>
              </m:ctrlPr>
            </m:sSubPr>
            <m:e>
              <m:r>
                <w:rPr>
                  <w:rFonts w:ascii="Cambria Math" w:hAnsi="Cambria Math"/>
                </w:rPr>
                <m:t>δ</m:t>
              </m:r>
            </m:e>
            <m:sub>
              <m:r>
                <w:rPr>
                  <w:rFonts w:ascii="Cambria Math" w:hAnsi="Cambria Math"/>
                </w:rPr>
                <m:t>0</m:t>
              </m:r>
            </m:sub>
          </m:sSub>
          <m:r>
            <w:rPr>
              <w:rFonts w:ascii="Cambria Math" w:hAnsi="Cambria Math"/>
            </w:rPr>
            <m:t>ln</m:t>
          </m:r>
          <m:sSub>
            <m:sSubPr>
              <m:ctrlPr>
                <w:rPr>
                  <w:rFonts w:ascii="Cambria Math" w:hAnsi="Cambria Math"/>
                </w:rPr>
              </m:ctrlPr>
            </m:sSubPr>
            <m:e>
              <m:r>
                <w:rPr>
                  <w:rFonts w:ascii="Cambria Math" w:hAnsi="Cambria Math"/>
                </w:rPr>
                <m:t>Z</m:t>
              </m:r>
            </m:e>
            <m:sub>
              <m:r>
                <w:rPr>
                  <w:rFonts w:ascii="Cambria Math" w:hAnsi="Cambria Math"/>
                </w:rPr>
                <m:t>t-1</m:t>
              </m:r>
            </m:sub>
          </m:sSub>
          <m:r>
            <w:rPr>
              <w:rFonts w:ascii="Cambria Math" w:hAnsi="Cambria Math"/>
            </w:rPr>
            <m:t>+</m:t>
          </m:r>
          <m:sSub>
            <m:sSubPr>
              <m:ctrlPr>
                <w:rPr>
                  <w:rFonts w:ascii="Cambria Math" w:hAnsi="Cambria Math"/>
                </w:rPr>
              </m:ctrlPr>
            </m:sSubPr>
            <m:e>
              <m:r>
                <w:rPr>
                  <w:rFonts w:ascii="Cambria Math" w:hAnsi="Cambria Math"/>
                </w:rPr>
                <m:t>δ</m:t>
              </m:r>
            </m:e>
            <m:sub>
              <m:r>
                <w:rPr>
                  <w:rFonts w:ascii="Cambria Math" w:hAnsi="Cambria Math"/>
                </w:rPr>
                <m:t>1</m:t>
              </m:r>
            </m:sub>
          </m:sSub>
          <m:r>
            <w:rPr>
              <w:rFonts w:ascii="Cambria Math" w:hAnsi="Cambria Math"/>
            </w:rPr>
            <m:t>ln</m:t>
          </m:r>
          <m:sSub>
            <m:sSubPr>
              <m:ctrlPr>
                <w:rPr>
                  <w:rFonts w:ascii="Cambria Math" w:hAnsi="Cambria Math"/>
                </w:rPr>
              </m:ctrlPr>
            </m:sSubPr>
            <m:e>
              <m:r>
                <w:rPr>
                  <w:rFonts w:ascii="Cambria Math" w:hAnsi="Cambria Math"/>
                </w:rPr>
                <m:t>Q</m:t>
              </m:r>
            </m:e>
            <m:sub>
              <m:r>
                <w:rPr>
                  <w:rFonts w:ascii="Cambria Math" w:hAnsi="Cambria Math"/>
                </w:rPr>
                <m:t>t-1</m:t>
              </m:r>
            </m:sub>
          </m:sSub>
          <m:r>
            <w:rPr>
              <w:rFonts w:ascii="Cambria Math" w:hAnsi="Cambria Math"/>
            </w:rPr>
            <m:t>+</m:t>
          </m:r>
          <m:sSub>
            <m:sSubPr>
              <m:ctrlPr>
                <w:rPr>
                  <w:rFonts w:ascii="Cambria Math" w:hAnsi="Cambria Math"/>
                </w:rPr>
              </m:ctrlPr>
            </m:sSubPr>
            <m:e>
              <m:r>
                <w:rPr>
                  <w:rFonts w:ascii="Cambria Math" w:hAnsi="Cambria Math"/>
                </w:rPr>
                <m:t>δ</m:t>
              </m:r>
            </m:e>
            <m:sub>
              <m:r>
                <w:rPr>
                  <w:rFonts w:ascii="Cambria Math" w:hAnsi="Cambria Math"/>
                </w:rPr>
                <m:t>2</m:t>
              </m:r>
            </m:sub>
          </m:sSub>
          <m:r>
            <w:rPr>
              <w:rFonts w:ascii="Cambria Math" w:hAnsi="Cambria Math"/>
            </w:rPr>
            <m:t>ln</m:t>
          </m:r>
          <m:sSub>
            <m:sSubPr>
              <m:ctrlPr>
                <w:rPr>
                  <w:rFonts w:ascii="Cambria Math" w:hAnsi="Cambria Math"/>
                </w:rPr>
              </m:ctrlPr>
            </m:sSubPr>
            <m:e>
              <m:r>
                <w:rPr>
                  <w:rFonts w:ascii="Cambria Math" w:hAnsi="Cambria Math"/>
                </w:rPr>
                <m:t>R</m:t>
              </m:r>
            </m:e>
            <m:sub>
              <m:r>
                <w:rPr>
                  <w:rFonts w:ascii="Cambria Math" w:hAnsi="Cambria Math"/>
                </w:rPr>
                <m:t>t-1</m:t>
              </m:r>
            </m:sub>
          </m:sSub>
          <m:r>
            <w:rPr>
              <w:rFonts w:ascii="Cambria Math" w:hAnsi="Cambria Math"/>
            </w:rPr>
            <m:t>+</m:t>
          </m:r>
          <m:sSub>
            <m:sSubPr>
              <m:ctrlPr>
                <w:rPr>
                  <w:rFonts w:ascii="Cambria Math" w:hAnsi="Cambria Math"/>
                </w:rPr>
              </m:ctrlPr>
            </m:sSubPr>
            <m:e>
              <m:r>
                <w:rPr>
                  <w:rFonts w:ascii="Cambria Math" w:hAnsi="Cambria Math"/>
                </w:rPr>
                <m:t>δ</m:t>
              </m:r>
            </m:e>
            <m:sub>
              <m:r>
                <w:rPr>
                  <w:rFonts w:ascii="Cambria Math" w:hAnsi="Cambria Math"/>
                </w:rPr>
                <m:t>3</m:t>
              </m:r>
            </m:sub>
          </m:sSub>
          <m:r>
            <w:rPr>
              <w:rFonts w:ascii="Cambria Math" w:hAnsi="Cambria Math"/>
            </w:rPr>
            <m:t>ln</m:t>
          </m:r>
          <m:sSub>
            <m:sSubPr>
              <m:ctrlPr>
                <w:rPr>
                  <w:rFonts w:ascii="Cambria Math" w:hAnsi="Cambria Math"/>
                </w:rPr>
              </m:ctrlPr>
            </m:sSubPr>
            <m:e>
              <m:r>
                <w:rPr>
                  <w:rFonts w:ascii="Cambria Math" w:hAnsi="Cambria Math"/>
                </w:rPr>
                <m:t>V</m:t>
              </m:r>
            </m:e>
            <m:sub>
              <m:r>
                <w:rPr>
                  <w:rFonts w:ascii="Cambria Math" w:hAnsi="Cambria Math"/>
                </w:rPr>
                <m:t>t-1</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t</m:t>
              </m:r>
            </m:sub>
          </m:sSub>
          <m:r>
            <w:rPr>
              <w:rFonts w:ascii="Cambria Math" w:hAnsi="Cambria Math"/>
            </w:rPr>
            <m:t>  (5)</m:t>
          </m:r>
        </m:oMath>
      </m:oMathPara>
    </w:p>
    <w:p w:rsidR="00DD760D" w:rsidRDefault="00221AAF">
      <w:pPr>
        <w:pStyle w:val="FirstParagraph"/>
      </w:pPr>
      <w:r>
        <w:t xml:space="preserve">The second approach is the NARDL model, which considers one or more of the regressors as nonlinear (Shin, Yu, &amp; Greenwood-Nimmo, </w:t>
      </w:r>
      <w:hyperlink w:anchor="ref-shin2011modelling">
        <w:r>
          <w:rPr>
            <w:rStyle w:val="Hyperlink"/>
          </w:rPr>
          <w:t>2011</w:t>
        </w:r>
      </w:hyperlink>
      <w:r>
        <w:t>). This involves decomposing changes in volatility measure into positive and negative change. After that, partial sum of positive change in volatility measure is generated to represent the increased volatility, while partial sum of negative change in volatility measure is created to represent reduced volatility. Algebraically, the decomposition of the change in volatility measure can be done as follows:</w:t>
      </w:r>
    </w:p>
    <w:p w:rsidR="00DD760D" w:rsidRDefault="00221AAF">
      <w:pPr>
        <w:pStyle w:val="BodyText"/>
      </w:pPr>
      <m:oMath>
        <m:r>
          <w:rPr>
            <w:rFonts w:ascii="Cambria Math" w:hAnsi="Cambria Math"/>
          </w:rPr>
          <m:t>ln</m:t>
        </m:r>
        <m:sSubSup>
          <m:sSubSupPr>
            <m:ctrlPr>
              <w:rPr>
                <w:rFonts w:ascii="Cambria Math" w:hAnsi="Cambria Math"/>
              </w:rPr>
            </m:ctrlPr>
          </m:sSubSupPr>
          <m:e>
            <m:r>
              <w:rPr>
                <w:rFonts w:ascii="Cambria Math" w:hAnsi="Cambria Math"/>
              </w:rPr>
              <m:t>V</m:t>
            </m:r>
          </m:e>
          <m:sub>
            <m:r>
              <w:rPr>
                <w:rFonts w:ascii="Cambria Math" w:hAnsi="Cambria Math"/>
              </w:rPr>
              <m:t>t</m:t>
            </m:r>
          </m:sub>
          <m:sup>
            <m:r>
              <w:rPr>
                <w:rFonts w:ascii="Cambria Math" w:hAnsi="Cambria Math"/>
              </w:rPr>
              <m:t>+</m:t>
            </m:r>
          </m:sup>
        </m:sSubSup>
        <m:r>
          <w:rPr>
            <w:rFonts w:ascii="Cambria Math" w:hAnsi="Cambria Math"/>
          </w:rPr>
          <m:t>=</m:t>
        </m:r>
        <m:nary>
          <m:naryPr>
            <m:chr m:val="∑"/>
            <m:limLoc m:val="undOvr"/>
            <m:ctrlPr>
              <w:rPr>
                <w:rFonts w:ascii="Cambria Math" w:hAnsi="Cambria Math"/>
              </w:rPr>
            </m:ctrlPr>
          </m:naryPr>
          <m:sub>
            <m:r>
              <w:rPr>
                <w:rFonts w:ascii="Cambria Math" w:hAnsi="Cambria Math"/>
              </w:rPr>
              <m:t>k=0</m:t>
            </m:r>
          </m:sub>
          <m:sup>
            <m:r>
              <w:rPr>
                <w:rFonts w:ascii="Cambria Math" w:hAnsi="Cambria Math"/>
              </w:rPr>
              <m:t>n</m:t>
            </m:r>
          </m:sup>
          <m:e>
            <m:r>
              <w:rPr>
                <w:rFonts w:ascii="Cambria Math" w:hAnsi="Cambria Math"/>
              </w:rPr>
              <m:t>Δ</m:t>
            </m:r>
          </m:e>
        </m:nary>
        <m:r>
          <w:rPr>
            <w:rFonts w:ascii="Cambria Math" w:hAnsi="Cambria Math"/>
          </w:rPr>
          <m:t>ln</m:t>
        </m:r>
        <m:sSubSup>
          <m:sSubSupPr>
            <m:ctrlPr>
              <w:rPr>
                <w:rFonts w:ascii="Cambria Math" w:hAnsi="Cambria Math"/>
              </w:rPr>
            </m:ctrlPr>
          </m:sSubSupPr>
          <m:e>
            <m:r>
              <w:rPr>
                <w:rFonts w:ascii="Cambria Math" w:hAnsi="Cambria Math"/>
              </w:rPr>
              <m:t>V</m:t>
            </m:r>
          </m:e>
          <m:sub>
            <m:r>
              <w:rPr>
                <w:rFonts w:ascii="Cambria Math" w:hAnsi="Cambria Math"/>
              </w:rPr>
              <m:t>t</m:t>
            </m:r>
          </m:sub>
          <m:sup>
            <m:r>
              <w:rPr>
                <w:rFonts w:ascii="Cambria Math" w:hAnsi="Cambria Math"/>
              </w:rPr>
              <m:t>+</m:t>
            </m:r>
          </m:sup>
        </m:sSubSup>
        <m:r>
          <w:rPr>
            <w:rFonts w:ascii="Cambria Math" w:hAnsi="Cambria Math"/>
          </w:rPr>
          <m:t>=</m:t>
        </m:r>
        <m:nary>
          <m:naryPr>
            <m:chr m:val="∑"/>
            <m:limLoc m:val="undOvr"/>
            <m:ctrlPr>
              <w:rPr>
                <w:rFonts w:ascii="Cambria Math" w:hAnsi="Cambria Math"/>
              </w:rPr>
            </m:ctrlPr>
          </m:naryPr>
          <m:sub>
            <m:r>
              <w:rPr>
                <w:rFonts w:ascii="Cambria Math" w:hAnsi="Cambria Math"/>
              </w:rPr>
              <m:t>k=0</m:t>
            </m:r>
          </m:sub>
          <m:sup>
            <m:r>
              <w:rPr>
                <w:rFonts w:ascii="Cambria Math" w:hAnsi="Cambria Math"/>
              </w:rPr>
              <m:t>n</m:t>
            </m:r>
          </m:sup>
          <m:e>
            <m:r>
              <w:rPr>
                <w:rFonts w:ascii="Cambria Math" w:hAnsi="Cambria Math"/>
              </w:rPr>
              <m:t>m</m:t>
            </m:r>
          </m:e>
        </m:nary>
        <m:r>
          <w:rPr>
            <w:rFonts w:ascii="Cambria Math" w:hAnsi="Cambria Math"/>
          </w:rPr>
          <m:t>ax</m:t>
        </m:r>
        <m:d>
          <m:dPr>
            <m:ctrlPr>
              <w:rPr>
                <w:rFonts w:ascii="Cambria Math" w:hAnsi="Cambria Math"/>
              </w:rPr>
            </m:ctrlPr>
          </m:dPr>
          <m:e>
            <m:r>
              <w:rPr>
                <w:rFonts w:ascii="Cambria Math" w:hAnsi="Cambria Math"/>
              </w:rPr>
              <m:t>Δln</m:t>
            </m:r>
            <m:sSubSup>
              <m:sSubSupPr>
                <m:ctrlPr>
                  <w:rPr>
                    <w:rFonts w:ascii="Cambria Math" w:hAnsi="Cambria Math"/>
                  </w:rPr>
                </m:ctrlPr>
              </m:sSubSupPr>
              <m:e>
                <m:r>
                  <w:rPr>
                    <w:rFonts w:ascii="Cambria Math" w:hAnsi="Cambria Math"/>
                  </w:rPr>
                  <m:t>V</m:t>
                </m:r>
              </m:e>
              <m:sub>
                <m:r>
                  <w:rPr>
                    <w:rFonts w:ascii="Cambria Math" w:hAnsi="Cambria Math"/>
                  </w:rPr>
                  <m:t>t</m:t>
                </m:r>
              </m:sub>
              <m:sup>
                <m:r>
                  <w:rPr>
                    <w:rFonts w:ascii="Cambria Math" w:hAnsi="Cambria Math"/>
                  </w:rPr>
                  <m:t>+</m:t>
                </m:r>
              </m:sup>
            </m:sSubSup>
            <m:r>
              <w:rPr>
                <w:rFonts w:ascii="Cambria Math" w:hAnsi="Cambria Math"/>
              </w:rPr>
              <m:t>,0</m:t>
            </m:r>
          </m:e>
        </m:d>
      </m:oMath>
      <w:r>
        <w:t xml:space="preserve"> and </w:t>
      </w:r>
      <m:oMath>
        <m:r>
          <w:rPr>
            <w:rFonts w:ascii="Cambria Math" w:hAnsi="Cambria Math"/>
          </w:rPr>
          <m:t>ln</m:t>
        </m:r>
        <m:sSubSup>
          <m:sSubSupPr>
            <m:ctrlPr>
              <w:rPr>
                <w:rFonts w:ascii="Cambria Math" w:hAnsi="Cambria Math"/>
              </w:rPr>
            </m:ctrlPr>
          </m:sSubSupPr>
          <m:e>
            <m:r>
              <w:rPr>
                <w:rFonts w:ascii="Cambria Math" w:hAnsi="Cambria Math"/>
              </w:rPr>
              <m:t>V</m:t>
            </m:r>
          </m:e>
          <m:sub>
            <m:r>
              <w:rPr>
                <w:rFonts w:ascii="Cambria Math" w:hAnsi="Cambria Math"/>
              </w:rPr>
              <m:t>t</m:t>
            </m:r>
          </m:sub>
          <m:sup>
            <m:r>
              <w:rPr>
                <w:rFonts w:ascii="Cambria Math" w:hAnsi="Cambria Math"/>
              </w:rPr>
              <m:t>-</m:t>
            </m:r>
          </m:sup>
        </m:sSubSup>
        <m:r>
          <w:rPr>
            <w:rFonts w:ascii="Cambria Math" w:hAnsi="Cambria Math"/>
          </w:rPr>
          <m:t>=</m:t>
        </m:r>
        <m:nary>
          <m:naryPr>
            <m:chr m:val="∑"/>
            <m:limLoc m:val="undOvr"/>
            <m:ctrlPr>
              <w:rPr>
                <w:rFonts w:ascii="Cambria Math" w:hAnsi="Cambria Math"/>
              </w:rPr>
            </m:ctrlPr>
          </m:naryPr>
          <m:sub>
            <m:r>
              <w:rPr>
                <w:rFonts w:ascii="Cambria Math" w:hAnsi="Cambria Math"/>
              </w:rPr>
              <m:t>k=0</m:t>
            </m:r>
          </m:sub>
          <m:sup>
            <m:r>
              <w:rPr>
                <w:rFonts w:ascii="Cambria Math" w:hAnsi="Cambria Math"/>
              </w:rPr>
              <m:t>n</m:t>
            </m:r>
          </m:sup>
          <m:e>
            <m:r>
              <w:rPr>
                <w:rFonts w:ascii="Cambria Math" w:hAnsi="Cambria Math"/>
              </w:rPr>
              <m:t>Δ</m:t>
            </m:r>
          </m:e>
        </m:nary>
        <m:r>
          <w:rPr>
            <w:rFonts w:ascii="Cambria Math" w:hAnsi="Cambria Math"/>
          </w:rPr>
          <m:t>ln</m:t>
        </m:r>
        <m:sSubSup>
          <m:sSubSupPr>
            <m:ctrlPr>
              <w:rPr>
                <w:rFonts w:ascii="Cambria Math" w:hAnsi="Cambria Math"/>
              </w:rPr>
            </m:ctrlPr>
          </m:sSubSupPr>
          <m:e>
            <m:r>
              <w:rPr>
                <w:rFonts w:ascii="Cambria Math" w:hAnsi="Cambria Math"/>
              </w:rPr>
              <m:t>V</m:t>
            </m:r>
          </m:e>
          <m:sub>
            <m:r>
              <w:rPr>
                <w:rFonts w:ascii="Cambria Math" w:hAnsi="Cambria Math"/>
              </w:rPr>
              <m:t>t</m:t>
            </m:r>
          </m:sub>
          <m:sup>
            <m:r>
              <w:rPr>
                <w:rFonts w:ascii="Cambria Math" w:hAnsi="Cambria Math"/>
              </w:rPr>
              <m:t>-</m:t>
            </m:r>
          </m:sup>
        </m:sSubSup>
        <m:r>
          <w:rPr>
            <w:rFonts w:ascii="Cambria Math" w:hAnsi="Cambria Math"/>
          </w:rPr>
          <m:t>=</m:t>
        </m:r>
        <m:nary>
          <m:naryPr>
            <m:chr m:val="∑"/>
            <m:limLoc m:val="undOvr"/>
            <m:ctrlPr>
              <w:rPr>
                <w:rFonts w:ascii="Cambria Math" w:hAnsi="Cambria Math"/>
              </w:rPr>
            </m:ctrlPr>
          </m:naryPr>
          <m:sub>
            <m:r>
              <w:rPr>
                <w:rFonts w:ascii="Cambria Math" w:hAnsi="Cambria Math"/>
              </w:rPr>
              <m:t>k=0</m:t>
            </m:r>
          </m:sub>
          <m:sup>
            <m:r>
              <w:rPr>
                <w:rFonts w:ascii="Cambria Math" w:hAnsi="Cambria Math"/>
              </w:rPr>
              <m:t>n</m:t>
            </m:r>
          </m:sup>
          <m:e>
            <m:r>
              <w:rPr>
                <w:rFonts w:ascii="Cambria Math" w:hAnsi="Cambria Math"/>
              </w:rPr>
              <m:t>m</m:t>
            </m:r>
          </m:e>
        </m:nary>
        <m:r>
          <w:rPr>
            <w:rFonts w:ascii="Cambria Math" w:hAnsi="Cambria Math"/>
          </w:rPr>
          <m:t>in</m:t>
        </m:r>
        <m:d>
          <m:dPr>
            <m:ctrlPr>
              <w:rPr>
                <w:rFonts w:ascii="Cambria Math" w:hAnsi="Cambria Math"/>
              </w:rPr>
            </m:ctrlPr>
          </m:dPr>
          <m:e>
            <m:r>
              <w:rPr>
                <w:rFonts w:ascii="Cambria Math" w:hAnsi="Cambria Math"/>
              </w:rPr>
              <m:t>Δln</m:t>
            </m:r>
            <m:sSubSup>
              <m:sSubSupPr>
                <m:ctrlPr>
                  <w:rPr>
                    <w:rFonts w:ascii="Cambria Math" w:hAnsi="Cambria Math"/>
                  </w:rPr>
                </m:ctrlPr>
              </m:sSubSupPr>
              <m:e>
                <m:r>
                  <w:rPr>
                    <w:rFonts w:ascii="Cambria Math" w:hAnsi="Cambria Math"/>
                  </w:rPr>
                  <m:t>V</m:t>
                </m:r>
              </m:e>
              <m:sub>
                <m:r>
                  <w:rPr>
                    <w:rFonts w:ascii="Cambria Math" w:hAnsi="Cambria Math"/>
                  </w:rPr>
                  <m:t>t</m:t>
                </m:r>
              </m:sub>
              <m:sup>
                <m:r>
                  <w:rPr>
                    <w:rFonts w:ascii="Cambria Math" w:hAnsi="Cambria Math"/>
                  </w:rPr>
                  <m:t>-</m:t>
                </m:r>
              </m:sup>
            </m:sSubSup>
            <m:r>
              <w:rPr>
                <w:rFonts w:ascii="Cambria Math" w:hAnsi="Cambria Math"/>
              </w:rPr>
              <m:t>,0</m:t>
            </m:r>
          </m:e>
        </m:d>
      </m:oMath>
    </w:p>
    <w:p w:rsidR="00DD760D" w:rsidRDefault="00221AAF">
      <w:pPr>
        <w:pStyle w:val="BodyText"/>
      </w:pPr>
      <w:r>
        <w:t xml:space="preserve">Where </w:t>
      </w:r>
      <m:oMath>
        <m:r>
          <w:rPr>
            <w:rFonts w:ascii="Cambria Math" w:hAnsi="Cambria Math"/>
          </w:rPr>
          <m:t>ln</m:t>
        </m:r>
        <m:sSubSup>
          <m:sSubSupPr>
            <m:ctrlPr>
              <w:rPr>
                <w:rFonts w:ascii="Cambria Math" w:hAnsi="Cambria Math"/>
              </w:rPr>
            </m:ctrlPr>
          </m:sSubSupPr>
          <m:e>
            <m:r>
              <w:rPr>
                <w:rFonts w:ascii="Cambria Math" w:hAnsi="Cambria Math"/>
              </w:rPr>
              <m:t>V</m:t>
            </m:r>
          </m:e>
          <m:sub>
            <m:r>
              <w:rPr>
                <w:rFonts w:ascii="Cambria Math" w:hAnsi="Cambria Math"/>
              </w:rPr>
              <m:t>t</m:t>
            </m:r>
          </m:sub>
          <m:sup>
            <m:r>
              <w:rPr>
                <w:rFonts w:ascii="Cambria Math" w:hAnsi="Cambria Math"/>
              </w:rPr>
              <m:t>+</m:t>
            </m:r>
          </m:sup>
        </m:sSubSup>
      </m:oMath>
      <w:r>
        <w:t xml:space="preserve"> and </w:t>
      </w:r>
      <m:oMath>
        <m:r>
          <w:rPr>
            <w:rFonts w:ascii="Cambria Math" w:hAnsi="Cambria Math"/>
          </w:rPr>
          <m:t>ln</m:t>
        </m:r>
        <m:sSubSup>
          <m:sSubSupPr>
            <m:ctrlPr>
              <w:rPr>
                <w:rFonts w:ascii="Cambria Math" w:hAnsi="Cambria Math"/>
              </w:rPr>
            </m:ctrlPr>
          </m:sSubSupPr>
          <m:e>
            <m:r>
              <w:rPr>
                <w:rFonts w:ascii="Cambria Math" w:hAnsi="Cambria Math"/>
              </w:rPr>
              <m:t>V</m:t>
            </m:r>
          </m:e>
          <m:sub>
            <m:r>
              <w:rPr>
                <w:rFonts w:ascii="Cambria Math" w:hAnsi="Cambria Math"/>
              </w:rPr>
              <m:t>t</m:t>
            </m:r>
          </m:sub>
          <m:sup>
            <m:r>
              <w:rPr>
                <w:rFonts w:ascii="Cambria Math" w:hAnsi="Cambria Math"/>
              </w:rPr>
              <m:t>-</m:t>
            </m:r>
          </m:sup>
        </m:sSubSup>
      </m:oMath>
      <w:r>
        <w:t xml:space="preserve"> are the partial sums of positive and negative changes in volatility measure respectively. Replacing </w:t>
      </w:r>
      <m:oMath>
        <m:r>
          <w:rPr>
            <w:rFonts w:ascii="Cambria Math" w:hAnsi="Cambria Math"/>
          </w:rPr>
          <m:t>ln</m:t>
        </m:r>
        <m:sSub>
          <m:sSubPr>
            <m:ctrlPr>
              <w:rPr>
                <w:rFonts w:ascii="Cambria Math" w:hAnsi="Cambria Math"/>
              </w:rPr>
            </m:ctrlPr>
          </m:sSubPr>
          <m:e>
            <m:r>
              <w:rPr>
                <w:rFonts w:ascii="Cambria Math" w:hAnsi="Cambria Math"/>
              </w:rPr>
              <m:t>V</m:t>
            </m:r>
          </m:e>
          <m:sub>
            <m:r>
              <w:rPr>
                <w:rFonts w:ascii="Cambria Math" w:hAnsi="Cambria Math"/>
              </w:rPr>
              <m:t>t</m:t>
            </m:r>
          </m:sub>
        </m:sSub>
      </m:oMath>
      <w:r>
        <w:t xml:space="preserve"> with l</w:t>
      </w:r>
      <m:oMath>
        <m:r>
          <w:rPr>
            <w:rFonts w:ascii="Cambria Math" w:hAnsi="Cambria Math"/>
          </w:rPr>
          <m:t>n</m:t>
        </m:r>
        <m:sSubSup>
          <m:sSubSupPr>
            <m:ctrlPr>
              <w:rPr>
                <w:rFonts w:ascii="Cambria Math" w:hAnsi="Cambria Math"/>
              </w:rPr>
            </m:ctrlPr>
          </m:sSubSupPr>
          <m:e>
            <m:r>
              <w:rPr>
                <w:rFonts w:ascii="Cambria Math" w:hAnsi="Cambria Math"/>
              </w:rPr>
              <m:t>V</m:t>
            </m:r>
          </m:e>
          <m:sub>
            <m:r>
              <w:rPr>
                <w:rFonts w:ascii="Cambria Math" w:hAnsi="Cambria Math"/>
              </w:rPr>
              <m:t>t</m:t>
            </m:r>
          </m:sub>
          <m:sup>
            <m:r>
              <w:rPr>
                <w:rFonts w:ascii="Cambria Math" w:hAnsi="Cambria Math"/>
              </w:rPr>
              <m:t>+</m:t>
            </m:r>
          </m:sup>
        </m:sSubSup>
      </m:oMath>
      <w:r>
        <w:t xml:space="preserve"> and </w:t>
      </w:r>
      <m:oMath>
        <m:r>
          <w:rPr>
            <w:rFonts w:ascii="Cambria Math" w:hAnsi="Cambria Math"/>
          </w:rPr>
          <m:t>ln</m:t>
        </m:r>
        <m:sSubSup>
          <m:sSubSupPr>
            <m:ctrlPr>
              <w:rPr>
                <w:rFonts w:ascii="Cambria Math" w:hAnsi="Cambria Math"/>
              </w:rPr>
            </m:ctrlPr>
          </m:sSubSupPr>
          <m:e>
            <m:r>
              <w:rPr>
                <w:rFonts w:ascii="Cambria Math" w:hAnsi="Cambria Math"/>
              </w:rPr>
              <m:t>V</m:t>
            </m:r>
          </m:e>
          <m:sub>
            <m:r>
              <w:rPr>
                <w:rFonts w:ascii="Cambria Math" w:hAnsi="Cambria Math"/>
              </w:rPr>
              <m:t>t</m:t>
            </m:r>
          </m:sub>
          <m:sup>
            <m:r>
              <w:rPr>
                <w:rFonts w:ascii="Cambria Math" w:hAnsi="Cambria Math"/>
              </w:rPr>
              <m:t>-</m:t>
            </m:r>
          </m:sup>
        </m:sSubSup>
      </m:oMath>
      <w:r>
        <w:t xml:space="preserve"> in Equation (5), the export and import equations can be written in the form NARDL model using Equation (6).</w:t>
      </w:r>
    </w:p>
    <w:p w:rsidR="00DD760D" w:rsidRDefault="00221AAF">
      <w:pPr>
        <w:pStyle w:val="BodyText"/>
      </w:pPr>
      <m:oMathPara>
        <m:oMathParaPr>
          <m:jc m:val="center"/>
        </m:oMathParaPr>
        <m:oMath>
          <m:r>
            <w:rPr>
              <w:rFonts w:ascii="Cambria Math" w:hAnsi="Cambria Math"/>
            </w:rPr>
            <w:lastRenderedPageBreak/>
            <m:t>Δln</m:t>
          </m:r>
          <m:sSub>
            <m:sSubPr>
              <m:ctrlPr>
                <w:rPr>
                  <w:rFonts w:ascii="Cambria Math" w:hAnsi="Cambria Math"/>
                </w:rPr>
              </m:ctrlPr>
            </m:sSubPr>
            <m:e>
              <m:r>
                <w:rPr>
                  <w:rFonts w:ascii="Cambria Math" w:hAnsi="Cambria Math"/>
                </w:rPr>
                <m:t>Z</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0</m:t>
              </m:r>
            </m:sub>
          </m:sSub>
          <m:r>
            <w:rPr>
              <w:rFonts w:ascii="Cambria Math" w:hAnsi="Cambria Math"/>
            </w:rPr>
            <m:t>+</m:t>
          </m:r>
          <m:nary>
            <m:naryPr>
              <m:chr m:val="∑"/>
              <m:limLoc m:val="undOvr"/>
              <m:ctrlPr>
                <w:rPr>
                  <w:rFonts w:ascii="Cambria Math" w:hAnsi="Cambria Math"/>
                </w:rPr>
              </m:ctrlPr>
            </m:naryPr>
            <m:sub>
              <m:r>
                <w:rPr>
                  <w:rFonts w:ascii="Cambria Math" w:hAnsi="Cambria Math"/>
                </w:rPr>
                <m:t>i=1</m:t>
              </m:r>
            </m:sub>
            <m:sup>
              <m:r>
                <w:rPr>
                  <w:rFonts w:ascii="Cambria Math" w:hAnsi="Cambria Math"/>
                </w:rPr>
                <m:t>n-1</m:t>
              </m:r>
            </m:sup>
            <m:e>
              <m:sSub>
                <m:sSubPr>
                  <m:ctrlPr>
                    <w:rPr>
                      <w:rFonts w:ascii="Cambria Math" w:hAnsi="Cambria Math"/>
                    </w:rPr>
                  </m:ctrlPr>
                </m:sSubPr>
                <m:e>
                  <m:r>
                    <w:rPr>
                      <w:rFonts w:ascii="Cambria Math" w:hAnsi="Cambria Math"/>
                    </w:rPr>
                    <m:t>θ</m:t>
                  </m:r>
                </m:e>
                <m:sub>
                  <m:r>
                    <w:rPr>
                      <w:rFonts w:ascii="Cambria Math" w:hAnsi="Cambria Math"/>
                    </w:rPr>
                    <m:t>i</m:t>
                  </m:r>
                </m:sub>
              </m:sSub>
            </m:e>
          </m:nary>
          <m:r>
            <w:rPr>
              <w:rFonts w:ascii="Cambria Math" w:hAnsi="Cambria Math"/>
            </w:rPr>
            <m:t>Δln</m:t>
          </m:r>
          <m:sSub>
            <m:sSubPr>
              <m:ctrlPr>
                <w:rPr>
                  <w:rFonts w:ascii="Cambria Math" w:hAnsi="Cambria Math"/>
                </w:rPr>
              </m:ctrlPr>
            </m:sSubPr>
            <m:e>
              <m:r>
                <w:rPr>
                  <w:rFonts w:ascii="Cambria Math" w:hAnsi="Cambria Math"/>
                </w:rPr>
                <m:t>Z</m:t>
              </m:r>
            </m:e>
            <m:sub>
              <m:r>
                <w:rPr>
                  <w:rFonts w:ascii="Cambria Math" w:hAnsi="Cambria Math"/>
                </w:rPr>
                <m:t>t-i</m:t>
              </m:r>
            </m:sub>
          </m:sSub>
          <m:r>
            <w:rPr>
              <w:rFonts w:ascii="Cambria Math" w:hAnsi="Cambria Math"/>
            </w:rPr>
            <m:t>+</m:t>
          </m:r>
          <m:nary>
            <m:naryPr>
              <m:chr m:val="∑"/>
              <m:limLoc m:val="undOvr"/>
              <m:ctrlPr>
                <w:rPr>
                  <w:rFonts w:ascii="Cambria Math" w:hAnsi="Cambria Math"/>
                </w:rPr>
              </m:ctrlPr>
            </m:naryPr>
            <m:sub>
              <m:r>
                <w:rPr>
                  <w:rFonts w:ascii="Cambria Math" w:hAnsi="Cambria Math"/>
                </w:rPr>
                <m:t>i=0</m:t>
              </m:r>
            </m:sub>
            <m:sup>
              <m:r>
                <w:rPr>
                  <w:rFonts w:ascii="Cambria Math" w:hAnsi="Cambria Math"/>
                </w:rPr>
                <m:t>m-1</m:t>
              </m:r>
            </m:sup>
            <m:e>
              <m:r>
                <w:rPr>
                  <w:rFonts w:ascii="Cambria Math" w:hAnsi="Cambria Math"/>
                </w:rPr>
                <m:t>(</m:t>
              </m:r>
            </m:e>
          </m:nary>
          <m:sSub>
            <m:sSubPr>
              <m:ctrlPr>
                <w:rPr>
                  <w:rFonts w:ascii="Cambria Math" w:hAnsi="Cambria Math"/>
                </w:rPr>
              </m:ctrlPr>
            </m:sSubPr>
            <m:e>
              <m:r>
                <w:rPr>
                  <w:rFonts w:ascii="Cambria Math" w:hAnsi="Cambria Math"/>
                </w:rPr>
                <m:t>γ</m:t>
              </m:r>
            </m:e>
            <m:sub>
              <m:r>
                <w:rPr>
                  <w:rFonts w:ascii="Cambria Math" w:hAnsi="Cambria Math"/>
                </w:rPr>
                <m:t>i</m:t>
              </m:r>
            </m:sub>
          </m:sSub>
          <m:r>
            <w:rPr>
              <w:rFonts w:ascii="Cambria Math" w:hAnsi="Cambria Math"/>
            </w:rPr>
            <m:t>Δln</m:t>
          </m:r>
          <m:sSub>
            <m:sSubPr>
              <m:ctrlPr>
                <w:rPr>
                  <w:rFonts w:ascii="Cambria Math" w:hAnsi="Cambria Math"/>
                </w:rPr>
              </m:ctrlPr>
            </m:sSubPr>
            <m:e>
              <m:r>
                <w:rPr>
                  <w:rFonts w:ascii="Cambria Math" w:hAnsi="Cambria Math"/>
                </w:rPr>
                <m:t>Q</m:t>
              </m:r>
            </m:e>
            <m:sub>
              <m:r>
                <w:rPr>
                  <w:rFonts w:ascii="Cambria Math" w:hAnsi="Cambria Math"/>
                </w:rPr>
                <m:t>t-i</m:t>
              </m:r>
            </m:sub>
          </m:sSub>
          <m:r>
            <w:rPr>
              <w:rFonts w:ascii="Cambria Math" w:hAnsi="Cambria Math"/>
            </w:rPr>
            <m:t>+</m:t>
          </m:r>
          <m:sSub>
            <m:sSubPr>
              <m:ctrlPr>
                <w:rPr>
                  <w:rFonts w:ascii="Cambria Math" w:hAnsi="Cambria Math"/>
                </w:rPr>
              </m:ctrlPr>
            </m:sSubPr>
            <m:e>
              <m:r>
                <w:rPr>
                  <w:rFonts w:ascii="Cambria Math" w:hAnsi="Cambria Math"/>
                </w:rPr>
                <m:t>η</m:t>
              </m:r>
            </m:e>
            <m:sub>
              <m:r>
                <w:rPr>
                  <w:rFonts w:ascii="Cambria Math" w:hAnsi="Cambria Math"/>
                </w:rPr>
                <m:t>i</m:t>
              </m:r>
            </m:sub>
          </m:sSub>
          <m:r>
            <w:rPr>
              <w:rFonts w:ascii="Cambria Math" w:hAnsi="Cambria Math"/>
            </w:rPr>
            <m:t>Δln</m:t>
          </m:r>
          <m:sSub>
            <m:sSubPr>
              <m:ctrlPr>
                <w:rPr>
                  <w:rFonts w:ascii="Cambria Math" w:hAnsi="Cambria Math"/>
                </w:rPr>
              </m:ctrlPr>
            </m:sSubPr>
            <m:e>
              <m:r>
                <w:rPr>
                  <w:rFonts w:ascii="Cambria Math" w:hAnsi="Cambria Math"/>
                </w:rPr>
                <m:t>R</m:t>
              </m:r>
            </m:e>
            <m:sub>
              <m:r>
                <w:rPr>
                  <w:rFonts w:ascii="Cambria Math" w:hAnsi="Cambria Math"/>
                </w:rPr>
                <m:t>t-i</m:t>
              </m:r>
            </m:sub>
          </m:sSub>
          <m:r>
            <w:rPr>
              <w:rFonts w:ascii="Cambria Math" w:hAnsi="Cambria Math"/>
            </w:rPr>
            <m:t>+</m:t>
          </m:r>
          <m:sSubSup>
            <m:sSubSupPr>
              <m:ctrlPr>
                <w:rPr>
                  <w:rFonts w:ascii="Cambria Math" w:hAnsi="Cambria Math"/>
                </w:rPr>
              </m:ctrlPr>
            </m:sSubSupPr>
            <m:e>
              <m:r>
                <w:rPr>
                  <w:rFonts w:ascii="Cambria Math" w:hAnsi="Cambria Math"/>
                </w:rPr>
                <m:t>ω</m:t>
              </m:r>
            </m:e>
            <m:sub>
              <m:r>
                <w:rPr>
                  <w:rFonts w:ascii="Cambria Math" w:hAnsi="Cambria Math"/>
                </w:rPr>
                <m:t>i</m:t>
              </m:r>
            </m:sub>
            <m:sup>
              <m:r>
                <w:rPr>
                  <w:rFonts w:ascii="Cambria Math" w:hAnsi="Cambria Math"/>
                </w:rPr>
                <m:t>+</m:t>
              </m:r>
            </m:sup>
          </m:sSubSup>
          <m:r>
            <w:rPr>
              <w:rFonts w:ascii="Cambria Math" w:hAnsi="Cambria Math"/>
            </w:rPr>
            <m:t>Δln</m:t>
          </m:r>
          <m:sSubSup>
            <m:sSubSupPr>
              <m:ctrlPr>
                <w:rPr>
                  <w:rFonts w:ascii="Cambria Math" w:hAnsi="Cambria Math"/>
                </w:rPr>
              </m:ctrlPr>
            </m:sSubSupPr>
            <m:e>
              <m:r>
                <w:rPr>
                  <w:rFonts w:ascii="Cambria Math" w:hAnsi="Cambria Math"/>
                </w:rPr>
                <m:t>V</m:t>
              </m:r>
            </m:e>
            <m:sub>
              <m:r>
                <w:rPr>
                  <w:rFonts w:ascii="Cambria Math" w:hAnsi="Cambria Math"/>
                </w:rPr>
                <m:t>t-i</m:t>
              </m:r>
            </m:sub>
            <m:sup>
              <m:r>
                <w:rPr>
                  <w:rFonts w:ascii="Cambria Math" w:hAnsi="Cambria Math"/>
                </w:rPr>
                <m:t>+</m:t>
              </m:r>
            </m:sup>
          </m:sSubSup>
          <m:r>
            <w:rPr>
              <w:rFonts w:ascii="Cambria Math" w:hAnsi="Cambria Math"/>
            </w:rPr>
            <m:t>+</m:t>
          </m:r>
          <m:sSubSup>
            <m:sSubSupPr>
              <m:ctrlPr>
                <w:rPr>
                  <w:rFonts w:ascii="Cambria Math" w:hAnsi="Cambria Math"/>
                </w:rPr>
              </m:ctrlPr>
            </m:sSubSupPr>
            <m:e>
              <m:r>
                <w:rPr>
                  <w:rFonts w:ascii="Cambria Math" w:hAnsi="Cambria Math"/>
                </w:rPr>
                <m:t>ω</m:t>
              </m:r>
            </m:e>
            <m:sub>
              <m:r>
                <w:rPr>
                  <w:rFonts w:ascii="Cambria Math" w:hAnsi="Cambria Math"/>
                </w:rPr>
                <m:t>i</m:t>
              </m:r>
            </m:sub>
            <m:sup>
              <m:r>
                <w:rPr>
                  <w:rFonts w:ascii="Cambria Math" w:hAnsi="Cambria Math"/>
                </w:rPr>
                <m:t>-</m:t>
              </m:r>
            </m:sup>
          </m:sSubSup>
          <m:r>
            <w:rPr>
              <w:rFonts w:ascii="Cambria Math" w:hAnsi="Cambria Math"/>
            </w:rPr>
            <m:t>Δln</m:t>
          </m:r>
          <m:sSubSup>
            <m:sSubSupPr>
              <m:ctrlPr>
                <w:rPr>
                  <w:rFonts w:ascii="Cambria Math" w:hAnsi="Cambria Math"/>
                </w:rPr>
              </m:ctrlPr>
            </m:sSubSupPr>
            <m:e>
              <m:r>
                <w:rPr>
                  <w:rFonts w:ascii="Cambria Math" w:hAnsi="Cambria Math"/>
                </w:rPr>
                <m:t>V</m:t>
              </m:r>
            </m:e>
            <m:sub>
              <m:r>
                <w:rPr>
                  <w:rFonts w:ascii="Cambria Math" w:hAnsi="Cambria Math"/>
                </w:rPr>
                <m:t>t-i</m:t>
              </m:r>
            </m:sub>
            <m:sup>
              <m:r>
                <w:rPr>
                  <w:rFonts w:ascii="Cambria Math" w:hAnsi="Cambria Math"/>
                </w:rPr>
                <m:t>-</m:t>
              </m:r>
            </m:sup>
          </m:sSubSup>
          <m:r>
            <w:rPr>
              <w:rFonts w:ascii="Cambria Math" w:hAnsi="Cambria Math"/>
            </w:rPr>
            <m:t>+</m:t>
          </m:r>
          <m:sSub>
            <m:sSubPr>
              <m:ctrlPr>
                <w:rPr>
                  <w:rFonts w:ascii="Cambria Math" w:hAnsi="Cambria Math"/>
                </w:rPr>
              </m:ctrlPr>
            </m:sSubPr>
            <m:e>
              <m:r>
                <w:rPr>
                  <w:rFonts w:ascii="Cambria Math" w:hAnsi="Cambria Math"/>
                </w:rPr>
                <m:t>δ</m:t>
              </m:r>
            </m:e>
            <m:sub>
              <m:r>
                <w:rPr>
                  <w:rFonts w:ascii="Cambria Math" w:hAnsi="Cambria Math"/>
                </w:rPr>
                <m:t>0</m:t>
              </m:r>
            </m:sub>
          </m:sSub>
          <m:r>
            <w:rPr>
              <w:rFonts w:ascii="Cambria Math" w:hAnsi="Cambria Math"/>
            </w:rPr>
            <m:t>ln</m:t>
          </m:r>
          <m:sSub>
            <m:sSubPr>
              <m:ctrlPr>
                <w:rPr>
                  <w:rFonts w:ascii="Cambria Math" w:hAnsi="Cambria Math"/>
                </w:rPr>
              </m:ctrlPr>
            </m:sSubPr>
            <m:e>
              <m:r>
                <w:rPr>
                  <w:rFonts w:ascii="Cambria Math" w:hAnsi="Cambria Math"/>
                </w:rPr>
                <m:t>Z</m:t>
              </m:r>
            </m:e>
            <m:sub>
              <m:r>
                <w:rPr>
                  <w:rFonts w:ascii="Cambria Math" w:hAnsi="Cambria Math"/>
                </w:rPr>
                <m:t>t-1</m:t>
              </m:r>
            </m:sub>
          </m:sSub>
          <m:r>
            <w:rPr>
              <w:rFonts w:ascii="Cambria Math" w:hAnsi="Cambria Math"/>
            </w:rPr>
            <m:t>+</m:t>
          </m:r>
          <m:sSub>
            <m:sSubPr>
              <m:ctrlPr>
                <w:rPr>
                  <w:rFonts w:ascii="Cambria Math" w:hAnsi="Cambria Math"/>
                </w:rPr>
              </m:ctrlPr>
            </m:sSubPr>
            <m:e>
              <m:r>
                <w:rPr>
                  <w:rFonts w:ascii="Cambria Math" w:hAnsi="Cambria Math"/>
                </w:rPr>
                <m:t>δ</m:t>
              </m:r>
            </m:e>
            <m:sub>
              <m:r>
                <w:rPr>
                  <w:rFonts w:ascii="Cambria Math" w:hAnsi="Cambria Math"/>
                </w:rPr>
                <m:t>1</m:t>
              </m:r>
            </m:sub>
          </m:sSub>
          <m:r>
            <w:rPr>
              <w:rFonts w:ascii="Cambria Math" w:hAnsi="Cambria Math"/>
            </w:rPr>
            <m:t>ln</m:t>
          </m:r>
          <m:sSub>
            <m:sSubPr>
              <m:ctrlPr>
                <w:rPr>
                  <w:rFonts w:ascii="Cambria Math" w:hAnsi="Cambria Math"/>
                </w:rPr>
              </m:ctrlPr>
            </m:sSubPr>
            <m:e>
              <m:r>
                <w:rPr>
                  <w:rFonts w:ascii="Cambria Math" w:hAnsi="Cambria Math"/>
                </w:rPr>
                <m:t>Q</m:t>
              </m:r>
            </m:e>
            <m:sub>
              <m:r>
                <w:rPr>
                  <w:rFonts w:ascii="Cambria Math" w:hAnsi="Cambria Math"/>
                </w:rPr>
                <m:t>t-1</m:t>
              </m:r>
            </m:sub>
          </m:sSub>
          <m:r>
            <w:rPr>
              <w:rFonts w:ascii="Cambria Math" w:hAnsi="Cambria Math"/>
            </w:rPr>
            <m:t>+</m:t>
          </m:r>
          <m:sSub>
            <m:sSubPr>
              <m:ctrlPr>
                <w:rPr>
                  <w:rFonts w:ascii="Cambria Math" w:hAnsi="Cambria Math"/>
                </w:rPr>
              </m:ctrlPr>
            </m:sSubPr>
            <m:e>
              <m:r>
                <w:rPr>
                  <w:rFonts w:ascii="Cambria Math" w:hAnsi="Cambria Math"/>
                </w:rPr>
                <m:t>δ</m:t>
              </m:r>
            </m:e>
            <m:sub>
              <m:r>
                <w:rPr>
                  <w:rFonts w:ascii="Cambria Math" w:hAnsi="Cambria Math"/>
                </w:rPr>
                <m:t>2</m:t>
              </m:r>
            </m:sub>
          </m:sSub>
          <m:r>
            <w:rPr>
              <w:rFonts w:ascii="Cambria Math" w:hAnsi="Cambria Math"/>
            </w:rPr>
            <m:t>ln</m:t>
          </m:r>
          <m:sSub>
            <m:sSubPr>
              <m:ctrlPr>
                <w:rPr>
                  <w:rFonts w:ascii="Cambria Math" w:hAnsi="Cambria Math"/>
                </w:rPr>
              </m:ctrlPr>
            </m:sSubPr>
            <m:e>
              <m:r>
                <w:rPr>
                  <w:rFonts w:ascii="Cambria Math" w:hAnsi="Cambria Math"/>
                </w:rPr>
                <m:t>R</m:t>
              </m:r>
            </m:e>
            <m:sub>
              <m:r>
                <w:rPr>
                  <w:rFonts w:ascii="Cambria Math" w:hAnsi="Cambria Math"/>
                </w:rPr>
                <m:t>t-1</m:t>
              </m:r>
            </m:sub>
          </m:sSub>
          <m:r>
            <w:rPr>
              <w:rFonts w:ascii="Cambria Math" w:hAnsi="Cambria Math"/>
            </w:rPr>
            <m:t>+</m:t>
          </m:r>
          <m:sSup>
            <m:sSupPr>
              <m:ctrlPr>
                <w:rPr>
                  <w:rFonts w:ascii="Cambria Math" w:hAnsi="Cambria Math"/>
                </w:rPr>
              </m:ctrlPr>
            </m:sSupPr>
            <m:e>
              <m:r>
                <w:rPr>
                  <w:rFonts w:ascii="Cambria Math" w:hAnsi="Cambria Math"/>
                </w:rPr>
                <m:t>δ</m:t>
              </m:r>
            </m:e>
            <m:sup>
              <m:r>
                <w:rPr>
                  <w:rFonts w:ascii="Cambria Math" w:hAnsi="Cambria Math"/>
                </w:rPr>
                <m:t>+</m:t>
              </m:r>
            </m:sup>
          </m:sSup>
          <m:r>
            <w:rPr>
              <w:rFonts w:ascii="Cambria Math" w:hAnsi="Cambria Math"/>
            </w:rPr>
            <m:t>ln</m:t>
          </m:r>
          <m:sSubSup>
            <m:sSubSupPr>
              <m:ctrlPr>
                <w:rPr>
                  <w:rFonts w:ascii="Cambria Math" w:hAnsi="Cambria Math"/>
                </w:rPr>
              </m:ctrlPr>
            </m:sSubSupPr>
            <m:e>
              <m:r>
                <w:rPr>
                  <w:rFonts w:ascii="Cambria Math" w:hAnsi="Cambria Math"/>
                </w:rPr>
                <m:t>V</m:t>
              </m:r>
            </m:e>
            <m:sub>
              <m:r>
                <w:rPr>
                  <w:rFonts w:ascii="Cambria Math" w:hAnsi="Cambria Math"/>
                </w:rPr>
                <m:t>t-1</m:t>
              </m:r>
            </m:sub>
            <m:sup>
              <m:r>
                <w:rPr>
                  <w:rFonts w:ascii="Cambria Math" w:hAnsi="Cambria Math"/>
                </w:rPr>
                <m:t>+</m:t>
              </m:r>
            </m:sup>
          </m:sSubSup>
          <m:r>
            <w:rPr>
              <w:rFonts w:ascii="Cambria Math" w:hAnsi="Cambria Math"/>
            </w:rPr>
            <m:t>+</m:t>
          </m:r>
          <m:sSup>
            <m:sSupPr>
              <m:ctrlPr>
                <w:rPr>
                  <w:rFonts w:ascii="Cambria Math" w:hAnsi="Cambria Math"/>
                </w:rPr>
              </m:ctrlPr>
            </m:sSupPr>
            <m:e>
              <m:r>
                <w:rPr>
                  <w:rFonts w:ascii="Cambria Math" w:hAnsi="Cambria Math"/>
                </w:rPr>
                <m:t>δ</m:t>
              </m:r>
            </m:e>
            <m:sup>
              <m:r>
                <w:rPr>
                  <w:rFonts w:ascii="Cambria Math" w:hAnsi="Cambria Math"/>
                </w:rPr>
                <m:t>-</m:t>
              </m:r>
            </m:sup>
          </m:sSup>
          <m:r>
            <w:rPr>
              <w:rFonts w:ascii="Cambria Math" w:hAnsi="Cambria Math"/>
            </w:rPr>
            <m:t>ln</m:t>
          </m:r>
          <m:sSubSup>
            <m:sSubSupPr>
              <m:ctrlPr>
                <w:rPr>
                  <w:rFonts w:ascii="Cambria Math" w:hAnsi="Cambria Math"/>
                </w:rPr>
              </m:ctrlPr>
            </m:sSubSupPr>
            <m:e>
              <m:r>
                <w:rPr>
                  <w:rFonts w:ascii="Cambria Math" w:hAnsi="Cambria Math"/>
                </w:rPr>
                <m:t>V</m:t>
              </m:r>
            </m:e>
            <m:sub>
              <m:r>
                <w:rPr>
                  <w:rFonts w:ascii="Cambria Math" w:hAnsi="Cambria Math"/>
                </w:rPr>
                <m:t>t-1</m:t>
              </m:r>
            </m:sub>
            <m:sup>
              <m:r>
                <w:rPr>
                  <w:rFonts w:ascii="Cambria Math" w:hAnsi="Cambria Math"/>
                </w:rPr>
                <m:t>-</m:t>
              </m:r>
            </m:sup>
          </m:sSubSup>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t</m:t>
              </m:r>
            </m:sub>
          </m:sSub>
          <m:r>
            <w:rPr>
              <w:rFonts w:ascii="Cambria Math" w:hAnsi="Cambria Math"/>
            </w:rPr>
            <m:t>  (6)</m:t>
          </m:r>
        </m:oMath>
      </m:oMathPara>
    </w:p>
    <w:p w:rsidR="00DD760D" w:rsidRDefault="00221AAF">
      <w:pPr>
        <w:pStyle w:val="FirstParagraph"/>
      </w:pPr>
      <w:r>
        <w:t xml:space="preserve">Where </w:t>
      </w:r>
      <m:oMath>
        <m:sSub>
          <m:sSubPr>
            <m:ctrlPr>
              <w:rPr>
                <w:rFonts w:ascii="Cambria Math" w:hAnsi="Cambria Math"/>
              </w:rPr>
            </m:ctrlPr>
          </m:sSubPr>
          <m:e>
            <m:r>
              <w:rPr>
                <w:rFonts w:ascii="Cambria Math" w:hAnsi="Cambria Math"/>
              </w:rPr>
              <m:t>Z</m:t>
            </m:r>
          </m:e>
          <m:sub>
            <m:r>
              <w:rPr>
                <w:rFonts w:ascii="Cambria Math" w:hAnsi="Cambria Math"/>
              </w:rPr>
              <m:t>t</m:t>
            </m:r>
          </m:sub>
        </m:sSub>
      </m:oMath>
      <w:r>
        <w:t xml:space="preserve"> and </w:t>
      </w:r>
      <m:oMath>
        <m:sSub>
          <m:sSubPr>
            <m:ctrlPr>
              <w:rPr>
                <w:rFonts w:ascii="Cambria Math" w:hAnsi="Cambria Math"/>
              </w:rPr>
            </m:ctrlPr>
          </m:sSubPr>
          <m:e>
            <m:r>
              <w:rPr>
                <w:rFonts w:ascii="Cambria Math" w:hAnsi="Cambria Math"/>
              </w:rPr>
              <m:t>Q</m:t>
            </m:r>
          </m:e>
          <m:sub>
            <m:r>
              <w:rPr>
                <w:rFonts w:ascii="Cambria Math" w:hAnsi="Cambria Math"/>
              </w:rPr>
              <m:t>t</m:t>
            </m:r>
          </m:sub>
        </m:sSub>
      </m:oMath>
      <w:r>
        <w:t xml:space="preserve"> represent </w:t>
      </w:r>
      <m:oMath>
        <m:sSub>
          <m:sSubPr>
            <m:ctrlPr>
              <w:rPr>
                <w:rFonts w:ascii="Cambria Math" w:hAnsi="Cambria Math"/>
              </w:rPr>
            </m:ctrlPr>
          </m:sSubPr>
          <m:e>
            <m:r>
              <w:rPr>
                <w:rFonts w:ascii="Cambria Math" w:hAnsi="Cambria Math"/>
              </w:rPr>
              <m:t>X</m:t>
            </m:r>
          </m:e>
          <m:sub>
            <m:r>
              <w:rPr>
                <w:rFonts w:ascii="Cambria Math" w:hAnsi="Cambria Math"/>
              </w:rPr>
              <m:t>t</m:t>
            </m:r>
          </m:sub>
        </m:sSub>
      </m:oMath>
      <w:r>
        <w:t xml:space="preserve"> and </w:t>
      </w:r>
      <m:oMath>
        <m:sSubSup>
          <m:sSubSupPr>
            <m:ctrlPr>
              <w:rPr>
                <w:rFonts w:ascii="Cambria Math" w:hAnsi="Cambria Math"/>
              </w:rPr>
            </m:ctrlPr>
          </m:sSubSupPr>
          <m:e>
            <m:r>
              <w:rPr>
                <w:rFonts w:ascii="Cambria Math" w:hAnsi="Cambria Math"/>
              </w:rPr>
              <m:t>Y</m:t>
            </m:r>
          </m:e>
          <m:sub>
            <m:r>
              <w:rPr>
                <w:rFonts w:ascii="Cambria Math" w:hAnsi="Cambria Math"/>
              </w:rPr>
              <m:t>t</m:t>
            </m:r>
          </m:sub>
          <m:sup>
            <m:r>
              <w:rPr>
                <w:rFonts w:ascii="Cambria Math" w:hAnsi="Cambria Math"/>
              </w:rPr>
              <m:t>e</m:t>
            </m:r>
          </m:sup>
        </m:sSubSup>
        <m:r>
          <w:rPr>
            <w:rFonts w:ascii="Cambria Math" w:hAnsi="Cambria Math"/>
          </w:rPr>
          <m:t>u</m:t>
        </m:r>
      </m:oMath>
      <w:r>
        <w:t xml:space="preserve"> respectively in the export equation, and also represent </w:t>
      </w:r>
      <m:oMath>
        <m:sSub>
          <m:sSubPr>
            <m:ctrlPr>
              <w:rPr>
                <w:rFonts w:ascii="Cambria Math" w:hAnsi="Cambria Math"/>
              </w:rPr>
            </m:ctrlPr>
          </m:sSubPr>
          <m:e>
            <m:r>
              <w:rPr>
                <w:rFonts w:ascii="Cambria Math" w:hAnsi="Cambria Math"/>
              </w:rPr>
              <m:t>M</m:t>
            </m:r>
          </m:e>
          <m:sub>
            <m:r>
              <w:rPr>
                <w:rFonts w:ascii="Cambria Math" w:hAnsi="Cambria Math"/>
              </w:rPr>
              <m:t>t</m:t>
            </m:r>
          </m:sub>
        </m:sSub>
      </m:oMath>
      <w:r>
        <w:t xml:space="preserve"> and </w:t>
      </w:r>
      <m:oMath>
        <m:sSub>
          <m:sSubPr>
            <m:ctrlPr>
              <w:rPr>
                <w:rFonts w:ascii="Cambria Math" w:hAnsi="Cambria Math"/>
              </w:rPr>
            </m:ctrlPr>
          </m:sSubPr>
          <m:e>
            <m:r>
              <w:rPr>
                <w:rFonts w:ascii="Cambria Math" w:hAnsi="Cambria Math"/>
              </w:rPr>
              <m:t>Y</m:t>
            </m:r>
          </m:e>
          <m:sub>
            <m:r>
              <w:rPr>
                <w:rFonts w:ascii="Cambria Math" w:hAnsi="Cambria Math"/>
              </w:rPr>
              <m:t>t</m:t>
            </m:r>
          </m:sub>
        </m:sSub>
      </m:oMath>
      <w:r>
        <w:t xml:space="preserve"> in the import equation. Shin et al. (</w:t>
      </w:r>
      <w:hyperlink w:anchor="ref-shin2011modelling">
        <w:r>
          <w:rPr>
            <w:rStyle w:val="Hyperlink"/>
          </w:rPr>
          <w:t>2011</w:t>
        </w:r>
      </w:hyperlink>
      <w:r>
        <w:t>) contend that Equation (6) is non-linear due to the presence of partial sum processes, and that bounds test proposed by Pesaran et al. (</w:t>
      </w:r>
      <w:hyperlink w:anchor="ref-pesaran2001bounds">
        <w:r>
          <w:rPr>
            <w:rStyle w:val="Hyperlink"/>
          </w:rPr>
          <w:t>2001</w:t>
        </w:r>
      </w:hyperlink>
      <w:r>
        <w:t xml:space="preserve">) can be equally applied. Wald test can be used to test for cointegration among the level variables, that is by imposing </w:t>
      </w:r>
      <m:oMath>
        <m:sSub>
          <m:sSubPr>
            <m:ctrlPr>
              <w:rPr>
                <w:rFonts w:ascii="Cambria Math" w:hAnsi="Cambria Math"/>
              </w:rPr>
            </m:ctrlPr>
          </m:sSubPr>
          <m:e>
            <m:r>
              <w:rPr>
                <w:rFonts w:ascii="Cambria Math" w:hAnsi="Cambria Math"/>
              </w:rPr>
              <m:t>δ</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δ</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δ</m:t>
            </m:r>
          </m:e>
          <m:sub>
            <m:r>
              <w:rPr>
                <w:rFonts w:ascii="Cambria Math" w:hAnsi="Cambria Math"/>
              </w:rPr>
              <m:t>2</m:t>
            </m:r>
          </m:sub>
        </m:sSub>
        <m:r>
          <w:rPr>
            <w:rFonts w:ascii="Cambria Math" w:hAnsi="Cambria Math"/>
          </w:rPr>
          <m:t>=</m:t>
        </m:r>
        <m:sSup>
          <m:sSupPr>
            <m:ctrlPr>
              <w:rPr>
                <w:rFonts w:ascii="Cambria Math" w:hAnsi="Cambria Math"/>
              </w:rPr>
            </m:ctrlPr>
          </m:sSupPr>
          <m:e>
            <m:r>
              <w:rPr>
                <w:rFonts w:ascii="Cambria Math" w:hAnsi="Cambria Math"/>
              </w:rPr>
              <m:t>δ</m:t>
            </m:r>
          </m:e>
          <m:sup>
            <m:r>
              <w:rPr>
                <w:rFonts w:ascii="Cambria Math" w:hAnsi="Cambria Math"/>
              </w:rPr>
              <m:t>+</m:t>
            </m:r>
          </m:sup>
        </m:sSup>
        <m:r>
          <w:rPr>
            <w:rFonts w:ascii="Cambria Math" w:hAnsi="Cambria Math"/>
          </w:rPr>
          <m:t>=</m:t>
        </m:r>
        <m:sSup>
          <m:sSupPr>
            <m:ctrlPr>
              <w:rPr>
                <w:rFonts w:ascii="Cambria Math" w:hAnsi="Cambria Math"/>
              </w:rPr>
            </m:ctrlPr>
          </m:sSupPr>
          <m:e>
            <m:r>
              <w:rPr>
                <w:rFonts w:ascii="Cambria Math" w:hAnsi="Cambria Math"/>
              </w:rPr>
              <m:t>δ</m:t>
            </m:r>
          </m:e>
          <m:sup>
            <m:r>
              <w:rPr>
                <w:rFonts w:ascii="Cambria Math" w:hAnsi="Cambria Math"/>
              </w:rPr>
              <m:t>-</m:t>
            </m:r>
          </m:sup>
        </m:sSup>
        <m:r>
          <w:rPr>
            <w:rFonts w:ascii="Cambria Math" w:hAnsi="Cambria Math"/>
          </w:rPr>
          <m:t>=0</m:t>
        </m:r>
      </m:oMath>
      <w:r>
        <w:t xml:space="preserve">. Long run symmetry can be established by imposing restriction such that </w:t>
      </w:r>
      <m:oMath>
        <m:sSup>
          <m:sSupPr>
            <m:ctrlPr>
              <w:rPr>
                <w:rFonts w:ascii="Cambria Math" w:hAnsi="Cambria Math"/>
              </w:rPr>
            </m:ctrlPr>
          </m:sSupPr>
          <m:e>
            <m:r>
              <w:rPr>
                <w:rFonts w:ascii="Cambria Math" w:hAnsi="Cambria Math"/>
              </w:rPr>
              <m:t>δ</m:t>
            </m:r>
          </m:e>
          <m:sup>
            <m:r>
              <w:rPr>
                <w:rFonts w:ascii="Cambria Math" w:hAnsi="Cambria Math"/>
              </w:rPr>
              <m:t>+</m:t>
            </m:r>
          </m:sup>
        </m:sSup>
        <m:r>
          <w:rPr>
            <w:rFonts w:ascii="Cambria Math" w:hAnsi="Cambria Math"/>
          </w:rPr>
          <m:t>=</m:t>
        </m:r>
        <m:sSup>
          <m:sSupPr>
            <m:ctrlPr>
              <w:rPr>
                <w:rFonts w:ascii="Cambria Math" w:hAnsi="Cambria Math"/>
              </w:rPr>
            </m:ctrlPr>
          </m:sSupPr>
          <m:e>
            <m:r>
              <w:rPr>
                <w:rFonts w:ascii="Cambria Math" w:hAnsi="Cambria Math"/>
              </w:rPr>
              <m:t>δ</m:t>
            </m:r>
          </m:e>
          <m:sup>
            <m:r>
              <w:rPr>
                <w:rFonts w:ascii="Cambria Math" w:hAnsi="Cambria Math"/>
              </w:rPr>
              <m:t>-</m:t>
            </m:r>
          </m:sup>
        </m:sSup>
      </m:oMath>
      <w:r>
        <w:t xml:space="preserve">, while short run symmetry can be determined using </w:t>
      </w:r>
      <m:oMath>
        <m:nary>
          <m:naryPr>
            <m:chr m:val="∑"/>
            <m:limLoc m:val="undOvr"/>
            <m:ctrlPr>
              <w:rPr>
                <w:rFonts w:ascii="Cambria Math" w:hAnsi="Cambria Math"/>
              </w:rPr>
            </m:ctrlPr>
          </m:naryPr>
          <m:sub>
            <m:r>
              <w:rPr>
                <w:rFonts w:ascii="Cambria Math" w:hAnsi="Cambria Math"/>
              </w:rPr>
              <m:t>i=0</m:t>
            </m:r>
          </m:sub>
          <m:sup>
            <m:r>
              <w:rPr>
                <w:rFonts w:ascii="Cambria Math" w:hAnsi="Cambria Math"/>
              </w:rPr>
              <m:t>p</m:t>
            </m:r>
          </m:sup>
          <m:e>
            <m:sSubSup>
              <m:sSubSupPr>
                <m:ctrlPr>
                  <w:rPr>
                    <w:rFonts w:ascii="Cambria Math" w:hAnsi="Cambria Math"/>
                  </w:rPr>
                </m:ctrlPr>
              </m:sSubSupPr>
              <m:e>
                <m:r>
                  <w:rPr>
                    <w:rFonts w:ascii="Cambria Math" w:hAnsi="Cambria Math"/>
                  </w:rPr>
                  <m:t>ω</m:t>
                </m:r>
              </m:e>
              <m:sub>
                <m:r>
                  <w:rPr>
                    <w:rFonts w:ascii="Cambria Math" w:hAnsi="Cambria Math"/>
                  </w:rPr>
                  <m:t>i</m:t>
                </m:r>
              </m:sub>
              <m:sup>
                <m:r>
                  <w:rPr>
                    <w:rFonts w:ascii="Cambria Math" w:hAnsi="Cambria Math"/>
                  </w:rPr>
                  <m:t>+</m:t>
                </m:r>
              </m:sup>
            </m:sSubSup>
          </m:e>
        </m:nary>
        <m:r>
          <w:rPr>
            <w:rFonts w:ascii="Cambria Math" w:hAnsi="Cambria Math"/>
          </w:rPr>
          <m:t>=</m:t>
        </m:r>
        <m:nary>
          <m:naryPr>
            <m:chr m:val="∑"/>
            <m:limLoc m:val="undOvr"/>
            <m:ctrlPr>
              <w:rPr>
                <w:rFonts w:ascii="Cambria Math" w:hAnsi="Cambria Math"/>
              </w:rPr>
            </m:ctrlPr>
          </m:naryPr>
          <m:sub>
            <m:r>
              <w:rPr>
                <w:rFonts w:ascii="Cambria Math" w:hAnsi="Cambria Math"/>
              </w:rPr>
              <m:t>i=0</m:t>
            </m:r>
          </m:sub>
          <m:sup>
            <m:r>
              <w:rPr>
                <w:rFonts w:ascii="Cambria Math" w:hAnsi="Cambria Math"/>
              </w:rPr>
              <m:t>p</m:t>
            </m:r>
          </m:sup>
          <m:e>
            <m:sSubSup>
              <m:sSubSupPr>
                <m:ctrlPr>
                  <w:rPr>
                    <w:rFonts w:ascii="Cambria Math" w:hAnsi="Cambria Math"/>
                  </w:rPr>
                </m:ctrlPr>
              </m:sSubSupPr>
              <m:e>
                <m:r>
                  <w:rPr>
                    <w:rFonts w:ascii="Cambria Math" w:hAnsi="Cambria Math"/>
                  </w:rPr>
                  <m:t>ω</m:t>
                </m:r>
              </m:e>
              <m:sub>
                <m:r>
                  <w:rPr>
                    <w:rFonts w:ascii="Cambria Math" w:hAnsi="Cambria Math"/>
                  </w:rPr>
                  <m:t>i</m:t>
                </m:r>
              </m:sub>
              <m:sup>
                <m:r>
                  <w:rPr>
                    <w:rFonts w:ascii="Cambria Math" w:hAnsi="Cambria Math"/>
                  </w:rPr>
                  <m:t>-</m:t>
                </m:r>
              </m:sup>
            </m:sSubSup>
          </m:e>
        </m:nary>
      </m:oMath>
      <w:r>
        <w:t xml:space="preserve"> restriction. We follow Katrakilidis &amp; Trachanas (</w:t>
      </w:r>
      <w:hyperlink w:anchor="ref-katrakilidis2012drives">
        <w:r>
          <w:rPr>
            <w:rStyle w:val="Hyperlink"/>
          </w:rPr>
          <w:t>2012</w:t>
        </w:r>
      </w:hyperlink>
      <w:r>
        <w:t>) and Cheah et al. (</w:t>
      </w:r>
      <w:hyperlink w:anchor="ref-cheah2017nonlinear">
        <w:r>
          <w:rPr>
            <w:rStyle w:val="Hyperlink"/>
          </w:rPr>
          <w:t>2017</w:t>
        </w:r>
      </w:hyperlink>
      <w:r>
        <w:t>) to trim the optimal lag lengths using general-to-specific approach, which has the advantage of dropping all insignificant stationary regressors.</w:t>
      </w:r>
    </w:p>
    <w:p w:rsidR="00DD760D" w:rsidRDefault="00221AAF">
      <w:pPr>
        <w:pStyle w:val="Heading2"/>
      </w:pPr>
      <w:bookmarkStart w:id="5" w:name="volatility-measure"/>
      <w:r>
        <w:t>Volatility measure</w:t>
      </w:r>
      <w:bookmarkEnd w:id="5"/>
    </w:p>
    <w:p w:rsidR="00DD760D" w:rsidRDefault="00221AAF">
      <w:pPr>
        <w:pStyle w:val="FirstParagraph"/>
      </w:pPr>
      <w:r>
        <w:t>This section provides theoretical background of ARCH model and its variants. It begins by estimating the best Autoregressive Integrated Moving Average (ARIMA) model proposed by Box &amp; Jenkins (</w:t>
      </w:r>
      <w:hyperlink w:anchor="ref-box1976time">
        <w:r>
          <w:rPr>
            <w:rStyle w:val="Hyperlink"/>
          </w:rPr>
          <w:t>1976</w:t>
        </w:r>
      </w:hyperlink>
      <w:r>
        <w:t>). The ARIMA(p,d,q) model is represented by Equation (7). The letters p, d and q indicate the autoregressive order, order of integration and moving average order respectively.</w:t>
      </w:r>
    </w:p>
    <w:p w:rsidR="00DD760D" w:rsidRDefault="00221AAF">
      <w:pPr>
        <w:pStyle w:val="BodyText"/>
      </w:pPr>
      <m:oMathPara>
        <m:oMathParaPr>
          <m:jc m:val="center"/>
        </m:oMathParaPr>
        <m:oMath>
          <m:r>
            <w:rPr>
              <w:rFonts w:ascii="Cambria Math" w:hAnsi="Cambria Math"/>
            </w:rPr>
            <m:t>Ψ</m:t>
          </m:r>
          <m:sSub>
            <m:sSubPr>
              <m:ctrlPr>
                <w:rPr>
                  <w:rFonts w:ascii="Cambria Math" w:hAnsi="Cambria Math"/>
                </w:rPr>
              </m:ctrlPr>
            </m:sSubPr>
            <m:e>
              <m: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0</m:t>
              </m:r>
            </m:sub>
          </m:sSub>
          <m:r>
            <w:rPr>
              <w:rFonts w:ascii="Cambria Math" w:hAnsi="Cambria Math"/>
            </w:rPr>
            <m:t>+Γ</m:t>
          </m:r>
          <m:sSub>
            <m:sSubPr>
              <m:ctrlPr>
                <w:rPr>
                  <w:rFonts w:ascii="Cambria Math" w:hAnsi="Cambria Math"/>
                </w:rPr>
              </m:ctrlPr>
            </m:sSubPr>
            <m:e>
              <m:r>
                <w:rPr>
                  <w:rFonts w:ascii="Cambria Math" w:hAnsi="Cambria Math"/>
                </w:rPr>
                <m:t>ε</m:t>
              </m:r>
            </m:e>
            <m:sub>
              <m:r>
                <w:rPr>
                  <w:rFonts w:ascii="Cambria Math" w:hAnsi="Cambria Math"/>
                </w:rPr>
                <m:t>t</m:t>
              </m:r>
            </m:sub>
          </m:sSub>
          <m:r>
            <w:rPr>
              <w:rFonts w:ascii="Cambria Math" w:hAnsi="Cambria Math"/>
            </w:rPr>
            <m:t>  (7)</m:t>
          </m:r>
        </m:oMath>
      </m:oMathPara>
    </w:p>
    <w:p w:rsidR="00DD760D" w:rsidRDefault="00221AAF">
      <w:pPr>
        <w:pStyle w:val="FirstParagraph"/>
      </w:pPr>
      <m:oMath>
        <m:sSub>
          <m:sSubPr>
            <m:ctrlPr>
              <w:rPr>
                <w:rFonts w:ascii="Cambria Math" w:hAnsi="Cambria Math"/>
              </w:rPr>
            </m:ctrlPr>
          </m:sSubPr>
          <m:e>
            <m:r>
              <w:rPr>
                <w:rFonts w:ascii="Cambria Math" w:hAnsi="Cambria Math"/>
              </w:rPr>
              <m:t>Y</m:t>
            </m:r>
          </m:e>
          <m:sub>
            <m:r>
              <w:rPr>
                <w:rFonts w:ascii="Cambria Math" w:hAnsi="Cambria Math"/>
              </w:rPr>
              <m:t>t</m:t>
            </m:r>
          </m:sub>
        </m:sSub>
      </m:oMath>
      <w:r>
        <w:t xml:space="preserve"> is the stationary dependent variable, </w:t>
      </w:r>
      <m:oMath>
        <m:sSub>
          <m:sSubPr>
            <m:ctrlPr>
              <w:rPr>
                <w:rFonts w:ascii="Cambria Math" w:hAnsi="Cambria Math"/>
              </w:rPr>
            </m:ctrlPr>
          </m:sSubPr>
          <m:e>
            <m:r>
              <w:rPr>
                <w:rFonts w:ascii="Cambria Math" w:hAnsi="Cambria Math"/>
              </w:rPr>
              <m:t>ε</m:t>
            </m:r>
          </m:e>
          <m:sub>
            <m:r>
              <w:rPr>
                <w:rFonts w:ascii="Cambria Math" w:hAnsi="Cambria Math"/>
              </w:rPr>
              <m:t>t</m:t>
            </m:r>
          </m:sub>
        </m:sSub>
      </m:oMath>
      <w:r>
        <w:t xml:space="preserve"> is the white noise error term,</w:t>
      </w:r>
    </w:p>
    <w:p w:rsidR="00DD760D" w:rsidRDefault="00221AAF">
      <w:pPr>
        <w:pStyle w:val="BodyText"/>
      </w:pPr>
      <m:oMath>
        <m:r>
          <w:rPr>
            <w:rFonts w:ascii="Cambria Math" w:hAnsi="Cambria Math"/>
          </w:rPr>
          <m:t>Ψ=1-</m:t>
        </m:r>
        <m:nary>
          <m:naryPr>
            <m:chr m:val="∑"/>
            <m:limLoc m:val="undOvr"/>
            <m:ctrlPr>
              <w:rPr>
                <w:rFonts w:ascii="Cambria Math" w:hAnsi="Cambria Math"/>
              </w:rPr>
            </m:ctrlPr>
          </m:naryPr>
          <m:sub>
            <m:r>
              <w:rPr>
                <w:rFonts w:ascii="Cambria Math" w:hAnsi="Cambria Math"/>
              </w:rPr>
              <m:t>i=1</m:t>
            </m:r>
          </m:sub>
          <m:sup>
            <m:r>
              <w:rPr>
                <w:rFonts w:ascii="Cambria Math" w:hAnsi="Cambria Math"/>
              </w:rPr>
              <m:t>p</m:t>
            </m:r>
          </m:sup>
          <m:e>
            <m:sSub>
              <m:sSubPr>
                <m:ctrlPr>
                  <w:rPr>
                    <w:rFonts w:ascii="Cambria Math" w:hAnsi="Cambria Math"/>
                  </w:rPr>
                </m:ctrlPr>
              </m:sSubPr>
              <m:e>
                <m:r>
                  <w:rPr>
                    <w:rFonts w:ascii="Cambria Math" w:hAnsi="Cambria Math"/>
                  </w:rPr>
                  <m:t>α</m:t>
                </m:r>
              </m:e>
              <m:sub>
                <m:r>
                  <w:rPr>
                    <w:rFonts w:ascii="Cambria Math" w:hAnsi="Cambria Math"/>
                  </w:rPr>
                  <m:t>i</m:t>
                </m:r>
              </m:sub>
            </m:sSub>
          </m:e>
        </m:nary>
        <m:sSup>
          <m:sSupPr>
            <m:ctrlPr>
              <w:rPr>
                <w:rFonts w:ascii="Cambria Math" w:hAnsi="Cambria Math"/>
              </w:rPr>
            </m:ctrlPr>
          </m:sSupPr>
          <m:e>
            <m:r>
              <w:rPr>
                <w:rFonts w:ascii="Cambria Math" w:hAnsi="Cambria Math"/>
              </w:rPr>
              <m:t>L</m:t>
            </m:r>
          </m:e>
          <m:sup>
            <m:r>
              <w:rPr>
                <w:rFonts w:ascii="Cambria Math" w:hAnsi="Cambria Math"/>
              </w:rPr>
              <m:t>i</m:t>
            </m:r>
          </m:sup>
        </m:sSup>
      </m:oMath>
      <w:r>
        <w:t xml:space="preserve"> and </w:t>
      </w:r>
      <m:oMath>
        <m:r>
          <w:rPr>
            <w:rFonts w:ascii="Cambria Math" w:hAnsi="Cambria Math"/>
          </w:rPr>
          <m:t>Γ=</m:t>
        </m:r>
        <m:nary>
          <m:naryPr>
            <m:chr m:val="∑"/>
            <m:limLoc m:val="undOvr"/>
            <m:ctrlPr>
              <w:rPr>
                <w:rFonts w:ascii="Cambria Math" w:hAnsi="Cambria Math"/>
              </w:rPr>
            </m:ctrlPr>
          </m:naryPr>
          <m:sub>
            <m:r>
              <w:rPr>
                <w:rFonts w:ascii="Cambria Math" w:hAnsi="Cambria Math"/>
              </w:rPr>
              <m:t>j=0</m:t>
            </m:r>
          </m:sub>
          <m:sup>
            <m:r>
              <w:rPr>
                <w:rFonts w:ascii="Cambria Math" w:hAnsi="Cambria Math"/>
              </w:rPr>
              <m:t>q</m:t>
            </m:r>
          </m:sup>
          <m:e>
            <m:sSub>
              <m:sSubPr>
                <m:ctrlPr>
                  <w:rPr>
                    <w:rFonts w:ascii="Cambria Math" w:hAnsi="Cambria Math"/>
                  </w:rPr>
                </m:ctrlPr>
              </m:sSubPr>
              <m:e>
                <m:r>
                  <w:rPr>
                    <w:rFonts w:ascii="Cambria Math" w:hAnsi="Cambria Math"/>
                  </w:rPr>
                  <m:t>β</m:t>
                </m:r>
              </m:e>
              <m:sub>
                <m:r>
                  <w:rPr>
                    <w:rFonts w:ascii="Cambria Math" w:hAnsi="Cambria Math"/>
                  </w:rPr>
                  <m:t>j</m:t>
                </m:r>
              </m:sub>
            </m:sSub>
          </m:e>
        </m:nary>
        <m:sSup>
          <m:sSupPr>
            <m:ctrlPr>
              <w:rPr>
                <w:rFonts w:ascii="Cambria Math" w:hAnsi="Cambria Math"/>
              </w:rPr>
            </m:ctrlPr>
          </m:sSupPr>
          <m:e>
            <m:r>
              <w:rPr>
                <w:rFonts w:ascii="Cambria Math" w:hAnsi="Cambria Math"/>
              </w:rPr>
              <m:t>L</m:t>
            </m:r>
          </m:e>
          <m:sup>
            <m:r>
              <w:rPr>
                <w:rFonts w:ascii="Cambria Math" w:hAnsi="Cambria Math"/>
              </w:rPr>
              <m:t>j</m:t>
            </m:r>
          </m:sup>
        </m:sSup>
      </m:oMath>
      <w:r>
        <w:t xml:space="preserve"> and </w:t>
      </w:r>
      <m:oMath>
        <m:r>
          <w:rPr>
            <w:rFonts w:ascii="Cambria Math" w:hAnsi="Cambria Math"/>
          </w:rPr>
          <m:t>L</m:t>
        </m:r>
      </m:oMath>
      <w:r>
        <w:t xml:space="preserve"> is the lag operator.</w:t>
      </w:r>
    </w:p>
    <w:p w:rsidR="00DD760D" w:rsidRDefault="00221AAF">
      <w:pPr>
        <w:pStyle w:val="BodyText"/>
      </w:pPr>
      <w:r>
        <w:t>The simplest form of the class of ARCH process proposed by Engle (</w:t>
      </w:r>
      <w:hyperlink w:anchor="ref-engle1982autoregressive">
        <w:r>
          <w:rPr>
            <w:rStyle w:val="Hyperlink"/>
          </w:rPr>
          <w:t>1982</w:t>
        </w:r>
      </w:hyperlink>
      <w:r>
        <w:t>) is:</w:t>
      </w:r>
    </w:p>
    <w:p w:rsidR="00DD760D" w:rsidRDefault="00221AAF">
      <w:pPr>
        <w:pStyle w:val="BodyText"/>
      </w:pPr>
      <m:oMathPara>
        <m:oMathParaPr>
          <m:jc m:val="center"/>
        </m:oMathParaPr>
        <m:oMath>
          <m:sSub>
            <m:sSubPr>
              <m:ctrlPr>
                <w:rPr>
                  <w:rFonts w:ascii="Cambria Math" w:hAnsi="Cambria Math"/>
                </w:rPr>
              </m:ctrlPr>
            </m:sSubPr>
            <m:e>
              <m:r>
                <w:rPr>
                  <w:rFonts w:ascii="Cambria Math" w:hAnsi="Cambria Math"/>
                </w:rPr>
                <m:t>ε</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t</m:t>
              </m:r>
            </m:sub>
          </m:sSub>
          <m:rad>
            <m:radPr>
              <m:degHide m:val="1"/>
              <m:ctrlPr>
                <w:rPr>
                  <w:rFonts w:ascii="Cambria Math" w:hAnsi="Cambria Math"/>
                </w:rPr>
              </m:ctrlPr>
            </m:radPr>
            <m:deg/>
            <m:e>
              <m:sSub>
                <m:sSubPr>
                  <m:ctrlPr>
                    <w:rPr>
                      <w:rFonts w:ascii="Cambria Math" w:hAnsi="Cambria Math"/>
                    </w:rPr>
                  </m:ctrlPr>
                </m:sSubPr>
                <m:e>
                  <m:r>
                    <w:rPr>
                      <w:rFonts w:ascii="Cambria Math" w:hAnsi="Cambria Math"/>
                    </w:rPr>
                    <m:t>α</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1</m:t>
                  </m:r>
                </m:sub>
              </m:sSub>
              <m:sSubSup>
                <m:sSubSupPr>
                  <m:ctrlPr>
                    <w:rPr>
                      <w:rFonts w:ascii="Cambria Math" w:hAnsi="Cambria Math"/>
                    </w:rPr>
                  </m:ctrlPr>
                </m:sSubSupPr>
                <m:e>
                  <m:r>
                    <w:rPr>
                      <w:rFonts w:ascii="Cambria Math" w:hAnsi="Cambria Math"/>
                    </w:rPr>
                    <m:t>ε</m:t>
                  </m:r>
                </m:e>
                <m:sub>
                  <m:r>
                    <w:rPr>
                      <w:rFonts w:ascii="Cambria Math" w:hAnsi="Cambria Math"/>
                    </w:rPr>
                    <m:t>t-1</m:t>
                  </m:r>
                </m:sub>
                <m:sup>
                  <m:r>
                    <w:rPr>
                      <w:rFonts w:ascii="Cambria Math" w:hAnsi="Cambria Math"/>
                    </w:rPr>
                    <m:t>2</m:t>
                  </m:r>
                </m:sup>
              </m:sSubSup>
            </m:e>
          </m:rad>
        </m:oMath>
      </m:oMathPara>
    </w:p>
    <w:p w:rsidR="00DD760D" w:rsidRDefault="00221AAF">
      <w:pPr>
        <w:pStyle w:val="FirstParagraph"/>
      </w:pPr>
      <w:r>
        <w:t xml:space="preserve">Where </w:t>
      </w:r>
      <m:oMath>
        <m:sSub>
          <m:sSubPr>
            <m:ctrlPr>
              <w:rPr>
                <w:rFonts w:ascii="Cambria Math" w:hAnsi="Cambria Math"/>
              </w:rPr>
            </m:ctrlPr>
          </m:sSubPr>
          <m:e>
            <m:r>
              <w:rPr>
                <w:rFonts w:ascii="Cambria Math" w:hAnsi="Cambria Math"/>
              </w:rPr>
              <m:t>ε</m:t>
            </m:r>
          </m:e>
          <m:sub>
            <m:r>
              <w:rPr>
                <w:rFonts w:ascii="Cambria Math" w:hAnsi="Cambria Math"/>
              </w:rPr>
              <m:t>t</m:t>
            </m:r>
          </m:sub>
        </m:sSub>
      </m:oMath>
      <w:r>
        <w:t xml:space="preserve"> is the white-noise error term from the best ARIMA(p,d,q) model, </w:t>
      </w:r>
      <m:oMath>
        <m:sSub>
          <m:sSubPr>
            <m:ctrlPr>
              <w:rPr>
                <w:rFonts w:ascii="Cambria Math" w:hAnsi="Cambria Math"/>
              </w:rPr>
            </m:ctrlPr>
          </m:sSubPr>
          <m:e>
            <m:r>
              <w:rPr>
                <w:rFonts w:ascii="Cambria Math" w:hAnsi="Cambria Math"/>
              </w:rPr>
              <m:t>v</m:t>
            </m:r>
          </m:e>
          <m:sub>
            <m:r>
              <w:rPr>
                <w:rFonts w:ascii="Cambria Math" w:hAnsi="Cambria Math"/>
              </w:rPr>
              <m:t>t</m:t>
            </m:r>
          </m:sub>
        </m:sSub>
      </m:oMath>
      <w:r>
        <w:t xml:space="preserve"> is also white-noise such that its variance is unity (</w:t>
      </w:r>
      <m:oMath>
        <m:sSubSup>
          <m:sSubSupPr>
            <m:ctrlPr>
              <w:rPr>
                <w:rFonts w:ascii="Cambria Math" w:hAnsi="Cambria Math"/>
              </w:rPr>
            </m:ctrlPr>
          </m:sSubSupPr>
          <m:e>
            <m:r>
              <w:rPr>
                <w:rFonts w:ascii="Cambria Math" w:hAnsi="Cambria Math"/>
              </w:rPr>
              <m:t>σ</m:t>
            </m:r>
          </m:e>
          <m:sub>
            <m:r>
              <w:rPr>
                <w:rFonts w:ascii="Cambria Math" w:hAnsi="Cambria Math"/>
              </w:rPr>
              <m:t>v</m:t>
            </m:r>
          </m:sub>
          <m:sup>
            <m:r>
              <w:rPr>
                <w:rFonts w:ascii="Cambria Math" w:hAnsi="Cambria Math"/>
              </w:rPr>
              <m:t>2</m:t>
            </m:r>
          </m:sup>
        </m:sSubSup>
        <m:r>
          <w:rPr>
            <w:rFonts w:ascii="Cambria Math" w:hAnsi="Cambria Math"/>
          </w:rPr>
          <m:t>=1</m:t>
        </m:r>
      </m:oMath>
      <w:r>
        <w:t xml:space="preserve">), </w:t>
      </w:r>
      <m:oMath>
        <m:sSub>
          <m:sSubPr>
            <m:ctrlPr>
              <w:rPr>
                <w:rFonts w:ascii="Cambria Math" w:hAnsi="Cambria Math"/>
              </w:rPr>
            </m:ctrlPr>
          </m:sSubPr>
          <m:e>
            <m:r>
              <w:rPr>
                <w:rFonts w:ascii="Cambria Math" w:hAnsi="Cambria Math"/>
              </w:rPr>
              <m:t>α</m:t>
            </m:r>
          </m:e>
          <m:sub>
            <m:r>
              <w:rPr>
                <w:rFonts w:ascii="Cambria Math" w:hAnsi="Cambria Math"/>
              </w:rPr>
              <m:t>0</m:t>
            </m:r>
          </m:sub>
        </m:sSub>
      </m:oMath>
      <w:r>
        <w:t xml:space="preserve"> and </w:t>
      </w:r>
      <m:oMath>
        <m:sSub>
          <m:sSubPr>
            <m:ctrlPr>
              <w:rPr>
                <w:rFonts w:ascii="Cambria Math" w:hAnsi="Cambria Math"/>
              </w:rPr>
            </m:ctrlPr>
          </m:sSubPr>
          <m:e>
            <m:r>
              <w:rPr>
                <w:rFonts w:ascii="Cambria Math" w:hAnsi="Cambria Math"/>
              </w:rPr>
              <m:t>α</m:t>
            </m:r>
          </m:e>
          <m:sub>
            <m:r>
              <w:rPr>
                <w:rFonts w:ascii="Cambria Math" w:hAnsi="Cambria Math"/>
              </w:rPr>
              <m:t>1</m:t>
            </m:r>
          </m:sub>
        </m:sSub>
      </m:oMath>
      <w:r>
        <w:t xml:space="preserve"> are constants such that </w:t>
      </w:r>
      <m:oMath>
        <m:sSub>
          <m:sSubPr>
            <m:ctrlPr>
              <w:rPr>
                <w:rFonts w:ascii="Cambria Math" w:hAnsi="Cambria Math"/>
              </w:rPr>
            </m:ctrlPr>
          </m:sSubPr>
          <m:e>
            <m:r>
              <w:rPr>
                <w:rFonts w:ascii="Cambria Math" w:hAnsi="Cambria Math"/>
              </w:rPr>
              <m:t>α</m:t>
            </m:r>
          </m:e>
          <m:sub>
            <m:r>
              <w:rPr>
                <w:rFonts w:ascii="Cambria Math" w:hAnsi="Cambria Math"/>
              </w:rPr>
              <m:t>0</m:t>
            </m:r>
          </m:sub>
        </m:sSub>
        <m:r>
          <w:rPr>
            <w:rFonts w:ascii="Cambria Math" w:hAnsi="Cambria Math"/>
          </w:rPr>
          <m:t>&gt;0</m:t>
        </m:r>
      </m:oMath>
      <w:r>
        <w:t xml:space="preserve"> and </w:t>
      </w:r>
      <m:oMath>
        <m:r>
          <w:rPr>
            <w:rFonts w:ascii="Cambria Math" w:hAnsi="Cambria Math"/>
          </w:rPr>
          <m:t>0≤</m:t>
        </m:r>
        <m:sSub>
          <m:sSubPr>
            <m:ctrlPr>
              <w:rPr>
                <w:rFonts w:ascii="Cambria Math" w:hAnsi="Cambria Math"/>
              </w:rPr>
            </m:ctrlPr>
          </m:sSubPr>
          <m:e>
            <m:r>
              <w:rPr>
                <w:rFonts w:ascii="Cambria Math" w:hAnsi="Cambria Math"/>
              </w:rPr>
              <m:t>α</m:t>
            </m:r>
          </m:e>
          <m:sub>
            <m:r>
              <w:rPr>
                <w:rFonts w:ascii="Cambria Math" w:hAnsi="Cambria Math"/>
              </w:rPr>
              <m:t>1</m:t>
            </m:r>
          </m:sub>
        </m:sSub>
        <m:r>
          <w:rPr>
            <w:rFonts w:ascii="Cambria Math" w:hAnsi="Cambria Math"/>
          </w:rPr>
          <m:t>≤1</m:t>
        </m:r>
      </m:oMath>
      <w:r>
        <w:t>.</w:t>
      </w:r>
    </w:p>
    <w:p w:rsidR="00DD760D" w:rsidRDefault="00221AAF">
      <w:pPr>
        <w:pStyle w:val="BodyText"/>
      </w:pPr>
      <w:r>
        <w:t>Bollerslev (</w:t>
      </w:r>
      <w:hyperlink w:anchor="ref-bollerslev1986generalized">
        <w:r>
          <w:rPr>
            <w:rStyle w:val="Hyperlink"/>
          </w:rPr>
          <w:t>1986</w:t>
        </w:r>
      </w:hyperlink>
      <w:r>
        <w:t>) proposed the GARCH(p,q) model, which is an extension of Engle’s original work that allows the conditional variance to be an ARMA process. In simple form, the GARCH(p,q) is given by:</w:t>
      </w:r>
    </w:p>
    <w:p w:rsidR="00DD760D" w:rsidRDefault="00221AAF">
      <w:pPr>
        <w:pStyle w:val="BodyText"/>
      </w:pPr>
      <m:oMathPara>
        <m:oMathParaPr>
          <m:jc m:val="center"/>
        </m:oMathParaPr>
        <m:oMath>
          <m:sSub>
            <m:sSubPr>
              <m:ctrlPr>
                <w:rPr>
                  <w:rFonts w:ascii="Cambria Math" w:hAnsi="Cambria Math"/>
                </w:rPr>
              </m:ctrlPr>
            </m:sSubPr>
            <m:e>
              <m:r>
                <w:rPr>
                  <w:rFonts w:ascii="Cambria Math" w:hAnsi="Cambria Math"/>
                </w:rPr>
                <m:t>ε</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t</m:t>
              </m:r>
            </m:sub>
          </m:sSub>
          <m:rad>
            <m:radPr>
              <m:degHide m:val="1"/>
              <m:ctrlPr>
                <w:rPr>
                  <w:rFonts w:ascii="Cambria Math" w:hAnsi="Cambria Math"/>
                </w:rPr>
              </m:ctrlPr>
            </m:radPr>
            <m:deg/>
            <m:e>
              <m:sSub>
                <m:sSubPr>
                  <m:ctrlPr>
                    <w:rPr>
                      <w:rFonts w:ascii="Cambria Math" w:hAnsi="Cambria Math"/>
                    </w:rPr>
                  </m:ctrlPr>
                </m:sSubPr>
                <m:e>
                  <m:r>
                    <w:rPr>
                      <w:rFonts w:ascii="Cambria Math" w:hAnsi="Cambria Math"/>
                    </w:rPr>
                    <m:t>h</m:t>
                  </m:r>
                </m:e>
                <m:sub>
                  <m:r>
                    <w:rPr>
                      <w:rFonts w:ascii="Cambria Math" w:hAnsi="Cambria Math"/>
                    </w:rPr>
                    <m:t>t</m:t>
                  </m:r>
                </m:sub>
              </m:sSub>
            </m:e>
          </m:rad>
        </m:oMath>
      </m:oMathPara>
    </w:p>
    <w:p w:rsidR="00DD760D" w:rsidRDefault="00221AAF">
      <w:pPr>
        <w:pStyle w:val="FirstParagraph"/>
      </w:pPr>
      <w:r>
        <w:t xml:space="preserve">Where </w:t>
      </w:r>
      <m:oMath>
        <m:sSub>
          <m:sSubPr>
            <m:ctrlPr>
              <w:rPr>
                <w:rFonts w:ascii="Cambria Math" w:hAnsi="Cambria Math"/>
              </w:rPr>
            </m:ctrlPr>
          </m:sSubPr>
          <m:e>
            <m:r>
              <w:rPr>
                <w:rFonts w:ascii="Cambria Math" w:hAnsi="Cambria Math"/>
              </w:rPr>
              <m:t>h</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0</m:t>
            </m:r>
          </m:sub>
        </m:sSub>
        <m:r>
          <w:rPr>
            <w:rFonts w:ascii="Cambria Math" w:hAnsi="Cambria Math"/>
          </w:rPr>
          <m:t>+</m:t>
        </m:r>
        <m:nary>
          <m:naryPr>
            <m:chr m:val="∑"/>
            <m:limLoc m:val="undOvr"/>
            <m:ctrlPr>
              <w:rPr>
                <w:rFonts w:ascii="Cambria Math" w:hAnsi="Cambria Math"/>
              </w:rPr>
            </m:ctrlPr>
          </m:naryPr>
          <m:sub>
            <m:r>
              <w:rPr>
                <w:rFonts w:ascii="Cambria Math" w:hAnsi="Cambria Math"/>
              </w:rPr>
              <m:t>i=1</m:t>
            </m:r>
          </m:sub>
          <m:sup>
            <m:r>
              <w:rPr>
                <w:rFonts w:ascii="Cambria Math" w:hAnsi="Cambria Math"/>
              </w:rPr>
              <m:t>q</m:t>
            </m:r>
          </m:sup>
          <m:e>
            <m:sSub>
              <m:sSubPr>
                <m:ctrlPr>
                  <w:rPr>
                    <w:rFonts w:ascii="Cambria Math" w:hAnsi="Cambria Math"/>
                  </w:rPr>
                </m:ctrlPr>
              </m:sSubPr>
              <m:e>
                <m:r>
                  <w:rPr>
                    <w:rFonts w:ascii="Cambria Math" w:hAnsi="Cambria Math"/>
                  </w:rPr>
                  <m:t>α</m:t>
                </m:r>
              </m:e>
              <m:sub>
                <m:r>
                  <w:rPr>
                    <w:rFonts w:ascii="Cambria Math" w:hAnsi="Cambria Math"/>
                  </w:rPr>
                  <m:t>i</m:t>
                </m:r>
              </m:sub>
            </m:sSub>
          </m:e>
        </m:nary>
        <m:sSubSup>
          <m:sSubSupPr>
            <m:ctrlPr>
              <w:rPr>
                <w:rFonts w:ascii="Cambria Math" w:hAnsi="Cambria Math"/>
              </w:rPr>
            </m:ctrlPr>
          </m:sSubSupPr>
          <m:e>
            <m:r>
              <w:rPr>
                <w:rFonts w:ascii="Cambria Math" w:hAnsi="Cambria Math"/>
              </w:rPr>
              <m:t>ε</m:t>
            </m:r>
          </m:e>
          <m:sub>
            <m:r>
              <w:rPr>
                <w:rFonts w:ascii="Cambria Math" w:hAnsi="Cambria Math"/>
              </w:rPr>
              <m:t>t-i</m:t>
            </m:r>
          </m:sub>
          <m:sup>
            <m:r>
              <w:rPr>
                <w:rFonts w:ascii="Cambria Math" w:hAnsi="Cambria Math"/>
              </w:rPr>
              <m:t>2</m:t>
            </m:r>
          </m:sup>
        </m:sSubSup>
        <m:r>
          <w:rPr>
            <w:rFonts w:ascii="Cambria Math" w:hAnsi="Cambria Math"/>
          </w:rPr>
          <m:t>+</m:t>
        </m:r>
        <m:nary>
          <m:naryPr>
            <m:chr m:val="∑"/>
            <m:limLoc m:val="undOvr"/>
            <m:ctrlPr>
              <w:rPr>
                <w:rFonts w:ascii="Cambria Math" w:hAnsi="Cambria Math"/>
              </w:rPr>
            </m:ctrlPr>
          </m:naryPr>
          <m:sub>
            <m:r>
              <w:rPr>
                <w:rFonts w:ascii="Cambria Math" w:hAnsi="Cambria Math"/>
              </w:rPr>
              <m:t>i=1</m:t>
            </m:r>
          </m:sub>
          <m:sup>
            <m:r>
              <w:rPr>
                <w:rFonts w:ascii="Cambria Math" w:hAnsi="Cambria Math"/>
              </w:rPr>
              <m:t>p</m:t>
            </m:r>
          </m:sup>
          <m:e>
            <m:sSub>
              <m:sSubPr>
                <m:ctrlPr>
                  <w:rPr>
                    <w:rFonts w:ascii="Cambria Math" w:hAnsi="Cambria Math"/>
                  </w:rPr>
                </m:ctrlPr>
              </m:sSubPr>
              <m:e>
                <m:r>
                  <w:rPr>
                    <w:rFonts w:ascii="Cambria Math" w:hAnsi="Cambria Math"/>
                  </w:rPr>
                  <m:t>β</m:t>
                </m:r>
              </m:e>
              <m:sub>
                <m:r>
                  <w:rPr>
                    <w:rFonts w:ascii="Cambria Math" w:hAnsi="Cambria Math"/>
                  </w:rPr>
                  <m:t>i</m:t>
                </m:r>
              </m:sub>
            </m:sSub>
          </m:e>
        </m:nary>
        <m:sSub>
          <m:sSubPr>
            <m:ctrlPr>
              <w:rPr>
                <w:rFonts w:ascii="Cambria Math" w:hAnsi="Cambria Math"/>
              </w:rPr>
            </m:ctrlPr>
          </m:sSubPr>
          <m:e>
            <m:r>
              <w:rPr>
                <w:rFonts w:ascii="Cambria Math" w:hAnsi="Cambria Math"/>
              </w:rPr>
              <m:t>h</m:t>
            </m:r>
          </m:e>
          <m:sub>
            <m:r>
              <w:rPr>
                <w:rFonts w:ascii="Cambria Math" w:hAnsi="Cambria Math"/>
              </w:rPr>
              <m:t>t-i</m:t>
            </m:r>
          </m:sub>
        </m:sSub>
      </m:oMath>
    </w:p>
    <w:p w:rsidR="00DD760D" w:rsidRDefault="00221AAF">
      <w:pPr>
        <w:pStyle w:val="BodyText"/>
      </w:pPr>
      <w:r>
        <w:t>Nelson (</w:t>
      </w:r>
      <w:hyperlink w:anchor="ref-nelson1990stationarity">
        <w:r>
          <w:rPr>
            <w:rStyle w:val="Hyperlink"/>
          </w:rPr>
          <w:t>1990</w:t>
        </w:r>
      </w:hyperlink>
      <w:r>
        <w:t xml:space="preserve">) argued that restricting the sum of the coefficients to unity (that is </w:t>
      </w:r>
      <m:oMath>
        <m:sSub>
          <m:sSubPr>
            <m:ctrlPr>
              <w:rPr>
                <w:rFonts w:ascii="Cambria Math" w:hAnsi="Cambria Math"/>
              </w:rPr>
            </m:ctrlPr>
          </m:sSubPr>
          <m:e>
            <m:r>
              <w:rPr>
                <w:rFonts w:ascii="Cambria Math" w:hAnsi="Cambria Math"/>
              </w:rPr>
              <m:t>α</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i</m:t>
            </m:r>
          </m:sub>
        </m:sSub>
        <m:r>
          <w:rPr>
            <w:rFonts w:ascii="Cambria Math" w:hAnsi="Cambria Math"/>
          </w:rPr>
          <m:t>=1</m:t>
        </m:r>
      </m:oMath>
      <w:r>
        <w:t>) can lead to parsimonious representation. The outcome of this restriction is called IGARCH and forces the conditional variance to behave like a unit root process (Enders, 2015).</w:t>
      </w:r>
    </w:p>
    <w:p w:rsidR="00DD760D" w:rsidRDefault="00221AAF">
      <w:pPr>
        <w:pStyle w:val="BodyText"/>
      </w:pPr>
      <w:r>
        <w:t>Glosten, Jagannathan, &amp; Runkle (</w:t>
      </w:r>
      <w:hyperlink w:anchor="ref-glosten1993">
        <w:r>
          <w:rPr>
            <w:rStyle w:val="Hyperlink"/>
          </w:rPr>
          <w:t>1993</w:t>
        </w:r>
      </w:hyperlink>
      <w:r>
        <w:t>) proposed the Threshold-GARCH (TARCH) process as follows:</w:t>
      </w:r>
    </w:p>
    <w:p w:rsidR="00DD760D" w:rsidRDefault="00221AAF">
      <w:pPr>
        <w:pStyle w:val="BodyText"/>
      </w:pPr>
      <m:oMathPara>
        <m:oMathParaPr>
          <m:jc m:val="center"/>
        </m:oMathParaPr>
        <m:oMath>
          <m:sSub>
            <m:sSubPr>
              <m:ctrlPr>
                <w:rPr>
                  <w:rFonts w:ascii="Cambria Math" w:hAnsi="Cambria Math"/>
                </w:rPr>
              </m:ctrlPr>
            </m:sSubPr>
            <m:e>
              <m:r>
                <w:rPr>
                  <w:rFonts w:ascii="Cambria Math" w:hAnsi="Cambria Math"/>
                </w:rPr>
                <m:t>h</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0</m:t>
              </m:r>
            </m:sub>
          </m:sSub>
          <m:r>
            <w:rPr>
              <w:rFonts w:ascii="Cambria Math" w:hAnsi="Cambria Math"/>
            </w:rPr>
            <m:t>+</m:t>
          </m:r>
          <m:nary>
            <m:naryPr>
              <m:chr m:val="∑"/>
              <m:limLoc m:val="undOvr"/>
              <m:ctrlPr>
                <w:rPr>
                  <w:rFonts w:ascii="Cambria Math" w:hAnsi="Cambria Math"/>
                </w:rPr>
              </m:ctrlPr>
            </m:naryPr>
            <m:sub>
              <m:r>
                <w:rPr>
                  <w:rFonts w:ascii="Cambria Math" w:hAnsi="Cambria Math"/>
                </w:rPr>
                <m:t>i=1</m:t>
              </m:r>
            </m:sub>
            <m:sup>
              <m:r>
                <w:rPr>
                  <w:rFonts w:ascii="Cambria Math" w:hAnsi="Cambria Math"/>
                </w:rPr>
                <m:t>q</m:t>
              </m:r>
            </m:sup>
            <m:e>
              <m:sSub>
                <m:sSubPr>
                  <m:ctrlPr>
                    <w:rPr>
                      <w:rFonts w:ascii="Cambria Math" w:hAnsi="Cambria Math"/>
                    </w:rPr>
                  </m:ctrlPr>
                </m:sSubPr>
                <m:e>
                  <m:r>
                    <w:rPr>
                      <w:rFonts w:ascii="Cambria Math" w:hAnsi="Cambria Math"/>
                    </w:rPr>
                    <m:t>α</m:t>
                  </m:r>
                </m:e>
                <m:sub>
                  <m:r>
                    <w:rPr>
                      <w:rFonts w:ascii="Cambria Math" w:hAnsi="Cambria Math"/>
                    </w:rPr>
                    <m:t>i</m:t>
                  </m:r>
                </m:sub>
              </m:sSub>
            </m:e>
          </m:nary>
          <m:sSubSup>
            <m:sSubSupPr>
              <m:ctrlPr>
                <w:rPr>
                  <w:rFonts w:ascii="Cambria Math" w:hAnsi="Cambria Math"/>
                </w:rPr>
              </m:ctrlPr>
            </m:sSubSupPr>
            <m:e>
              <m:r>
                <w:rPr>
                  <w:rFonts w:ascii="Cambria Math" w:hAnsi="Cambria Math"/>
                </w:rPr>
                <m:t>ε</m:t>
              </m:r>
            </m:e>
            <m:sub>
              <m:r>
                <w:rPr>
                  <w:rFonts w:ascii="Cambria Math" w:hAnsi="Cambria Math"/>
                </w:rPr>
                <m:t>t-i</m:t>
              </m:r>
            </m:sub>
            <m:sup>
              <m:r>
                <w:rPr>
                  <w:rFonts w:ascii="Cambria Math" w:hAnsi="Cambria Math"/>
                </w:rPr>
                <m:t>2</m:t>
              </m:r>
            </m:sup>
          </m:sSubSup>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i</m:t>
              </m:r>
            </m:sub>
          </m:sSub>
          <m:sSub>
            <m:sSubPr>
              <m:ctrlPr>
                <w:rPr>
                  <w:rFonts w:ascii="Cambria Math" w:hAnsi="Cambria Math"/>
                </w:rPr>
              </m:ctrlPr>
            </m:sSubPr>
            <m:e>
              <m:r>
                <w:rPr>
                  <w:rFonts w:ascii="Cambria Math" w:hAnsi="Cambria Math"/>
                </w:rPr>
                <m:t>d</m:t>
              </m:r>
            </m:e>
            <m:sub>
              <m:r>
                <w:rPr>
                  <w:rFonts w:ascii="Cambria Math" w:hAnsi="Cambria Math"/>
                </w:rPr>
                <m:t>t-i</m:t>
              </m:r>
            </m:sub>
          </m:sSub>
          <m:sSubSup>
            <m:sSubSupPr>
              <m:ctrlPr>
                <w:rPr>
                  <w:rFonts w:ascii="Cambria Math" w:hAnsi="Cambria Math"/>
                </w:rPr>
              </m:ctrlPr>
            </m:sSubSupPr>
            <m:e>
              <m:r>
                <w:rPr>
                  <w:rFonts w:ascii="Cambria Math" w:hAnsi="Cambria Math"/>
                </w:rPr>
                <m:t>ε</m:t>
              </m:r>
            </m:e>
            <m:sub>
              <m:r>
                <w:rPr>
                  <w:rFonts w:ascii="Cambria Math" w:hAnsi="Cambria Math"/>
                </w:rPr>
                <m:t>t-i</m:t>
              </m:r>
            </m:sub>
            <m:sup>
              <m:r>
                <w:rPr>
                  <w:rFonts w:ascii="Cambria Math" w:hAnsi="Cambria Math"/>
                </w:rPr>
                <m:t>2</m:t>
              </m:r>
            </m:sup>
          </m:sSubSup>
          <m:r>
            <w:rPr>
              <w:rFonts w:ascii="Cambria Math" w:hAnsi="Cambria Math"/>
            </w:rPr>
            <m:t>+</m:t>
          </m:r>
          <m:nary>
            <m:naryPr>
              <m:chr m:val="∑"/>
              <m:limLoc m:val="undOvr"/>
              <m:ctrlPr>
                <w:rPr>
                  <w:rFonts w:ascii="Cambria Math" w:hAnsi="Cambria Math"/>
                </w:rPr>
              </m:ctrlPr>
            </m:naryPr>
            <m:sub>
              <m:r>
                <w:rPr>
                  <w:rFonts w:ascii="Cambria Math" w:hAnsi="Cambria Math"/>
                </w:rPr>
                <m:t>i=1</m:t>
              </m:r>
            </m:sub>
            <m:sup>
              <m:r>
                <w:rPr>
                  <w:rFonts w:ascii="Cambria Math" w:hAnsi="Cambria Math"/>
                </w:rPr>
                <m:t>p</m:t>
              </m:r>
            </m:sup>
            <m:e>
              <m:sSub>
                <m:sSubPr>
                  <m:ctrlPr>
                    <w:rPr>
                      <w:rFonts w:ascii="Cambria Math" w:hAnsi="Cambria Math"/>
                    </w:rPr>
                  </m:ctrlPr>
                </m:sSubPr>
                <m:e>
                  <m:r>
                    <w:rPr>
                      <w:rFonts w:ascii="Cambria Math" w:hAnsi="Cambria Math"/>
                    </w:rPr>
                    <m:t>β</m:t>
                  </m:r>
                </m:e>
                <m:sub>
                  <m:r>
                    <w:rPr>
                      <w:rFonts w:ascii="Cambria Math" w:hAnsi="Cambria Math"/>
                    </w:rPr>
                    <m:t>i</m:t>
                  </m:r>
                </m:sub>
              </m:sSub>
            </m:e>
          </m:nary>
          <m:sSub>
            <m:sSubPr>
              <m:ctrlPr>
                <w:rPr>
                  <w:rFonts w:ascii="Cambria Math" w:hAnsi="Cambria Math"/>
                </w:rPr>
              </m:ctrlPr>
            </m:sSubPr>
            <m:e>
              <m:r>
                <w:rPr>
                  <w:rFonts w:ascii="Cambria Math" w:hAnsi="Cambria Math"/>
                </w:rPr>
                <m:t>h</m:t>
              </m:r>
            </m:e>
            <m:sub>
              <m:r>
                <w:rPr>
                  <w:rFonts w:ascii="Cambria Math" w:hAnsi="Cambria Math"/>
                </w:rPr>
                <m:t>t-i</m:t>
              </m:r>
            </m:sub>
          </m:sSub>
        </m:oMath>
      </m:oMathPara>
    </w:p>
    <w:p w:rsidR="00DD760D" w:rsidRDefault="00221AAF">
      <w:pPr>
        <w:pStyle w:val="FirstParagraph"/>
      </w:pPr>
      <w:r>
        <w:t xml:space="preserve">Where </w:t>
      </w:r>
      <m:oMath>
        <m:sSub>
          <m:sSubPr>
            <m:ctrlPr>
              <w:rPr>
                <w:rFonts w:ascii="Cambria Math" w:hAnsi="Cambria Math"/>
              </w:rPr>
            </m:ctrlPr>
          </m:sSubPr>
          <m:e>
            <m:r>
              <w:rPr>
                <w:rFonts w:ascii="Cambria Math" w:hAnsi="Cambria Math"/>
              </w:rPr>
              <m:t>d</m:t>
            </m:r>
          </m:e>
          <m:sub>
            <m:r>
              <w:rPr>
                <w:rFonts w:ascii="Cambria Math" w:hAnsi="Cambria Math"/>
              </w:rPr>
              <m:t>t-i</m:t>
            </m:r>
          </m:sub>
        </m:sSub>
      </m:oMath>
      <w:r>
        <w:t xml:space="preserve"> is a dummy variable that assigns one if </w:t>
      </w:r>
      <m:oMath>
        <m:sSub>
          <m:sSubPr>
            <m:ctrlPr>
              <w:rPr>
                <w:rFonts w:ascii="Cambria Math" w:hAnsi="Cambria Math"/>
              </w:rPr>
            </m:ctrlPr>
          </m:sSubPr>
          <m:e>
            <m:r>
              <w:rPr>
                <w:rFonts w:ascii="Cambria Math" w:hAnsi="Cambria Math"/>
              </w:rPr>
              <m:t>ε</m:t>
            </m:r>
          </m:e>
          <m:sub>
            <m:r>
              <w:rPr>
                <w:rFonts w:ascii="Cambria Math" w:hAnsi="Cambria Math"/>
              </w:rPr>
              <m:t>t-i</m:t>
            </m:r>
          </m:sub>
        </m:sSub>
        <m:r>
          <w:rPr>
            <w:rFonts w:ascii="Cambria Math" w:hAnsi="Cambria Math"/>
          </w:rPr>
          <m:t>&lt;0</m:t>
        </m:r>
      </m:oMath>
      <w:r>
        <w:t xml:space="preserve"> and zero if </w:t>
      </w:r>
      <m:oMath>
        <m:sSub>
          <m:sSubPr>
            <m:ctrlPr>
              <w:rPr>
                <w:rFonts w:ascii="Cambria Math" w:hAnsi="Cambria Math"/>
              </w:rPr>
            </m:ctrlPr>
          </m:sSubPr>
          <m:e>
            <m:r>
              <w:rPr>
                <w:rFonts w:ascii="Cambria Math" w:hAnsi="Cambria Math"/>
              </w:rPr>
              <m:t>ε</m:t>
            </m:r>
          </m:e>
          <m:sub>
            <m:r>
              <w:rPr>
                <w:rFonts w:ascii="Cambria Math" w:hAnsi="Cambria Math"/>
              </w:rPr>
              <m:t>t-i</m:t>
            </m:r>
          </m:sub>
        </m:sSub>
        <m:r>
          <w:rPr>
            <w:rFonts w:ascii="Cambria Math" w:hAnsi="Cambria Math"/>
          </w:rPr>
          <m:t>≥0</m:t>
        </m:r>
      </m:oMath>
      <w:r>
        <w:t>.</w:t>
      </w:r>
    </w:p>
    <w:p w:rsidR="00DD760D" w:rsidRDefault="00221AAF">
      <w:pPr>
        <w:pStyle w:val="BodyText"/>
      </w:pPr>
      <w:r>
        <w:t xml:space="preserve">The volatility measure is generated from the </w:t>
      </w:r>
      <m:oMath>
        <m:sSub>
          <m:sSubPr>
            <m:ctrlPr>
              <w:rPr>
                <w:rFonts w:ascii="Cambria Math" w:hAnsi="Cambria Math"/>
              </w:rPr>
            </m:ctrlPr>
          </m:sSubPr>
          <m:e>
            <m:r>
              <w:rPr>
                <w:rFonts w:ascii="Cambria Math" w:hAnsi="Cambria Math"/>
              </w:rPr>
              <m:t>h</m:t>
            </m:r>
          </m:e>
          <m:sub>
            <m:r>
              <w:rPr>
                <w:rFonts w:ascii="Cambria Math" w:hAnsi="Cambria Math"/>
              </w:rPr>
              <m:t>t</m:t>
            </m:r>
          </m:sub>
        </m:sSub>
      </m:oMath>
      <w:r>
        <w:t xml:space="preserve"> series of the most reliable ARCH model.</w:t>
      </w:r>
    </w:p>
    <w:p w:rsidR="00DD760D" w:rsidRDefault="00221AAF">
      <w:pPr>
        <w:pStyle w:val="Heading2"/>
      </w:pPr>
      <w:bookmarkStart w:id="6" w:name="data"/>
      <w:r>
        <w:t>Data</w:t>
      </w:r>
      <w:bookmarkEnd w:id="6"/>
    </w:p>
    <w:p w:rsidR="00DD760D" w:rsidRDefault="00221AAF">
      <w:pPr>
        <w:pStyle w:val="FirstParagraph"/>
      </w:pPr>
      <w:r>
        <w:t xml:space="preserve">This research work utilizes monthly time series data from January 1999 to December 2017. This sample period has been chosen as it reflects the establishment of the Euro Area. The International </w:t>
      </w:r>
      <w:r>
        <w:lastRenderedPageBreak/>
        <w:t>Financial Statistics (IFS) database is the source of all the variables in this study. Nine countries are considered in this study: Nigeria, Ghana, Senegal, Niger, Burkina Faso, Cote D’Ivoire</w:t>
      </w:r>
      <w:r>
        <w:rPr>
          <w:rStyle w:val="FootnoteReference"/>
        </w:rPr>
        <w:footnoteReference w:id="4"/>
      </w:r>
      <w:r>
        <w:t>, Mali, Benin, and Togo.</w:t>
      </w:r>
    </w:p>
    <w:p w:rsidR="00DD760D" w:rsidRDefault="00221AAF">
      <w:pPr>
        <w:pStyle w:val="BodyText"/>
      </w:pPr>
      <w:r>
        <w:t>The nominal values of export and import are denominated in United States dollars; hence, they are converted to real values by multiplying each series by the amount of local currency per dollar and then dividing by the domestic CPI. The real value of exports (imports) of each ECOWAS country to (from) the Euro Area represents the export (X) and import (M) variables. The industrial production index of the Euro Area represents foreign income (Y), similar to Bahmani-Oskooee &amp; Aftab (</w:t>
      </w:r>
      <w:hyperlink w:anchor="ref-bahmani2017">
        <w:r>
          <w:rPr>
            <w:rStyle w:val="Hyperlink"/>
          </w:rPr>
          <w:t>2017</w:t>
        </w:r>
      </w:hyperlink>
      <w:r>
        <w:t>). The real Gross Domestic Product indexed to 2010 and converted to monthly series using ‘quadratic-match average’ represents the domestic income, similar to Asteriou et al. (</w:t>
      </w:r>
      <w:hyperlink w:anchor="ref-asteriou2016exchange">
        <w:r>
          <w:rPr>
            <w:rStyle w:val="Hyperlink"/>
          </w:rPr>
          <w:t>2016</w:t>
        </w:r>
      </w:hyperlink>
      <w:r>
        <w:t>). Following Adom et al. (</w:t>
      </w:r>
      <w:hyperlink w:anchor="ref-adom2012sources">
        <w:r>
          <w:rPr>
            <w:rStyle w:val="Hyperlink"/>
          </w:rPr>
          <w:t>2012</w:t>
        </w:r>
      </w:hyperlink>
      <w:r>
        <w:t>) and Bahmani-Oskooee &amp; Aftab (</w:t>
      </w:r>
      <w:hyperlink w:anchor="ref-bahmani2017">
        <w:r>
          <w:rPr>
            <w:rStyle w:val="Hyperlink"/>
          </w:rPr>
          <w:t>2017</w:t>
        </w:r>
      </w:hyperlink>
      <w:r>
        <w:t>), real exchange rate (R) is calculated as the product of the nominal exchange rate (E) and the ratio of foreign prices to domestic prices</w:t>
      </w:r>
      <w:r>
        <w:rPr>
          <w:rStyle w:val="FootnoteReference"/>
        </w:rPr>
        <w:footnoteReference w:id="5"/>
      </w:r>
      <w:r>
        <w:t>. The consumer price index (CPI) for each country represents the domestic prices, while the Eurozone CPI is the proxy of foreign prices (CPI*). Following McKenzie (</w:t>
      </w:r>
      <w:hyperlink w:anchor="ref-mckenzie1998impact">
        <w:r>
          <w:rPr>
            <w:rStyle w:val="Hyperlink"/>
          </w:rPr>
          <w:t>1998</w:t>
        </w:r>
      </w:hyperlink>
      <w:r>
        <w:t>), Enders (2015) and Asteriou et al. (</w:t>
      </w:r>
      <w:hyperlink w:anchor="ref-asteriou2016exchange">
        <w:r>
          <w:rPr>
            <w:rStyle w:val="Hyperlink"/>
          </w:rPr>
          <w:t>2016</w:t>
        </w:r>
      </w:hyperlink>
      <w:r>
        <w:t>), the logarithmic change of R is employed to fit the reliable ARCH model for each country</w:t>
      </w:r>
      <w:r>
        <w:rPr>
          <w:rStyle w:val="FootnoteReference"/>
        </w:rPr>
        <w:footnoteReference w:id="6"/>
      </w:r>
      <w:r>
        <w:t>. Subsequently, the volatility measure (V) is generated from the variance series of the reliable ARCH model for each country in contrast to Bahmani-Oskooee &amp; Aftab (</w:t>
      </w:r>
      <w:hyperlink w:anchor="ref-bahmani2017">
        <w:r>
          <w:rPr>
            <w:rStyle w:val="Hyperlink"/>
          </w:rPr>
          <w:t>2017</w:t>
        </w:r>
      </w:hyperlink>
      <w:r>
        <w:t>), Asteriou et al. (</w:t>
      </w:r>
      <w:hyperlink w:anchor="ref-asteriou2016exchange">
        <w:r>
          <w:rPr>
            <w:rStyle w:val="Hyperlink"/>
          </w:rPr>
          <w:t>2016</w:t>
        </w:r>
      </w:hyperlink>
      <w:r>
        <w:t>), Gür &amp; Ertuğrul (</w:t>
      </w:r>
      <w:hyperlink w:anchor="ref-gur2012doviz">
        <w:r>
          <w:rPr>
            <w:rStyle w:val="Hyperlink"/>
          </w:rPr>
          <w:t>2012</w:t>
        </w:r>
      </w:hyperlink>
      <w:r>
        <w:t>), Aqeel &amp; Nishat (</w:t>
      </w:r>
      <w:hyperlink w:anchor="ref-aqeel2006effect">
        <w:r>
          <w:rPr>
            <w:rStyle w:val="Hyperlink"/>
          </w:rPr>
          <w:t>2006</w:t>
        </w:r>
      </w:hyperlink>
      <w:r>
        <w:t>), and Baum &amp; Caglayan (</w:t>
      </w:r>
      <w:hyperlink w:anchor="ref-baum2010sensitivity">
        <w:r>
          <w:rPr>
            <w:rStyle w:val="Hyperlink"/>
          </w:rPr>
          <w:t>2010</w:t>
        </w:r>
      </w:hyperlink>
      <w:r>
        <w:t>).</w:t>
      </w:r>
    </w:p>
    <w:p w:rsidR="00DD760D" w:rsidRDefault="00221AAF">
      <w:pPr>
        <w:pStyle w:val="Heading1"/>
      </w:pPr>
      <w:bookmarkStart w:id="7" w:name="empirical-results"/>
      <w:r>
        <w:lastRenderedPageBreak/>
        <w:t>Empirical results</w:t>
      </w:r>
      <w:bookmarkEnd w:id="7"/>
    </w:p>
    <w:p w:rsidR="00DD760D" w:rsidRDefault="00221AAF">
      <w:pPr>
        <w:pStyle w:val="Heading2"/>
      </w:pPr>
      <w:bookmarkStart w:id="8" w:name="arimapdq-for-the-real-exchange-rate"/>
      <w:r>
        <w:t>ARIMA(p,d,q) for the real exchange rate</w:t>
      </w:r>
      <w:bookmarkEnd w:id="8"/>
    </w:p>
    <w:p w:rsidR="00DD760D" w:rsidRDefault="00221AAF">
      <w:pPr>
        <w:pStyle w:val="FirstParagraph"/>
      </w:pPr>
      <w:r>
        <w:t>After calculating the real exchange rate for each country, a formal unit root test is conducted and it is found that it is integrated of order one for all the countries</w:t>
      </w:r>
      <w:r>
        <w:rPr>
          <w:rStyle w:val="FootnoteReference"/>
        </w:rPr>
        <w:footnoteReference w:id="7"/>
      </w:r>
      <w:r>
        <w:t xml:space="preserve"> . Thus, transformation of the series is required for the ARIMA(p,d,q). To that end, we consider taking the natural logarithm and first difference of each of the series to make it stationary. The best fitting ARIMA(p,d,q) for each country is given in Equation (8). Although ARIMA(0,1,1) has lower SIC value for some of the countries except Ghana, Senegal and Burkina, it is more reasonable to work with the reported ARIMA models because their correlograms resemble the theoretical ARIMA(1,1,0) model</w:t>
      </w:r>
      <w:r>
        <w:rPr>
          <w:rStyle w:val="FootnoteReference"/>
        </w:rPr>
        <w:footnoteReference w:id="8"/>
      </w:r>
      <w:r>
        <w:t>. For Burkina Faso, Cote d’Ivoire and Benin, ARIMA(1,1,1) happens to be the best model.</w:t>
      </w:r>
    </w:p>
    <w:p w:rsidR="00DD760D" w:rsidRDefault="00221AAF">
      <w:pPr>
        <w:pStyle w:val="BodyText"/>
      </w:pPr>
      <m:oMathPara>
        <m:oMathParaPr>
          <m:jc m:val="center"/>
        </m:oMathParaPr>
        <m:oMath>
          <m:r>
            <w:rPr>
              <w:rFonts w:ascii="Cambria Math" w:hAnsi="Cambria Math"/>
            </w:rPr>
            <m:t>Δ</m:t>
          </m:r>
          <m:sSub>
            <m:sSubPr>
              <m:ctrlPr>
                <w:rPr>
                  <w:rFonts w:ascii="Cambria Math" w:hAnsi="Cambria Math"/>
                </w:rPr>
              </m:ctrlPr>
            </m:sSubPr>
            <m:e>
              <m:r>
                <w:rPr>
                  <w:rFonts w:ascii="Cambria Math" w:hAnsi="Cambria Math"/>
                </w:rPr>
                <m:t>R</m:t>
              </m:r>
            </m:e>
            <m:sub>
              <m:r>
                <w:rPr>
                  <w:rFonts w:ascii="Cambria Math" w:hAnsi="Cambria Math"/>
                </w:rPr>
                <m:t>t</m:t>
              </m:r>
            </m:sub>
          </m:sSub>
          <m:r>
            <w:rPr>
              <w:rFonts w:ascii="Cambria Math" w:hAnsi="Cambria Math"/>
            </w:rPr>
            <m:t>=</m:t>
          </m:r>
          <m:d>
            <m:dPr>
              <m:begChr m:val="{"/>
              <m:endChr m:val=""/>
              <m:ctrlPr>
                <w:rPr>
                  <w:rFonts w:ascii="Cambria Math" w:hAnsi="Cambria Math"/>
                </w:rPr>
              </m:ctrlPr>
            </m:dPr>
            <m:e>
              <m:m>
                <m:mPr>
                  <m:plcHide m:val="1"/>
                  <m:mcs>
                    <m:mc>
                      <m:mcPr>
                        <m:count m:val="2"/>
                        <m:mcJc m:val="left"/>
                      </m:mcPr>
                    </m:mc>
                  </m:mcs>
                  <m:ctrlPr>
                    <w:rPr>
                      <w:rFonts w:ascii="Cambria Math" w:hAnsi="Cambria Math"/>
                    </w:rPr>
                  </m:ctrlPr>
                </m:mPr>
                <m:mr>
                  <m:e>
                    <m:r>
                      <w:rPr>
                        <w:rFonts w:ascii="Cambria Math" w:hAnsi="Cambria Math"/>
                      </w:rPr>
                      <m:t>0.285Δln</m:t>
                    </m:r>
                    <m:sSub>
                      <m:sSubPr>
                        <m:ctrlPr>
                          <w:rPr>
                            <w:rFonts w:ascii="Cambria Math" w:hAnsi="Cambria Math"/>
                          </w:rPr>
                        </m:ctrlPr>
                      </m:sSubPr>
                      <m:e>
                        <m:r>
                          <w:rPr>
                            <w:rFonts w:ascii="Cambria Math" w:hAnsi="Cambria Math"/>
                          </w:rPr>
                          <m:t>R</m:t>
                        </m:r>
                      </m:e>
                      <m:sub>
                        <m:r>
                          <w:rPr>
                            <w:rFonts w:ascii="Cambria Math" w:hAnsi="Cambria Math"/>
                          </w:rPr>
                          <m:t>t-1</m:t>
                        </m:r>
                      </m:sub>
                    </m:sSub>
                    <m:r>
                      <w:rPr>
                        <w:rFonts w:ascii="Cambria Math" w:hAnsi="Cambria Math"/>
                      </w:rPr>
                      <m:t>+</m:t>
                    </m:r>
                    <m:sSub>
                      <m:sSubPr>
                        <m:ctrlPr>
                          <w:rPr>
                            <w:rFonts w:ascii="Cambria Math" w:hAnsi="Cambria Math"/>
                          </w:rPr>
                        </m:ctrlPr>
                      </m:sSubPr>
                      <m:e>
                        <m:r>
                          <w:rPr>
                            <w:rFonts w:ascii="Cambria Math" w:hAnsi="Cambria Math"/>
                          </w:rPr>
                          <m:t>ε</m:t>
                        </m:r>
                      </m:e>
                      <m:sub>
                        <m:r>
                          <w:rPr>
                            <w:rFonts w:ascii="Cambria Math" w:hAnsi="Cambria Math"/>
                          </w:rPr>
                          <m:t>t</m:t>
                        </m:r>
                      </m:sub>
                    </m:sSub>
                    <m:r>
                      <w:rPr>
                        <w:rFonts w:ascii="Cambria Math" w:hAnsi="Cambria Math"/>
                      </w:rPr>
                      <m:t>,</m:t>
                    </m:r>
                  </m:e>
                  <m:e>
                    <m:r>
                      <m:rPr>
                        <m:sty m:val="p"/>
                      </m:rPr>
                      <w:rPr>
                        <w:rFonts w:ascii="Cambria Math" w:hAnsi="Cambria Math"/>
                      </w:rPr>
                      <m:t>for Nigeria</m:t>
                    </m:r>
                  </m:e>
                </m:mr>
                <m:mr>
                  <m:e>
                    <m:r>
                      <w:rPr>
                        <w:rFonts w:ascii="Cambria Math" w:hAnsi="Cambria Math"/>
                      </w:rPr>
                      <m:t>0.231Δln</m:t>
                    </m:r>
                    <m:sSub>
                      <m:sSubPr>
                        <m:ctrlPr>
                          <w:rPr>
                            <w:rFonts w:ascii="Cambria Math" w:hAnsi="Cambria Math"/>
                          </w:rPr>
                        </m:ctrlPr>
                      </m:sSubPr>
                      <m:e>
                        <m:r>
                          <w:rPr>
                            <w:rFonts w:ascii="Cambria Math" w:hAnsi="Cambria Math"/>
                          </w:rPr>
                          <m:t>R</m:t>
                        </m:r>
                      </m:e>
                      <m:sub>
                        <m:r>
                          <w:rPr>
                            <w:rFonts w:ascii="Cambria Math" w:hAnsi="Cambria Math"/>
                          </w:rPr>
                          <m:t>t-1</m:t>
                        </m:r>
                      </m:sub>
                    </m:sSub>
                    <m:r>
                      <w:rPr>
                        <w:rFonts w:ascii="Cambria Math" w:hAnsi="Cambria Math"/>
                      </w:rPr>
                      <m:t>+</m:t>
                    </m:r>
                    <m:sSub>
                      <m:sSubPr>
                        <m:ctrlPr>
                          <w:rPr>
                            <w:rFonts w:ascii="Cambria Math" w:hAnsi="Cambria Math"/>
                          </w:rPr>
                        </m:ctrlPr>
                      </m:sSubPr>
                      <m:e>
                        <m:r>
                          <w:rPr>
                            <w:rFonts w:ascii="Cambria Math" w:hAnsi="Cambria Math"/>
                          </w:rPr>
                          <m:t>ε</m:t>
                        </m:r>
                      </m:e>
                      <m:sub>
                        <m:r>
                          <w:rPr>
                            <w:rFonts w:ascii="Cambria Math" w:hAnsi="Cambria Math"/>
                          </w:rPr>
                          <m:t>t</m:t>
                        </m:r>
                      </m:sub>
                    </m:sSub>
                    <m:r>
                      <w:rPr>
                        <w:rFonts w:ascii="Cambria Math" w:hAnsi="Cambria Math"/>
                      </w:rPr>
                      <m:t>,</m:t>
                    </m:r>
                  </m:e>
                  <m:e>
                    <m:r>
                      <m:rPr>
                        <m:sty m:val="p"/>
                      </m:rPr>
                      <w:rPr>
                        <w:rFonts w:ascii="Cambria Math" w:hAnsi="Cambria Math"/>
                      </w:rPr>
                      <m:t>for Ghana</m:t>
                    </m:r>
                  </m:e>
                </m:mr>
                <m:mr>
                  <m:e>
                    <m:r>
                      <w:rPr>
                        <w:rFonts w:ascii="Cambria Math" w:hAnsi="Cambria Math"/>
                      </w:rPr>
                      <m:t>0.308Δln</m:t>
                    </m:r>
                    <m:sSub>
                      <m:sSubPr>
                        <m:ctrlPr>
                          <w:rPr>
                            <w:rFonts w:ascii="Cambria Math" w:hAnsi="Cambria Math"/>
                          </w:rPr>
                        </m:ctrlPr>
                      </m:sSubPr>
                      <m:e>
                        <m:r>
                          <w:rPr>
                            <w:rFonts w:ascii="Cambria Math" w:hAnsi="Cambria Math"/>
                          </w:rPr>
                          <m:t>R</m:t>
                        </m:r>
                      </m:e>
                      <m:sub>
                        <m:r>
                          <w:rPr>
                            <w:rFonts w:ascii="Cambria Math" w:hAnsi="Cambria Math"/>
                          </w:rPr>
                          <m:t>t-1</m:t>
                        </m:r>
                      </m:sub>
                    </m:sSub>
                    <m:r>
                      <w:rPr>
                        <w:rFonts w:ascii="Cambria Math" w:hAnsi="Cambria Math"/>
                      </w:rPr>
                      <m:t>+</m:t>
                    </m:r>
                    <m:sSub>
                      <m:sSubPr>
                        <m:ctrlPr>
                          <w:rPr>
                            <w:rFonts w:ascii="Cambria Math" w:hAnsi="Cambria Math"/>
                          </w:rPr>
                        </m:ctrlPr>
                      </m:sSubPr>
                      <m:e>
                        <m:r>
                          <w:rPr>
                            <w:rFonts w:ascii="Cambria Math" w:hAnsi="Cambria Math"/>
                          </w:rPr>
                          <m:t>ε</m:t>
                        </m:r>
                      </m:e>
                      <m:sub>
                        <m:r>
                          <w:rPr>
                            <w:rFonts w:ascii="Cambria Math" w:hAnsi="Cambria Math"/>
                          </w:rPr>
                          <m:t>t</m:t>
                        </m:r>
                      </m:sub>
                    </m:sSub>
                    <m:r>
                      <w:rPr>
                        <w:rFonts w:ascii="Cambria Math" w:hAnsi="Cambria Math"/>
                      </w:rPr>
                      <m:t>,</m:t>
                    </m:r>
                  </m:e>
                  <m:e>
                    <m:r>
                      <m:rPr>
                        <m:sty m:val="p"/>
                      </m:rPr>
                      <w:rPr>
                        <w:rFonts w:ascii="Cambria Math" w:hAnsi="Cambria Math"/>
                      </w:rPr>
                      <m:t>for Senegal</m:t>
                    </m:r>
                  </m:e>
                </m:mr>
                <m:mr>
                  <m:e>
                    <m:r>
                      <w:rPr>
                        <w:rFonts w:ascii="Cambria Math" w:hAnsi="Cambria Math"/>
                      </w:rPr>
                      <m:t>0.223Δln</m:t>
                    </m:r>
                    <m:sSub>
                      <m:sSubPr>
                        <m:ctrlPr>
                          <w:rPr>
                            <w:rFonts w:ascii="Cambria Math" w:hAnsi="Cambria Math"/>
                          </w:rPr>
                        </m:ctrlPr>
                      </m:sSubPr>
                      <m:e>
                        <m:r>
                          <w:rPr>
                            <w:rFonts w:ascii="Cambria Math" w:hAnsi="Cambria Math"/>
                          </w:rPr>
                          <m:t>R</m:t>
                        </m:r>
                      </m:e>
                      <m:sub>
                        <m:r>
                          <w:rPr>
                            <w:rFonts w:ascii="Cambria Math" w:hAnsi="Cambria Math"/>
                          </w:rPr>
                          <m:t>t-1</m:t>
                        </m:r>
                      </m:sub>
                    </m:sSub>
                    <m:r>
                      <w:rPr>
                        <w:rFonts w:ascii="Cambria Math" w:hAnsi="Cambria Math"/>
                      </w:rPr>
                      <m:t>+</m:t>
                    </m:r>
                    <m:sSub>
                      <m:sSubPr>
                        <m:ctrlPr>
                          <w:rPr>
                            <w:rFonts w:ascii="Cambria Math" w:hAnsi="Cambria Math"/>
                          </w:rPr>
                        </m:ctrlPr>
                      </m:sSubPr>
                      <m:e>
                        <m:r>
                          <w:rPr>
                            <w:rFonts w:ascii="Cambria Math" w:hAnsi="Cambria Math"/>
                          </w:rPr>
                          <m:t>ε</m:t>
                        </m:r>
                      </m:e>
                      <m:sub>
                        <m:r>
                          <w:rPr>
                            <w:rFonts w:ascii="Cambria Math" w:hAnsi="Cambria Math"/>
                          </w:rPr>
                          <m:t>t</m:t>
                        </m:r>
                      </m:sub>
                    </m:sSub>
                    <m:r>
                      <w:rPr>
                        <w:rFonts w:ascii="Cambria Math" w:hAnsi="Cambria Math"/>
                      </w:rPr>
                      <m:t>,</m:t>
                    </m:r>
                  </m:e>
                  <m:e>
                    <m:r>
                      <m:rPr>
                        <m:sty m:val="p"/>
                      </m:rPr>
                      <w:rPr>
                        <w:rFonts w:ascii="Cambria Math" w:hAnsi="Cambria Math"/>
                      </w:rPr>
                      <m:t>for Niger</m:t>
                    </m:r>
                  </m:e>
                </m:mr>
                <m:mr>
                  <m:e>
                    <m:r>
                      <w:rPr>
                        <w:rFonts w:ascii="Cambria Math" w:hAnsi="Cambria Math"/>
                      </w:rPr>
                      <m:t>0.822Δln</m:t>
                    </m:r>
                    <m:sSub>
                      <m:sSubPr>
                        <m:ctrlPr>
                          <w:rPr>
                            <w:rFonts w:ascii="Cambria Math" w:hAnsi="Cambria Math"/>
                          </w:rPr>
                        </m:ctrlPr>
                      </m:sSubPr>
                      <m:e>
                        <m:r>
                          <w:rPr>
                            <w:rFonts w:ascii="Cambria Math" w:hAnsi="Cambria Math"/>
                          </w:rPr>
                          <m:t>R</m:t>
                        </m:r>
                      </m:e>
                      <m:sub>
                        <m:r>
                          <w:rPr>
                            <w:rFonts w:ascii="Cambria Math" w:hAnsi="Cambria Math"/>
                          </w:rPr>
                          <m:t>t-1</m:t>
                        </m:r>
                      </m:sub>
                    </m:sSub>
                    <m:r>
                      <w:rPr>
                        <w:rFonts w:ascii="Cambria Math" w:hAnsi="Cambria Math"/>
                      </w:rPr>
                      <m:t>-0.946</m:t>
                    </m:r>
                    <m:sSub>
                      <m:sSubPr>
                        <m:ctrlPr>
                          <w:rPr>
                            <w:rFonts w:ascii="Cambria Math" w:hAnsi="Cambria Math"/>
                          </w:rPr>
                        </m:ctrlPr>
                      </m:sSubPr>
                      <m:e>
                        <m:r>
                          <w:rPr>
                            <w:rFonts w:ascii="Cambria Math" w:hAnsi="Cambria Math"/>
                          </w:rPr>
                          <m:t>ε</m:t>
                        </m:r>
                      </m:e>
                      <m:sub>
                        <m:r>
                          <w:rPr>
                            <w:rFonts w:ascii="Cambria Math" w:hAnsi="Cambria Math"/>
                          </w:rPr>
                          <m:t>t-1</m:t>
                        </m:r>
                      </m:sub>
                    </m:sSub>
                    <m:r>
                      <w:rPr>
                        <w:rFonts w:ascii="Cambria Math" w:hAnsi="Cambria Math"/>
                      </w:rPr>
                      <m:t>+</m:t>
                    </m:r>
                    <m:sSub>
                      <m:sSubPr>
                        <m:ctrlPr>
                          <w:rPr>
                            <w:rFonts w:ascii="Cambria Math" w:hAnsi="Cambria Math"/>
                          </w:rPr>
                        </m:ctrlPr>
                      </m:sSubPr>
                      <m:e>
                        <m:r>
                          <w:rPr>
                            <w:rFonts w:ascii="Cambria Math" w:hAnsi="Cambria Math"/>
                          </w:rPr>
                          <m:t>ε</m:t>
                        </m:r>
                      </m:e>
                      <m:sub>
                        <m:r>
                          <w:rPr>
                            <w:rFonts w:ascii="Cambria Math" w:hAnsi="Cambria Math"/>
                          </w:rPr>
                          <m:t>t</m:t>
                        </m:r>
                      </m:sub>
                    </m:sSub>
                    <m:r>
                      <w:rPr>
                        <w:rFonts w:ascii="Cambria Math" w:hAnsi="Cambria Math"/>
                      </w:rPr>
                      <m:t>,</m:t>
                    </m:r>
                  </m:e>
                  <m:e>
                    <m:r>
                      <m:rPr>
                        <m:sty m:val="p"/>
                      </m:rPr>
                      <w:rPr>
                        <w:rFonts w:ascii="Cambria Math" w:hAnsi="Cambria Math"/>
                      </w:rPr>
                      <m:t>for Burkina Faso</m:t>
                    </m:r>
                  </m:e>
                </m:mr>
                <m:mr>
                  <m:e>
                    <m:r>
                      <w:rPr>
                        <w:rFonts w:ascii="Cambria Math" w:hAnsi="Cambria Math"/>
                      </w:rPr>
                      <m:t>-0.708Δln</m:t>
                    </m:r>
                    <m:sSub>
                      <m:sSubPr>
                        <m:ctrlPr>
                          <w:rPr>
                            <w:rFonts w:ascii="Cambria Math" w:hAnsi="Cambria Math"/>
                          </w:rPr>
                        </m:ctrlPr>
                      </m:sSubPr>
                      <m:e>
                        <m:r>
                          <w:rPr>
                            <w:rFonts w:ascii="Cambria Math" w:hAnsi="Cambria Math"/>
                          </w:rPr>
                          <m:t>R</m:t>
                        </m:r>
                      </m:e>
                      <m:sub>
                        <m:r>
                          <w:rPr>
                            <w:rFonts w:ascii="Cambria Math" w:hAnsi="Cambria Math"/>
                          </w:rPr>
                          <m:t>t-1</m:t>
                        </m:r>
                      </m:sub>
                    </m:sSub>
                    <m:r>
                      <w:rPr>
                        <w:rFonts w:ascii="Cambria Math" w:hAnsi="Cambria Math"/>
                      </w:rPr>
                      <m:t>+0.795</m:t>
                    </m:r>
                    <m:sSub>
                      <m:sSubPr>
                        <m:ctrlPr>
                          <w:rPr>
                            <w:rFonts w:ascii="Cambria Math" w:hAnsi="Cambria Math"/>
                          </w:rPr>
                        </m:ctrlPr>
                      </m:sSubPr>
                      <m:e>
                        <m:r>
                          <w:rPr>
                            <w:rFonts w:ascii="Cambria Math" w:hAnsi="Cambria Math"/>
                          </w:rPr>
                          <m:t>ε</m:t>
                        </m:r>
                      </m:e>
                      <m:sub>
                        <m:r>
                          <w:rPr>
                            <w:rFonts w:ascii="Cambria Math" w:hAnsi="Cambria Math"/>
                          </w:rPr>
                          <m:t>t-1</m:t>
                        </m:r>
                      </m:sub>
                    </m:sSub>
                    <m:r>
                      <w:rPr>
                        <w:rFonts w:ascii="Cambria Math" w:hAnsi="Cambria Math"/>
                      </w:rPr>
                      <m:t>+</m:t>
                    </m:r>
                    <m:sSub>
                      <m:sSubPr>
                        <m:ctrlPr>
                          <w:rPr>
                            <w:rFonts w:ascii="Cambria Math" w:hAnsi="Cambria Math"/>
                          </w:rPr>
                        </m:ctrlPr>
                      </m:sSubPr>
                      <m:e>
                        <m:r>
                          <w:rPr>
                            <w:rFonts w:ascii="Cambria Math" w:hAnsi="Cambria Math"/>
                          </w:rPr>
                          <m:t>ε</m:t>
                        </m:r>
                      </m:e>
                      <m:sub>
                        <m:r>
                          <w:rPr>
                            <w:rFonts w:ascii="Cambria Math" w:hAnsi="Cambria Math"/>
                          </w:rPr>
                          <m:t>t</m:t>
                        </m:r>
                      </m:sub>
                    </m:sSub>
                    <m:r>
                      <w:rPr>
                        <w:rFonts w:ascii="Cambria Math" w:hAnsi="Cambria Math"/>
                      </w:rPr>
                      <m:t>,</m:t>
                    </m:r>
                  </m:e>
                  <m:e>
                    <m:r>
                      <m:rPr>
                        <m:sty m:val="p"/>
                      </m:rPr>
                      <w:rPr>
                        <w:rFonts w:ascii="Cambria Math" w:hAnsi="Cambria Math"/>
                      </w:rPr>
                      <m:t>for Cote D’Ivoire</m:t>
                    </m:r>
                  </m:e>
                </m:mr>
                <m:mr>
                  <m:e>
                    <m:r>
                      <w:rPr>
                        <w:rFonts w:ascii="Cambria Math" w:hAnsi="Cambria Math"/>
                      </w:rPr>
                      <m:t>0.349Δln</m:t>
                    </m:r>
                    <m:sSub>
                      <m:sSubPr>
                        <m:ctrlPr>
                          <w:rPr>
                            <w:rFonts w:ascii="Cambria Math" w:hAnsi="Cambria Math"/>
                          </w:rPr>
                        </m:ctrlPr>
                      </m:sSubPr>
                      <m:e>
                        <m:r>
                          <w:rPr>
                            <w:rFonts w:ascii="Cambria Math" w:hAnsi="Cambria Math"/>
                          </w:rPr>
                          <m:t>R</m:t>
                        </m:r>
                      </m:e>
                      <m:sub>
                        <m:r>
                          <w:rPr>
                            <w:rFonts w:ascii="Cambria Math" w:hAnsi="Cambria Math"/>
                          </w:rPr>
                          <m:t>t-1</m:t>
                        </m:r>
                      </m:sub>
                    </m:sSub>
                    <m:r>
                      <w:rPr>
                        <w:rFonts w:ascii="Cambria Math" w:hAnsi="Cambria Math"/>
                      </w:rPr>
                      <m:t>+</m:t>
                    </m:r>
                    <m:sSub>
                      <m:sSubPr>
                        <m:ctrlPr>
                          <w:rPr>
                            <w:rFonts w:ascii="Cambria Math" w:hAnsi="Cambria Math"/>
                          </w:rPr>
                        </m:ctrlPr>
                      </m:sSubPr>
                      <m:e>
                        <m:r>
                          <w:rPr>
                            <w:rFonts w:ascii="Cambria Math" w:hAnsi="Cambria Math"/>
                          </w:rPr>
                          <m:t>ε</m:t>
                        </m:r>
                      </m:e>
                      <m:sub>
                        <m:r>
                          <w:rPr>
                            <w:rFonts w:ascii="Cambria Math" w:hAnsi="Cambria Math"/>
                          </w:rPr>
                          <m:t>t</m:t>
                        </m:r>
                      </m:sub>
                    </m:sSub>
                    <m:r>
                      <w:rPr>
                        <w:rFonts w:ascii="Cambria Math" w:hAnsi="Cambria Math"/>
                      </w:rPr>
                      <m:t>,</m:t>
                    </m:r>
                  </m:e>
                  <m:e>
                    <m:r>
                      <m:rPr>
                        <m:sty m:val="p"/>
                      </m:rPr>
                      <w:rPr>
                        <w:rFonts w:ascii="Cambria Math" w:hAnsi="Cambria Math"/>
                      </w:rPr>
                      <m:t>for Mali</m:t>
                    </m:r>
                  </m:e>
                </m:mr>
                <m:mr>
                  <m:e>
                    <m:r>
                      <w:rPr>
                        <w:rFonts w:ascii="Cambria Math" w:hAnsi="Cambria Math"/>
                      </w:rPr>
                      <m:t>0.550Δln</m:t>
                    </m:r>
                    <m:sSub>
                      <m:sSubPr>
                        <m:ctrlPr>
                          <w:rPr>
                            <w:rFonts w:ascii="Cambria Math" w:hAnsi="Cambria Math"/>
                          </w:rPr>
                        </m:ctrlPr>
                      </m:sSubPr>
                      <m:e>
                        <m:r>
                          <w:rPr>
                            <w:rFonts w:ascii="Cambria Math" w:hAnsi="Cambria Math"/>
                          </w:rPr>
                          <m:t>R</m:t>
                        </m:r>
                      </m:e>
                      <m:sub>
                        <m:r>
                          <w:rPr>
                            <w:rFonts w:ascii="Cambria Math" w:hAnsi="Cambria Math"/>
                          </w:rPr>
                          <m:t>t-1</m:t>
                        </m:r>
                      </m:sub>
                    </m:sSub>
                    <m:r>
                      <w:rPr>
                        <w:rFonts w:ascii="Cambria Math" w:hAnsi="Cambria Math"/>
                      </w:rPr>
                      <m:t>-0.770</m:t>
                    </m:r>
                    <m:sSub>
                      <m:sSubPr>
                        <m:ctrlPr>
                          <w:rPr>
                            <w:rFonts w:ascii="Cambria Math" w:hAnsi="Cambria Math"/>
                          </w:rPr>
                        </m:ctrlPr>
                      </m:sSubPr>
                      <m:e>
                        <m:r>
                          <w:rPr>
                            <w:rFonts w:ascii="Cambria Math" w:hAnsi="Cambria Math"/>
                          </w:rPr>
                          <m:t>ε</m:t>
                        </m:r>
                      </m:e>
                      <m:sub>
                        <m:r>
                          <w:rPr>
                            <w:rFonts w:ascii="Cambria Math" w:hAnsi="Cambria Math"/>
                          </w:rPr>
                          <m:t>t-1</m:t>
                        </m:r>
                      </m:sub>
                    </m:sSub>
                    <m:r>
                      <w:rPr>
                        <w:rFonts w:ascii="Cambria Math" w:hAnsi="Cambria Math"/>
                      </w:rPr>
                      <m:t>+</m:t>
                    </m:r>
                    <m:sSub>
                      <m:sSubPr>
                        <m:ctrlPr>
                          <w:rPr>
                            <w:rFonts w:ascii="Cambria Math" w:hAnsi="Cambria Math"/>
                          </w:rPr>
                        </m:ctrlPr>
                      </m:sSubPr>
                      <m:e>
                        <m:r>
                          <w:rPr>
                            <w:rFonts w:ascii="Cambria Math" w:hAnsi="Cambria Math"/>
                          </w:rPr>
                          <m:t>ε</m:t>
                        </m:r>
                      </m:e>
                      <m:sub>
                        <m:r>
                          <w:rPr>
                            <w:rFonts w:ascii="Cambria Math" w:hAnsi="Cambria Math"/>
                          </w:rPr>
                          <m:t>t</m:t>
                        </m:r>
                      </m:sub>
                    </m:sSub>
                    <m:r>
                      <w:rPr>
                        <w:rFonts w:ascii="Cambria Math" w:hAnsi="Cambria Math"/>
                      </w:rPr>
                      <m:t>,</m:t>
                    </m:r>
                  </m:e>
                  <m:e>
                    <m:r>
                      <m:rPr>
                        <m:sty m:val="p"/>
                      </m:rPr>
                      <w:rPr>
                        <w:rFonts w:ascii="Cambria Math" w:hAnsi="Cambria Math"/>
                      </w:rPr>
                      <m:t>for Benin</m:t>
                    </m:r>
                  </m:e>
                </m:mr>
                <m:mr>
                  <m:e>
                    <m:r>
                      <w:rPr>
                        <w:rFonts w:ascii="Cambria Math" w:hAnsi="Cambria Math"/>
                      </w:rPr>
                      <m:t>0.243Δln</m:t>
                    </m:r>
                    <m:sSub>
                      <m:sSubPr>
                        <m:ctrlPr>
                          <w:rPr>
                            <w:rFonts w:ascii="Cambria Math" w:hAnsi="Cambria Math"/>
                          </w:rPr>
                        </m:ctrlPr>
                      </m:sSubPr>
                      <m:e>
                        <m:r>
                          <w:rPr>
                            <w:rFonts w:ascii="Cambria Math" w:hAnsi="Cambria Math"/>
                          </w:rPr>
                          <m:t>R</m:t>
                        </m:r>
                      </m:e>
                      <m:sub>
                        <m:r>
                          <w:rPr>
                            <w:rFonts w:ascii="Cambria Math" w:hAnsi="Cambria Math"/>
                          </w:rPr>
                          <m:t>t-1</m:t>
                        </m:r>
                      </m:sub>
                    </m:sSub>
                    <m:r>
                      <w:rPr>
                        <w:rFonts w:ascii="Cambria Math" w:hAnsi="Cambria Math"/>
                      </w:rPr>
                      <m:t>+</m:t>
                    </m:r>
                    <m:sSub>
                      <m:sSubPr>
                        <m:ctrlPr>
                          <w:rPr>
                            <w:rFonts w:ascii="Cambria Math" w:hAnsi="Cambria Math"/>
                          </w:rPr>
                        </m:ctrlPr>
                      </m:sSubPr>
                      <m:e>
                        <m:r>
                          <w:rPr>
                            <w:rFonts w:ascii="Cambria Math" w:hAnsi="Cambria Math"/>
                          </w:rPr>
                          <m:t>ε</m:t>
                        </m:r>
                      </m:e>
                      <m:sub>
                        <m:r>
                          <w:rPr>
                            <w:rFonts w:ascii="Cambria Math" w:hAnsi="Cambria Math"/>
                          </w:rPr>
                          <m:t>t</m:t>
                        </m:r>
                      </m:sub>
                    </m:sSub>
                    <m:r>
                      <w:rPr>
                        <w:rFonts w:ascii="Cambria Math" w:hAnsi="Cambria Math"/>
                      </w:rPr>
                      <m:t>,</m:t>
                    </m:r>
                  </m:e>
                  <m:e>
                    <m:r>
                      <m:rPr>
                        <m:sty m:val="p"/>
                      </m:rPr>
                      <w:rPr>
                        <w:rFonts w:ascii="Cambria Math" w:hAnsi="Cambria Math"/>
                      </w:rPr>
                      <m:t>for Togo</m:t>
                    </m:r>
                  </m:e>
                </m:mr>
              </m:m>
            </m:e>
          </m:d>
          <m:r>
            <w:rPr>
              <w:rFonts w:ascii="Cambria Math" w:hAnsi="Cambria Math"/>
            </w:rPr>
            <m:t>  (8)</m:t>
          </m:r>
        </m:oMath>
      </m:oMathPara>
    </w:p>
    <w:p w:rsidR="00DD760D" w:rsidRDefault="00DD760D">
      <w:pPr>
        <w:pStyle w:val="FirstParagraph"/>
      </w:pPr>
    </w:p>
    <w:p w:rsidR="00DD760D" w:rsidRDefault="00221AAF">
      <w:pPr>
        <w:pStyle w:val="BodyText"/>
      </w:pPr>
      <w:r>
        <w:t xml:space="preserve">Where R stands for the real exchange rate, </w:t>
      </w:r>
      <m:oMath>
        <m:r>
          <w:rPr>
            <w:rFonts w:ascii="Cambria Math" w:hAnsi="Cambria Math"/>
          </w:rPr>
          <m:t>Δ</m:t>
        </m:r>
      </m:oMath>
      <w:r>
        <w:t xml:space="preserve"> is the difference operator and ln is the natural logarithm.</w:t>
      </w:r>
    </w:p>
    <w:p w:rsidR="00DD760D" w:rsidRDefault="00221AAF">
      <w:pPr>
        <w:pStyle w:val="Heading2"/>
      </w:pPr>
      <w:bookmarkStart w:id="9" w:name="the-garch-models"/>
      <w:r>
        <w:lastRenderedPageBreak/>
        <w:t>The GARCH models</w:t>
      </w:r>
      <w:bookmarkEnd w:id="9"/>
    </w:p>
    <w:p w:rsidR="00DD760D" w:rsidRDefault="00221AAF">
      <w:pPr>
        <w:pStyle w:val="FirstParagraph"/>
      </w:pPr>
      <w:r>
        <w:t>In this section, reliable ARCH model is determined for each country and volatility measure is generated afterwards. The maximum likelihood technique is used to estimate the variance equation of the ARCH model for each country, with the respective best ARIMA(p,d,q) model as the mean equation</w:t>
      </w:r>
      <w:r>
        <w:rPr>
          <w:rStyle w:val="FootnoteReference"/>
        </w:rPr>
        <w:footnoteReference w:id="9"/>
      </w:r>
      <w:r>
        <w:t>. The choice of the reliable ARCH model is determined by the minimum value of the Schwarz Information Criterion (SIC), and absence of autocorrelations among standardized residuals and standardized residuals squared. Table 1 presents the reliable ARCH model for each country. The variance series of each reliable ARCH model represents the volatility measure for the respective country.</w:t>
      </w:r>
    </w:p>
    <w:p w:rsidR="00DD760D" w:rsidRDefault="00221AAF">
      <w:pPr>
        <w:pStyle w:val="TableCaption"/>
      </w:pPr>
      <w:r>
        <w:t>Table 1: Variance equations of the GARCH</w:t>
      </w:r>
    </w:p>
    <w:tbl>
      <w:tblPr>
        <w:tblStyle w:val="Table"/>
        <w:tblW w:w="0" w:type="pct"/>
        <w:jc w:val="center"/>
        <w:tblLook w:val="07E0" w:firstRow="1" w:lastRow="1" w:firstColumn="1" w:lastColumn="1" w:noHBand="1" w:noVBand="1"/>
        <w:tblCaption w:val="Table 1: Variance equations of the GARCH"/>
      </w:tblPr>
      <w:tblGrid>
        <w:gridCol w:w="1333"/>
        <w:gridCol w:w="1950"/>
        <w:gridCol w:w="5342"/>
      </w:tblGrid>
      <w:tr w:rsidR="00DD760D" w:rsidRPr="00221AAF" w:rsidTr="00221AAF">
        <w:trPr>
          <w:jc w:val="center"/>
        </w:trPr>
        <w:tc>
          <w:tcPr>
            <w:tcW w:w="0" w:type="auto"/>
            <w:tcBorders>
              <w:bottom w:val="single" w:sz="0" w:space="0" w:color="auto"/>
            </w:tcBorders>
            <w:vAlign w:val="bottom"/>
          </w:tcPr>
          <w:p w:rsidR="00DD760D" w:rsidRPr="00221AAF" w:rsidRDefault="00221AAF" w:rsidP="00221AAF">
            <w:pPr>
              <w:pStyle w:val="Compact"/>
              <w:rPr>
                <w:b/>
              </w:rPr>
            </w:pPr>
            <w:r w:rsidRPr="00221AAF">
              <w:rPr>
                <w:b/>
              </w:rPr>
              <w:t>Country</w:t>
            </w:r>
          </w:p>
        </w:tc>
        <w:tc>
          <w:tcPr>
            <w:tcW w:w="0" w:type="auto"/>
            <w:tcBorders>
              <w:bottom w:val="single" w:sz="0" w:space="0" w:color="auto"/>
            </w:tcBorders>
            <w:vAlign w:val="bottom"/>
          </w:tcPr>
          <w:p w:rsidR="00DD760D" w:rsidRPr="00221AAF" w:rsidRDefault="00221AAF" w:rsidP="00221AAF">
            <w:pPr>
              <w:pStyle w:val="Compact"/>
              <w:rPr>
                <w:b/>
              </w:rPr>
            </w:pPr>
            <w:r w:rsidRPr="00221AAF">
              <w:rPr>
                <w:b/>
              </w:rPr>
              <w:t>GARCH(p,q) Order</w:t>
            </w:r>
          </w:p>
        </w:tc>
        <w:tc>
          <w:tcPr>
            <w:tcW w:w="0" w:type="auto"/>
            <w:tcBorders>
              <w:bottom w:val="single" w:sz="0" w:space="0" w:color="auto"/>
            </w:tcBorders>
            <w:vAlign w:val="bottom"/>
          </w:tcPr>
          <w:p w:rsidR="00DD760D" w:rsidRPr="00221AAF" w:rsidRDefault="00221AAF" w:rsidP="00221AAF">
            <w:pPr>
              <w:pStyle w:val="Compact"/>
              <w:rPr>
                <w:b/>
              </w:rPr>
            </w:pPr>
            <w:r w:rsidRPr="00221AAF">
              <w:rPr>
                <w:b/>
              </w:rPr>
              <w:t>GARCH Estimation</w:t>
            </w:r>
          </w:p>
        </w:tc>
      </w:tr>
      <w:tr w:rsidR="00DD760D" w:rsidRPr="00221AAF" w:rsidTr="00221AAF">
        <w:trPr>
          <w:jc w:val="center"/>
        </w:trPr>
        <w:tc>
          <w:tcPr>
            <w:tcW w:w="0" w:type="auto"/>
          </w:tcPr>
          <w:p w:rsidR="00DD760D" w:rsidRPr="00221AAF" w:rsidRDefault="00221AAF" w:rsidP="00221AAF">
            <w:pPr>
              <w:pStyle w:val="Compact"/>
            </w:pPr>
            <w:r w:rsidRPr="00221AAF">
              <w:t>Nigeria</w:t>
            </w:r>
          </w:p>
        </w:tc>
        <w:tc>
          <w:tcPr>
            <w:tcW w:w="0" w:type="auto"/>
          </w:tcPr>
          <w:p w:rsidR="00DD760D" w:rsidRPr="00221AAF" w:rsidRDefault="00221AAF" w:rsidP="00221AAF">
            <w:pPr>
              <w:pStyle w:val="Compact"/>
            </w:pPr>
            <w:r w:rsidRPr="00221AAF">
              <w:t>GARCH(1,1)</w:t>
            </w:r>
          </w:p>
        </w:tc>
        <w:tc>
          <w:tcPr>
            <w:tcW w:w="0" w:type="auto"/>
          </w:tcPr>
          <w:p w:rsidR="00DD760D" w:rsidRPr="00221AAF" w:rsidRDefault="00221AAF" w:rsidP="00221AAF">
            <w:pPr>
              <w:pStyle w:val="Compact"/>
            </w:pPr>
            <m:oMathPara>
              <m:oMath>
                <m:sSub>
                  <m:sSubPr>
                    <m:ctrlPr>
                      <w:rPr>
                        <w:rFonts w:ascii="Cambria Math" w:hAnsi="Cambria Math"/>
                      </w:rPr>
                    </m:ctrlPr>
                  </m:sSubPr>
                  <m:e>
                    <m:r>
                      <w:rPr>
                        <w:rFonts w:ascii="Cambria Math" w:hAnsi="Cambria Math"/>
                      </w:rPr>
                      <m:t>h</m:t>
                    </m:r>
                  </m:e>
                  <m:sub>
                    <m:r>
                      <w:rPr>
                        <w:rFonts w:ascii="Cambria Math" w:hAnsi="Cambria Math"/>
                      </w:rPr>
                      <m:t>t</m:t>
                    </m:r>
                  </m:sub>
                </m:sSub>
                <m:r>
                  <w:rPr>
                    <w:rFonts w:ascii="Cambria Math" w:hAnsi="Cambria Math"/>
                  </w:rPr>
                  <m:t>=4.16×</m:t>
                </m:r>
                <m:sSup>
                  <m:sSupPr>
                    <m:ctrlPr>
                      <w:rPr>
                        <w:rFonts w:ascii="Cambria Math" w:hAnsi="Cambria Math"/>
                      </w:rPr>
                    </m:ctrlPr>
                  </m:sSupPr>
                  <m:e>
                    <m:r>
                      <w:rPr>
                        <w:rFonts w:ascii="Cambria Math" w:hAnsi="Cambria Math"/>
                      </w:rPr>
                      <m:t>10</m:t>
                    </m:r>
                  </m:e>
                  <m:sup>
                    <m:r>
                      <w:rPr>
                        <w:rFonts w:ascii="Cambria Math" w:hAnsi="Cambria Math"/>
                      </w:rPr>
                      <m:t>-4</m:t>
                    </m:r>
                  </m:sup>
                </m:sSup>
                <m:r>
                  <w:rPr>
                    <w:rFonts w:ascii="Cambria Math" w:hAnsi="Cambria Math"/>
                  </w:rPr>
                  <m:t>+0.29</m:t>
                </m:r>
                <m:sSub>
                  <m:sSubPr>
                    <m:ctrlPr>
                      <w:rPr>
                        <w:rFonts w:ascii="Cambria Math" w:hAnsi="Cambria Math"/>
                      </w:rPr>
                    </m:ctrlPr>
                  </m:sSubPr>
                  <m:e>
                    <m:r>
                      <w:rPr>
                        <w:rFonts w:ascii="Cambria Math" w:hAnsi="Cambria Math"/>
                      </w:rPr>
                      <m:t>h</m:t>
                    </m:r>
                  </m:e>
                  <m:sub>
                    <m:r>
                      <w:rPr>
                        <w:rFonts w:ascii="Cambria Math" w:hAnsi="Cambria Math"/>
                      </w:rPr>
                      <m:t>t-1</m:t>
                    </m:r>
                  </m:sub>
                </m:sSub>
                <m:r>
                  <w:rPr>
                    <w:rFonts w:ascii="Cambria Math" w:hAnsi="Cambria Math"/>
                  </w:rPr>
                  <m:t>+0.41</m:t>
                </m:r>
                <m:sSubSup>
                  <m:sSubSupPr>
                    <m:ctrlPr>
                      <w:rPr>
                        <w:rFonts w:ascii="Cambria Math" w:hAnsi="Cambria Math"/>
                      </w:rPr>
                    </m:ctrlPr>
                  </m:sSubSupPr>
                  <m:e>
                    <m:r>
                      <w:rPr>
                        <w:rFonts w:ascii="Cambria Math" w:hAnsi="Cambria Math"/>
                      </w:rPr>
                      <m:t>ε</m:t>
                    </m:r>
                  </m:e>
                  <m:sub>
                    <m:r>
                      <w:rPr>
                        <w:rFonts w:ascii="Cambria Math" w:hAnsi="Cambria Math"/>
                      </w:rPr>
                      <m:t>t-1</m:t>
                    </m:r>
                  </m:sub>
                  <m:sup>
                    <m:r>
                      <w:rPr>
                        <w:rFonts w:ascii="Cambria Math" w:hAnsi="Cambria Math"/>
                      </w:rPr>
                      <m:t>2</m:t>
                    </m:r>
                  </m:sup>
                </m:sSubSup>
                <m:r>
                  <w:rPr>
                    <w:rFonts w:ascii="Cambria Math" w:hAnsi="Cambria Math"/>
                  </w:rPr>
                  <m:t>+</m:t>
                </m:r>
                <m:sSub>
                  <m:sSubPr>
                    <m:ctrlPr>
                      <w:rPr>
                        <w:rFonts w:ascii="Cambria Math" w:hAnsi="Cambria Math"/>
                      </w:rPr>
                    </m:ctrlPr>
                  </m:sSubPr>
                  <m:e>
                    <m:r>
                      <w:rPr>
                        <w:rFonts w:ascii="Cambria Math" w:hAnsi="Cambria Math"/>
                      </w:rPr>
                      <m:t>ε</m:t>
                    </m:r>
                  </m:e>
                  <m:sub>
                    <m:r>
                      <w:rPr>
                        <w:rFonts w:ascii="Cambria Math" w:hAnsi="Cambria Math"/>
                      </w:rPr>
                      <m:t>t</m:t>
                    </m:r>
                  </m:sub>
                </m:sSub>
              </m:oMath>
            </m:oMathPara>
          </w:p>
        </w:tc>
      </w:tr>
      <w:tr w:rsidR="00DD760D" w:rsidRPr="00221AAF" w:rsidTr="00221AAF">
        <w:trPr>
          <w:jc w:val="center"/>
        </w:trPr>
        <w:tc>
          <w:tcPr>
            <w:tcW w:w="0" w:type="auto"/>
          </w:tcPr>
          <w:p w:rsidR="00DD760D" w:rsidRPr="00221AAF" w:rsidRDefault="00221AAF" w:rsidP="00221AAF">
            <w:pPr>
              <w:pStyle w:val="Compact"/>
            </w:pPr>
            <w:r w:rsidRPr="00221AAF">
              <w:t>Ghana</w:t>
            </w:r>
          </w:p>
        </w:tc>
        <w:tc>
          <w:tcPr>
            <w:tcW w:w="0" w:type="auto"/>
          </w:tcPr>
          <w:p w:rsidR="00DD760D" w:rsidRPr="00221AAF" w:rsidRDefault="00221AAF" w:rsidP="00221AAF">
            <w:pPr>
              <w:pStyle w:val="Compact"/>
            </w:pPr>
            <w:r w:rsidRPr="00221AAF">
              <w:t>GARCH(1,1)</w:t>
            </w:r>
          </w:p>
        </w:tc>
        <w:tc>
          <w:tcPr>
            <w:tcW w:w="0" w:type="auto"/>
          </w:tcPr>
          <w:p w:rsidR="00DD760D" w:rsidRPr="00221AAF" w:rsidRDefault="00221AAF" w:rsidP="00221AAF">
            <w:pPr>
              <w:pStyle w:val="Compact"/>
            </w:pPr>
            <m:oMathPara>
              <m:oMath>
                <m:sSub>
                  <m:sSubPr>
                    <m:ctrlPr>
                      <w:rPr>
                        <w:rFonts w:ascii="Cambria Math" w:hAnsi="Cambria Math"/>
                      </w:rPr>
                    </m:ctrlPr>
                  </m:sSubPr>
                  <m:e>
                    <m:r>
                      <w:rPr>
                        <w:rFonts w:ascii="Cambria Math" w:hAnsi="Cambria Math"/>
                      </w:rPr>
                      <m:t>h</m:t>
                    </m:r>
                  </m:e>
                  <m:sub>
                    <m:r>
                      <w:rPr>
                        <w:rFonts w:ascii="Cambria Math" w:hAnsi="Cambria Math"/>
                      </w:rPr>
                      <m:t>t</m:t>
                    </m:r>
                  </m:sub>
                </m:sSub>
                <m:r>
                  <w:rPr>
                    <w:rFonts w:ascii="Cambria Math" w:hAnsi="Cambria Math"/>
                  </w:rPr>
                  <m:t>=2.55×</m:t>
                </m:r>
                <m:sSup>
                  <m:sSupPr>
                    <m:ctrlPr>
                      <w:rPr>
                        <w:rFonts w:ascii="Cambria Math" w:hAnsi="Cambria Math"/>
                      </w:rPr>
                    </m:ctrlPr>
                  </m:sSupPr>
                  <m:e>
                    <m:r>
                      <w:rPr>
                        <w:rFonts w:ascii="Cambria Math" w:hAnsi="Cambria Math"/>
                      </w:rPr>
                      <m:t>10</m:t>
                    </m:r>
                  </m:e>
                  <m:sup>
                    <m:r>
                      <w:rPr>
                        <w:rFonts w:ascii="Cambria Math" w:hAnsi="Cambria Math"/>
                      </w:rPr>
                      <m:t>-4</m:t>
                    </m:r>
                  </m:sup>
                </m:sSup>
                <m:r>
                  <w:rPr>
                    <w:rFonts w:ascii="Cambria Math" w:hAnsi="Cambria Math"/>
                  </w:rPr>
                  <m:t>+0.66</m:t>
                </m:r>
                <m:sSub>
                  <m:sSubPr>
                    <m:ctrlPr>
                      <w:rPr>
                        <w:rFonts w:ascii="Cambria Math" w:hAnsi="Cambria Math"/>
                      </w:rPr>
                    </m:ctrlPr>
                  </m:sSubPr>
                  <m:e>
                    <m:r>
                      <w:rPr>
                        <w:rFonts w:ascii="Cambria Math" w:hAnsi="Cambria Math"/>
                      </w:rPr>
                      <m:t>h</m:t>
                    </m:r>
                  </m:e>
                  <m:sub>
                    <m:r>
                      <w:rPr>
                        <w:rFonts w:ascii="Cambria Math" w:hAnsi="Cambria Math"/>
                      </w:rPr>
                      <m:t>t-1</m:t>
                    </m:r>
                  </m:sub>
                </m:sSub>
                <m:r>
                  <w:rPr>
                    <w:rFonts w:ascii="Cambria Math" w:hAnsi="Cambria Math"/>
                  </w:rPr>
                  <m:t>+0.11</m:t>
                </m:r>
                <m:sSubSup>
                  <m:sSubSupPr>
                    <m:ctrlPr>
                      <w:rPr>
                        <w:rFonts w:ascii="Cambria Math" w:hAnsi="Cambria Math"/>
                      </w:rPr>
                    </m:ctrlPr>
                  </m:sSubSupPr>
                  <m:e>
                    <m:r>
                      <w:rPr>
                        <w:rFonts w:ascii="Cambria Math" w:hAnsi="Cambria Math"/>
                      </w:rPr>
                      <m:t>ε</m:t>
                    </m:r>
                  </m:e>
                  <m:sub>
                    <m:r>
                      <w:rPr>
                        <w:rFonts w:ascii="Cambria Math" w:hAnsi="Cambria Math"/>
                      </w:rPr>
                      <m:t>t-1</m:t>
                    </m:r>
                  </m:sub>
                  <m:sup>
                    <m:r>
                      <w:rPr>
                        <w:rFonts w:ascii="Cambria Math" w:hAnsi="Cambria Math"/>
                      </w:rPr>
                      <m:t>2</m:t>
                    </m:r>
                  </m:sup>
                </m:sSubSup>
                <m:r>
                  <w:rPr>
                    <w:rFonts w:ascii="Cambria Math" w:hAnsi="Cambria Math"/>
                  </w:rPr>
                  <m:t>+</m:t>
                </m:r>
                <m:sSub>
                  <m:sSubPr>
                    <m:ctrlPr>
                      <w:rPr>
                        <w:rFonts w:ascii="Cambria Math" w:hAnsi="Cambria Math"/>
                      </w:rPr>
                    </m:ctrlPr>
                  </m:sSubPr>
                  <m:e>
                    <m:r>
                      <w:rPr>
                        <w:rFonts w:ascii="Cambria Math" w:hAnsi="Cambria Math"/>
                      </w:rPr>
                      <m:t>ε</m:t>
                    </m:r>
                  </m:e>
                  <m:sub>
                    <m:r>
                      <w:rPr>
                        <w:rFonts w:ascii="Cambria Math" w:hAnsi="Cambria Math"/>
                      </w:rPr>
                      <m:t>t</m:t>
                    </m:r>
                  </m:sub>
                </m:sSub>
              </m:oMath>
            </m:oMathPara>
          </w:p>
        </w:tc>
      </w:tr>
      <w:tr w:rsidR="00DD760D" w:rsidRPr="00221AAF" w:rsidTr="00221AAF">
        <w:trPr>
          <w:jc w:val="center"/>
        </w:trPr>
        <w:tc>
          <w:tcPr>
            <w:tcW w:w="0" w:type="auto"/>
          </w:tcPr>
          <w:p w:rsidR="00DD760D" w:rsidRPr="00221AAF" w:rsidRDefault="00221AAF" w:rsidP="00221AAF">
            <w:pPr>
              <w:pStyle w:val="Compact"/>
            </w:pPr>
            <w:r w:rsidRPr="00221AAF">
              <w:t>Senegal</w:t>
            </w:r>
          </w:p>
        </w:tc>
        <w:tc>
          <w:tcPr>
            <w:tcW w:w="0" w:type="auto"/>
          </w:tcPr>
          <w:p w:rsidR="00DD760D" w:rsidRPr="00221AAF" w:rsidRDefault="00221AAF" w:rsidP="00221AAF">
            <w:pPr>
              <w:pStyle w:val="Compact"/>
            </w:pPr>
            <w:r w:rsidRPr="00221AAF">
              <w:t>GARCH(1,1)</w:t>
            </w:r>
          </w:p>
        </w:tc>
        <w:tc>
          <w:tcPr>
            <w:tcW w:w="0" w:type="auto"/>
          </w:tcPr>
          <w:p w:rsidR="00DD760D" w:rsidRPr="00221AAF" w:rsidRDefault="00221AAF" w:rsidP="00221AAF">
            <w:pPr>
              <w:pStyle w:val="Compact"/>
            </w:pPr>
            <m:oMathPara>
              <m:oMath>
                <m:sSub>
                  <m:sSubPr>
                    <m:ctrlPr>
                      <w:rPr>
                        <w:rFonts w:ascii="Cambria Math" w:hAnsi="Cambria Math"/>
                      </w:rPr>
                    </m:ctrlPr>
                  </m:sSubPr>
                  <m:e>
                    <m:r>
                      <w:rPr>
                        <w:rFonts w:ascii="Cambria Math" w:hAnsi="Cambria Math"/>
                      </w:rPr>
                      <m:t>h</m:t>
                    </m:r>
                  </m:e>
                  <m:sub>
                    <m:r>
                      <w:rPr>
                        <w:rFonts w:ascii="Cambria Math" w:hAnsi="Cambria Math"/>
                      </w:rPr>
                      <m:t>t</m:t>
                    </m:r>
                  </m:sub>
                </m:sSub>
                <m:r>
                  <w:rPr>
                    <w:rFonts w:ascii="Cambria Math" w:hAnsi="Cambria Math"/>
                  </w:rPr>
                  <m:t>=4.36×</m:t>
                </m:r>
                <m:sSup>
                  <m:sSupPr>
                    <m:ctrlPr>
                      <w:rPr>
                        <w:rFonts w:ascii="Cambria Math" w:hAnsi="Cambria Math"/>
                      </w:rPr>
                    </m:ctrlPr>
                  </m:sSupPr>
                  <m:e>
                    <m:r>
                      <w:rPr>
                        <w:rFonts w:ascii="Cambria Math" w:hAnsi="Cambria Math"/>
                      </w:rPr>
                      <m:t>10</m:t>
                    </m:r>
                  </m:e>
                  <m:sup>
                    <m:r>
                      <w:rPr>
                        <w:rFonts w:ascii="Cambria Math" w:hAnsi="Cambria Math"/>
                      </w:rPr>
                      <m:t>-6</m:t>
                    </m:r>
                  </m:sup>
                </m:sSup>
                <m:r>
                  <w:rPr>
                    <w:rFonts w:ascii="Cambria Math" w:hAnsi="Cambria Math"/>
                  </w:rPr>
                  <m:t>+1.042</m:t>
                </m:r>
                <m:sSub>
                  <m:sSubPr>
                    <m:ctrlPr>
                      <w:rPr>
                        <w:rFonts w:ascii="Cambria Math" w:hAnsi="Cambria Math"/>
                      </w:rPr>
                    </m:ctrlPr>
                  </m:sSubPr>
                  <m:e>
                    <m:r>
                      <w:rPr>
                        <w:rFonts w:ascii="Cambria Math" w:hAnsi="Cambria Math"/>
                      </w:rPr>
                      <m:t>h</m:t>
                    </m:r>
                  </m:e>
                  <m:sub>
                    <m:r>
                      <w:rPr>
                        <w:rFonts w:ascii="Cambria Math" w:hAnsi="Cambria Math"/>
                      </w:rPr>
                      <m:t>t-1</m:t>
                    </m:r>
                  </m:sub>
                </m:sSub>
                <m:r>
                  <w:rPr>
                    <w:rFonts w:ascii="Cambria Math" w:hAnsi="Cambria Math"/>
                  </w:rPr>
                  <m:t>-0.09</m:t>
                </m:r>
                <m:sSubSup>
                  <m:sSubSupPr>
                    <m:ctrlPr>
                      <w:rPr>
                        <w:rFonts w:ascii="Cambria Math" w:hAnsi="Cambria Math"/>
                      </w:rPr>
                    </m:ctrlPr>
                  </m:sSubSupPr>
                  <m:e>
                    <m:r>
                      <w:rPr>
                        <w:rFonts w:ascii="Cambria Math" w:hAnsi="Cambria Math"/>
                      </w:rPr>
                      <m:t>ε</m:t>
                    </m:r>
                  </m:e>
                  <m:sub>
                    <m:r>
                      <w:rPr>
                        <w:rFonts w:ascii="Cambria Math" w:hAnsi="Cambria Math"/>
                      </w:rPr>
                      <m:t>t-1</m:t>
                    </m:r>
                  </m:sub>
                  <m:sup>
                    <m:r>
                      <w:rPr>
                        <w:rFonts w:ascii="Cambria Math" w:hAnsi="Cambria Math"/>
                      </w:rPr>
                      <m:t>2</m:t>
                    </m:r>
                  </m:sup>
                </m:sSubSup>
                <m:r>
                  <w:rPr>
                    <w:rFonts w:ascii="Cambria Math" w:hAnsi="Cambria Math"/>
                  </w:rPr>
                  <m:t>+</m:t>
                </m:r>
                <m:sSub>
                  <m:sSubPr>
                    <m:ctrlPr>
                      <w:rPr>
                        <w:rFonts w:ascii="Cambria Math" w:hAnsi="Cambria Math"/>
                      </w:rPr>
                    </m:ctrlPr>
                  </m:sSubPr>
                  <m:e>
                    <m:r>
                      <w:rPr>
                        <w:rFonts w:ascii="Cambria Math" w:hAnsi="Cambria Math"/>
                      </w:rPr>
                      <m:t>ε</m:t>
                    </m:r>
                  </m:e>
                  <m:sub>
                    <m:r>
                      <w:rPr>
                        <w:rFonts w:ascii="Cambria Math" w:hAnsi="Cambria Math"/>
                      </w:rPr>
                      <m:t>t</m:t>
                    </m:r>
                  </m:sub>
                </m:sSub>
              </m:oMath>
            </m:oMathPara>
          </w:p>
        </w:tc>
      </w:tr>
      <w:tr w:rsidR="00DD760D" w:rsidRPr="00221AAF" w:rsidTr="00221AAF">
        <w:trPr>
          <w:jc w:val="center"/>
        </w:trPr>
        <w:tc>
          <w:tcPr>
            <w:tcW w:w="0" w:type="auto"/>
          </w:tcPr>
          <w:p w:rsidR="00DD760D" w:rsidRPr="00221AAF" w:rsidRDefault="00221AAF" w:rsidP="00221AAF">
            <w:pPr>
              <w:pStyle w:val="Compact"/>
            </w:pPr>
            <w:r w:rsidRPr="00221AAF">
              <w:t>Niger</w:t>
            </w:r>
          </w:p>
        </w:tc>
        <w:tc>
          <w:tcPr>
            <w:tcW w:w="0" w:type="auto"/>
          </w:tcPr>
          <w:p w:rsidR="00DD760D" w:rsidRPr="00221AAF" w:rsidRDefault="00221AAF" w:rsidP="00221AAF">
            <w:pPr>
              <w:pStyle w:val="Compact"/>
            </w:pPr>
            <w:r w:rsidRPr="00221AAF">
              <w:t>GARCH(1,1)</w:t>
            </w:r>
          </w:p>
        </w:tc>
        <w:tc>
          <w:tcPr>
            <w:tcW w:w="0" w:type="auto"/>
          </w:tcPr>
          <w:p w:rsidR="00DD760D" w:rsidRPr="00221AAF" w:rsidRDefault="00221AAF" w:rsidP="00221AAF">
            <w:pPr>
              <w:pStyle w:val="Compact"/>
            </w:pPr>
            <m:oMathPara>
              <m:oMath>
                <m:sSub>
                  <m:sSubPr>
                    <m:ctrlPr>
                      <w:rPr>
                        <w:rFonts w:ascii="Cambria Math" w:hAnsi="Cambria Math"/>
                      </w:rPr>
                    </m:ctrlPr>
                  </m:sSubPr>
                  <m:e>
                    <m:r>
                      <w:rPr>
                        <w:rFonts w:ascii="Cambria Math" w:hAnsi="Cambria Math"/>
                      </w:rPr>
                      <m:t>h</m:t>
                    </m:r>
                  </m:e>
                  <m:sub>
                    <m:r>
                      <w:rPr>
                        <w:rFonts w:ascii="Cambria Math" w:hAnsi="Cambria Math"/>
                      </w:rPr>
                      <m:t>t</m:t>
                    </m:r>
                  </m:sub>
                </m:sSub>
                <m:r>
                  <w:rPr>
                    <w:rFonts w:ascii="Cambria Math" w:hAnsi="Cambria Math"/>
                  </w:rPr>
                  <m:t>=7.33×</m:t>
                </m:r>
                <m:sSup>
                  <m:sSupPr>
                    <m:ctrlPr>
                      <w:rPr>
                        <w:rFonts w:ascii="Cambria Math" w:hAnsi="Cambria Math"/>
                      </w:rPr>
                    </m:ctrlPr>
                  </m:sSupPr>
                  <m:e>
                    <m:r>
                      <w:rPr>
                        <w:rFonts w:ascii="Cambria Math" w:hAnsi="Cambria Math"/>
                      </w:rPr>
                      <m:t>10</m:t>
                    </m:r>
                  </m:e>
                  <m:sup>
                    <m:r>
                      <w:rPr>
                        <w:rFonts w:ascii="Cambria Math" w:hAnsi="Cambria Math"/>
                      </w:rPr>
                      <m:t>-6</m:t>
                    </m:r>
                  </m:sup>
                </m:sSup>
                <m:r>
                  <w:rPr>
                    <w:rFonts w:ascii="Cambria Math" w:hAnsi="Cambria Math"/>
                  </w:rPr>
                  <m:t>+1.05</m:t>
                </m:r>
                <m:sSub>
                  <m:sSubPr>
                    <m:ctrlPr>
                      <w:rPr>
                        <w:rFonts w:ascii="Cambria Math" w:hAnsi="Cambria Math"/>
                      </w:rPr>
                    </m:ctrlPr>
                  </m:sSubPr>
                  <m:e>
                    <m:r>
                      <w:rPr>
                        <w:rFonts w:ascii="Cambria Math" w:hAnsi="Cambria Math"/>
                      </w:rPr>
                      <m:t>h</m:t>
                    </m:r>
                  </m:e>
                  <m:sub>
                    <m:r>
                      <w:rPr>
                        <w:rFonts w:ascii="Cambria Math" w:hAnsi="Cambria Math"/>
                      </w:rPr>
                      <m:t>t-1</m:t>
                    </m:r>
                  </m:sub>
                </m:sSub>
                <m:r>
                  <w:rPr>
                    <w:rFonts w:ascii="Cambria Math" w:hAnsi="Cambria Math"/>
                  </w:rPr>
                  <m:t>-0.08</m:t>
                </m:r>
                <m:sSubSup>
                  <m:sSubSupPr>
                    <m:ctrlPr>
                      <w:rPr>
                        <w:rFonts w:ascii="Cambria Math" w:hAnsi="Cambria Math"/>
                      </w:rPr>
                    </m:ctrlPr>
                  </m:sSubSupPr>
                  <m:e>
                    <m:r>
                      <w:rPr>
                        <w:rFonts w:ascii="Cambria Math" w:hAnsi="Cambria Math"/>
                      </w:rPr>
                      <m:t>ε</m:t>
                    </m:r>
                  </m:e>
                  <m:sub>
                    <m:r>
                      <w:rPr>
                        <w:rFonts w:ascii="Cambria Math" w:hAnsi="Cambria Math"/>
                      </w:rPr>
                      <m:t>t-1</m:t>
                    </m:r>
                  </m:sub>
                  <m:sup>
                    <m:r>
                      <w:rPr>
                        <w:rFonts w:ascii="Cambria Math" w:hAnsi="Cambria Math"/>
                      </w:rPr>
                      <m:t>2</m:t>
                    </m:r>
                  </m:sup>
                </m:sSubSup>
                <m:r>
                  <w:rPr>
                    <w:rFonts w:ascii="Cambria Math" w:hAnsi="Cambria Math"/>
                  </w:rPr>
                  <m:t>+</m:t>
                </m:r>
                <m:sSub>
                  <m:sSubPr>
                    <m:ctrlPr>
                      <w:rPr>
                        <w:rFonts w:ascii="Cambria Math" w:hAnsi="Cambria Math"/>
                      </w:rPr>
                    </m:ctrlPr>
                  </m:sSubPr>
                  <m:e>
                    <m:r>
                      <w:rPr>
                        <w:rFonts w:ascii="Cambria Math" w:hAnsi="Cambria Math"/>
                      </w:rPr>
                      <m:t>ε</m:t>
                    </m:r>
                  </m:e>
                  <m:sub>
                    <m:r>
                      <w:rPr>
                        <w:rFonts w:ascii="Cambria Math" w:hAnsi="Cambria Math"/>
                      </w:rPr>
                      <m:t>t</m:t>
                    </m:r>
                  </m:sub>
                </m:sSub>
              </m:oMath>
            </m:oMathPara>
          </w:p>
        </w:tc>
      </w:tr>
      <w:tr w:rsidR="00DD760D" w:rsidRPr="00221AAF" w:rsidTr="00221AAF">
        <w:trPr>
          <w:jc w:val="center"/>
        </w:trPr>
        <w:tc>
          <w:tcPr>
            <w:tcW w:w="0" w:type="auto"/>
          </w:tcPr>
          <w:p w:rsidR="00DD760D" w:rsidRPr="00221AAF" w:rsidRDefault="00221AAF" w:rsidP="00221AAF">
            <w:pPr>
              <w:pStyle w:val="Compact"/>
            </w:pPr>
            <w:r w:rsidRPr="00221AAF">
              <w:t>Burkina Faso</w:t>
            </w:r>
          </w:p>
        </w:tc>
        <w:tc>
          <w:tcPr>
            <w:tcW w:w="0" w:type="auto"/>
          </w:tcPr>
          <w:p w:rsidR="00DD760D" w:rsidRPr="00221AAF" w:rsidRDefault="00221AAF" w:rsidP="00221AAF">
            <w:pPr>
              <w:pStyle w:val="Compact"/>
            </w:pPr>
            <w:r w:rsidRPr="00221AAF">
              <w:t>GARCH(1,1)</w:t>
            </w:r>
          </w:p>
        </w:tc>
        <w:tc>
          <w:tcPr>
            <w:tcW w:w="0" w:type="auto"/>
          </w:tcPr>
          <w:p w:rsidR="00DD760D" w:rsidRPr="00221AAF" w:rsidRDefault="00221AAF" w:rsidP="00221AAF">
            <w:pPr>
              <w:pStyle w:val="Compact"/>
            </w:pPr>
            <m:oMathPara>
              <m:oMath>
                <m:sSub>
                  <m:sSubPr>
                    <m:ctrlPr>
                      <w:rPr>
                        <w:rFonts w:ascii="Cambria Math" w:hAnsi="Cambria Math"/>
                      </w:rPr>
                    </m:ctrlPr>
                  </m:sSubPr>
                  <m:e>
                    <m:r>
                      <w:rPr>
                        <w:rFonts w:ascii="Cambria Math" w:hAnsi="Cambria Math"/>
                      </w:rPr>
                      <m:t>h</m:t>
                    </m:r>
                  </m:e>
                  <m:sub>
                    <m:r>
                      <w:rPr>
                        <w:rFonts w:ascii="Cambria Math" w:hAnsi="Cambria Math"/>
                      </w:rPr>
                      <m:t>t</m:t>
                    </m:r>
                  </m:sub>
                </m:sSub>
                <m:r>
                  <w:rPr>
                    <w:rFonts w:ascii="Cambria Math" w:hAnsi="Cambria Math"/>
                  </w:rPr>
                  <m:t>=8.91×</m:t>
                </m:r>
                <m:sSup>
                  <m:sSupPr>
                    <m:ctrlPr>
                      <w:rPr>
                        <w:rFonts w:ascii="Cambria Math" w:hAnsi="Cambria Math"/>
                      </w:rPr>
                    </m:ctrlPr>
                  </m:sSupPr>
                  <m:e>
                    <m:r>
                      <w:rPr>
                        <w:rFonts w:ascii="Cambria Math" w:hAnsi="Cambria Math"/>
                      </w:rPr>
                      <m:t>10</m:t>
                    </m:r>
                  </m:e>
                  <m:sup>
                    <m:r>
                      <w:rPr>
                        <w:rFonts w:ascii="Cambria Math" w:hAnsi="Cambria Math"/>
                      </w:rPr>
                      <m:t>-6</m:t>
                    </m:r>
                  </m:sup>
                </m:sSup>
                <m:r>
                  <w:rPr>
                    <w:rFonts w:ascii="Cambria Math" w:hAnsi="Cambria Math"/>
                  </w:rPr>
                  <m:t>+0.87</m:t>
                </m:r>
                <m:sSub>
                  <m:sSubPr>
                    <m:ctrlPr>
                      <w:rPr>
                        <w:rFonts w:ascii="Cambria Math" w:hAnsi="Cambria Math"/>
                      </w:rPr>
                    </m:ctrlPr>
                  </m:sSubPr>
                  <m:e>
                    <m:r>
                      <w:rPr>
                        <w:rFonts w:ascii="Cambria Math" w:hAnsi="Cambria Math"/>
                      </w:rPr>
                      <m:t>h</m:t>
                    </m:r>
                  </m:e>
                  <m:sub>
                    <m:r>
                      <w:rPr>
                        <w:rFonts w:ascii="Cambria Math" w:hAnsi="Cambria Math"/>
                      </w:rPr>
                      <m:t>t-1</m:t>
                    </m:r>
                  </m:sub>
                </m:sSub>
                <m:r>
                  <w:rPr>
                    <w:rFonts w:ascii="Cambria Math" w:hAnsi="Cambria Math"/>
                  </w:rPr>
                  <m:t>+0.07</m:t>
                </m:r>
                <m:sSubSup>
                  <m:sSubSupPr>
                    <m:ctrlPr>
                      <w:rPr>
                        <w:rFonts w:ascii="Cambria Math" w:hAnsi="Cambria Math"/>
                      </w:rPr>
                    </m:ctrlPr>
                  </m:sSubSupPr>
                  <m:e>
                    <m:r>
                      <w:rPr>
                        <w:rFonts w:ascii="Cambria Math" w:hAnsi="Cambria Math"/>
                      </w:rPr>
                      <m:t>ε</m:t>
                    </m:r>
                  </m:e>
                  <m:sub>
                    <m:r>
                      <w:rPr>
                        <w:rFonts w:ascii="Cambria Math" w:hAnsi="Cambria Math"/>
                      </w:rPr>
                      <m:t>t-1</m:t>
                    </m:r>
                  </m:sub>
                  <m:sup>
                    <m:r>
                      <w:rPr>
                        <w:rFonts w:ascii="Cambria Math" w:hAnsi="Cambria Math"/>
                      </w:rPr>
                      <m:t>2</m:t>
                    </m:r>
                  </m:sup>
                </m:sSubSup>
                <m:r>
                  <w:rPr>
                    <w:rFonts w:ascii="Cambria Math" w:hAnsi="Cambria Math"/>
                  </w:rPr>
                  <m:t>+</m:t>
                </m:r>
                <m:sSub>
                  <m:sSubPr>
                    <m:ctrlPr>
                      <w:rPr>
                        <w:rFonts w:ascii="Cambria Math" w:hAnsi="Cambria Math"/>
                      </w:rPr>
                    </m:ctrlPr>
                  </m:sSubPr>
                  <m:e>
                    <m:r>
                      <w:rPr>
                        <w:rFonts w:ascii="Cambria Math" w:hAnsi="Cambria Math"/>
                      </w:rPr>
                      <m:t>ε</m:t>
                    </m:r>
                  </m:e>
                  <m:sub>
                    <m:r>
                      <w:rPr>
                        <w:rFonts w:ascii="Cambria Math" w:hAnsi="Cambria Math"/>
                      </w:rPr>
                      <m:t>t</m:t>
                    </m:r>
                  </m:sub>
                </m:sSub>
              </m:oMath>
            </m:oMathPara>
          </w:p>
        </w:tc>
      </w:tr>
      <w:tr w:rsidR="00DD760D" w:rsidRPr="00221AAF" w:rsidTr="00221AAF">
        <w:trPr>
          <w:jc w:val="center"/>
        </w:trPr>
        <w:tc>
          <w:tcPr>
            <w:tcW w:w="0" w:type="auto"/>
          </w:tcPr>
          <w:p w:rsidR="00DD760D" w:rsidRPr="00221AAF" w:rsidRDefault="00221AAF" w:rsidP="00221AAF">
            <w:pPr>
              <w:pStyle w:val="Compact"/>
            </w:pPr>
            <w:r w:rsidRPr="00221AAF">
              <w:t>Cote D’Ivoire</w:t>
            </w:r>
          </w:p>
        </w:tc>
        <w:tc>
          <w:tcPr>
            <w:tcW w:w="0" w:type="auto"/>
          </w:tcPr>
          <w:p w:rsidR="00DD760D" w:rsidRPr="00221AAF" w:rsidRDefault="00221AAF" w:rsidP="00221AAF">
            <w:pPr>
              <w:pStyle w:val="Compact"/>
            </w:pPr>
            <w:r w:rsidRPr="00221AAF">
              <w:t>TARCH(1,1,1)</w:t>
            </w:r>
          </w:p>
        </w:tc>
        <w:tc>
          <w:tcPr>
            <w:tcW w:w="0" w:type="auto"/>
          </w:tcPr>
          <w:p w:rsidR="00DD760D" w:rsidRPr="00221AAF" w:rsidRDefault="00221AAF" w:rsidP="00221AAF">
            <w:pPr>
              <w:pStyle w:val="Compact"/>
            </w:pPr>
            <m:oMathPara>
              <m:oMath>
                <m:sSub>
                  <m:sSubPr>
                    <m:ctrlPr>
                      <w:rPr>
                        <w:rFonts w:ascii="Cambria Math" w:hAnsi="Cambria Math"/>
                      </w:rPr>
                    </m:ctrlPr>
                  </m:sSubPr>
                  <m:e>
                    <m:r>
                      <w:rPr>
                        <w:rFonts w:ascii="Cambria Math" w:hAnsi="Cambria Math"/>
                      </w:rPr>
                      <m:t>h</m:t>
                    </m:r>
                  </m:e>
                  <m:sub>
                    <m:r>
                      <w:rPr>
                        <w:rFonts w:ascii="Cambria Math" w:hAnsi="Cambria Math"/>
                      </w:rPr>
                      <m:t>t</m:t>
                    </m:r>
                  </m:sub>
                </m:sSub>
                <m:r>
                  <w:rPr>
                    <w:rFonts w:ascii="Cambria Math" w:hAnsi="Cambria Math"/>
                  </w:rPr>
                  <m:t>=1.53×</m:t>
                </m:r>
                <m:sSup>
                  <m:sSupPr>
                    <m:ctrlPr>
                      <w:rPr>
                        <w:rFonts w:ascii="Cambria Math" w:hAnsi="Cambria Math"/>
                      </w:rPr>
                    </m:ctrlPr>
                  </m:sSupPr>
                  <m:e>
                    <m:r>
                      <w:rPr>
                        <w:rFonts w:ascii="Cambria Math" w:hAnsi="Cambria Math"/>
                      </w:rPr>
                      <m:t>10</m:t>
                    </m:r>
                  </m:e>
                  <m:sup>
                    <m:r>
                      <w:rPr>
                        <w:rFonts w:ascii="Cambria Math" w:hAnsi="Cambria Math"/>
                      </w:rPr>
                      <m:t>-5</m:t>
                    </m:r>
                  </m:sup>
                </m:sSup>
                <m:r>
                  <w:rPr>
                    <w:rFonts w:ascii="Cambria Math" w:hAnsi="Cambria Math"/>
                  </w:rPr>
                  <m:t>+0.80</m:t>
                </m:r>
                <m:sSub>
                  <m:sSubPr>
                    <m:ctrlPr>
                      <w:rPr>
                        <w:rFonts w:ascii="Cambria Math" w:hAnsi="Cambria Math"/>
                      </w:rPr>
                    </m:ctrlPr>
                  </m:sSubPr>
                  <m:e>
                    <m:r>
                      <w:rPr>
                        <w:rFonts w:ascii="Cambria Math" w:hAnsi="Cambria Math"/>
                      </w:rPr>
                      <m:t>h</m:t>
                    </m:r>
                  </m:e>
                  <m:sub>
                    <m:r>
                      <w:rPr>
                        <w:rFonts w:ascii="Cambria Math" w:hAnsi="Cambria Math"/>
                      </w:rPr>
                      <m:t>t-1</m:t>
                    </m:r>
                  </m:sub>
                </m:sSub>
                <m:r>
                  <w:rPr>
                    <w:rFonts w:ascii="Cambria Math" w:hAnsi="Cambria Math"/>
                  </w:rPr>
                  <m:t>+0.21</m:t>
                </m:r>
                <m:sSub>
                  <m:sSubPr>
                    <m:ctrlPr>
                      <w:rPr>
                        <w:rFonts w:ascii="Cambria Math" w:hAnsi="Cambria Math"/>
                      </w:rPr>
                    </m:ctrlPr>
                  </m:sSubPr>
                  <m:e>
                    <m:r>
                      <w:rPr>
                        <w:rFonts w:ascii="Cambria Math" w:hAnsi="Cambria Math"/>
                      </w:rPr>
                      <m:t>d</m:t>
                    </m:r>
                  </m:e>
                  <m:sub>
                    <m:r>
                      <w:rPr>
                        <w:rFonts w:ascii="Cambria Math" w:hAnsi="Cambria Math"/>
                      </w:rPr>
                      <m:t>t-1</m:t>
                    </m:r>
                  </m:sub>
                </m:sSub>
                <m:sSubSup>
                  <m:sSubSupPr>
                    <m:ctrlPr>
                      <w:rPr>
                        <w:rFonts w:ascii="Cambria Math" w:hAnsi="Cambria Math"/>
                      </w:rPr>
                    </m:ctrlPr>
                  </m:sSubSupPr>
                  <m:e>
                    <m:r>
                      <w:rPr>
                        <w:rFonts w:ascii="Cambria Math" w:hAnsi="Cambria Math"/>
                      </w:rPr>
                      <m:t>ε</m:t>
                    </m:r>
                  </m:e>
                  <m:sub>
                    <m:r>
                      <w:rPr>
                        <w:rFonts w:ascii="Cambria Math" w:hAnsi="Cambria Math"/>
                      </w:rPr>
                      <m:t>t-1</m:t>
                    </m:r>
                  </m:sub>
                  <m:sup>
                    <m:r>
                      <w:rPr>
                        <w:rFonts w:ascii="Cambria Math" w:hAnsi="Cambria Math"/>
                      </w:rPr>
                      <m:t>2</m:t>
                    </m:r>
                  </m:sup>
                </m:sSubSup>
                <m:r>
                  <w:rPr>
                    <w:rFonts w:ascii="Cambria Math" w:hAnsi="Cambria Math"/>
                  </w:rPr>
                  <m:t>-0.15</m:t>
                </m:r>
                <m:sSubSup>
                  <m:sSubSupPr>
                    <m:ctrlPr>
                      <w:rPr>
                        <w:rFonts w:ascii="Cambria Math" w:hAnsi="Cambria Math"/>
                      </w:rPr>
                    </m:ctrlPr>
                  </m:sSubSupPr>
                  <m:e>
                    <m:r>
                      <w:rPr>
                        <w:rFonts w:ascii="Cambria Math" w:hAnsi="Cambria Math"/>
                      </w:rPr>
                      <m:t>ε</m:t>
                    </m:r>
                  </m:e>
                  <m:sub>
                    <m:r>
                      <w:rPr>
                        <w:rFonts w:ascii="Cambria Math" w:hAnsi="Cambria Math"/>
                      </w:rPr>
                      <m:t>t-1</m:t>
                    </m:r>
                  </m:sub>
                  <m:sup>
                    <m:r>
                      <w:rPr>
                        <w:rFonts w:ascii="Cambria Math" w:hAnsi="Cambria Math"/>
                      </w:rPr>
                      <m:t>2</m:t>
                    </m:r>
                  </m:sup>
                </m:sSubSup>
                <m:r>
                  <w:rPr>
                    <w:rFonts w:ascii="Cambria Math" w:hAnsi="Cambria Math"/>
                  </w:rPr>
                  <m:t>+</m:t>
                </m:r>
                <m:sSub>
                  <m:sSubPr>
                    <m:ctrlPr>
                      <w:rPr>
                        <w:rFonts w:ascii="Cambria Math" w:hAnsi="Cambria Math"/>
                      </w:rPr>
                    </m:ctrlPr>
                  </m:sSubPr>
                  <m:e>
                    <m:r>
                      <w:rPr>
                        <w:rFonts w:ascii="Cambria Math" w:hAnsi="Cambria Math"/>
                      </w:rPr>
                      <m:t>ε</m:t>
                    </m:r>
                  </m:e>
                  <m:sub>
                    <m:r>
                      <w:rPr>
                        <w:rFonts w:ascii="Cambria Math" w:hAnsi="Cambria Math"/>
                      </w:rPr>
                      <m:t>t</m:t>
                    </m:r>
                  </m:sub>
                </m:sSub>
              </m:oMath>
            </m:oMathPara>
          </w:p>
        </w:tc>
      </w:tr>
      <w:tr w:rsidR="00DD760D" w:rsidRPr="00221AAF" w:rsidTr="00221AAF">
        <w:trPr>
          <w:jc w:val="center"/>
        </w:trPr>
        <w:tc>
          <w:tcPr>
            <w:tcW w:w="0" w:type="auto"/>
          </w:tcPr>
          <w:p w:rsidR="00DD760D" w:rsidRPr="00221AAF" w:rsidRDefault="00221AAF" w:rsidP="00221AAF">
            <w:pPr>
              <w:pStyle w:val="Compact"/>
            </w:pPr>
            <w:r w:rsidRPr="00221AAF">
              <w:t>Mali</w:t>
            </w:r>
          </w:p>
        </w:tc>
        <w:tc>
          <w:tcPr>
            <w:tcW w:w="0" w:type="auto"/>
          </w:tcPr>
          <w:p w:rsidR="00DD760D" w:rsidRPr="00221AAF" w:rsidRDefault="00221AAF" w:rsidP="00221AAF">
            <w:pPr>
              <w:pStyle w:val="Compact"/>
            </w:pPr>
            <w:r w:rsidRPr="00221AAF">
              <w:t>IGARCH(1,1)</w:t>
            </w:r>
          </w:p>
        </w:tc>
        <w:tc>
          <w:tcPr>
            <w:tcW w:w="0" w:type="auto"/>
          </w:tcPr>
          <w:p w:rsidR="00DD760D" w:rsidRPr="00221AAF" w:rsidRDefault="00221AAF" w:rsidP="00221AAF">
            <w:pPr>
              <w:pStyle w:val="Compact"/>
            </w:pPr>
            <m:oMathPara>
              <m:oMath>
                <m:sSub>
                  <m:sSubPr>
                    <m:ctrlPr>
                      <w:rPr>
                        <w:rFonts w:ascii="Cambria Math" w:hAnsi="Cambria Math"/>
                      </w:rPr>
                    </m:ctrlPr>
                  </m:sSubPr>
                  <m:e>
                    <m:r>
                      <w:rPr>
                        <w:rFonts w:ascii="Cambria Math" w:hAnsi="Cambria Math"/>
                      </w:rPr>
                      <m:t>h</m:t>
                    </m:r>
                  </m:e>
                  <m:sub>
                    <m:r>
                      <w:rPr>
                        <w:rFonts w:ascii="Cambria Math" w:hAnsi="Cambria Math"/>
                      </w:rPr>
                      <m:t>t</m:t>
                    </m:r>
                  </m:sub>
                </m:sSub>
                <m:r>
                  <w:rPr>
                    <w:rFonts w:ascii="Cambria Math" w:hAnsi="Cambria Math"/>
                  </w:rPr>
                  <m:t>=0.99</m:t>
                </m:r>
                <m:sSub>
                  <m:sSubPr>
                    <m:ctrlPr>
                      <w:rPr>
                        <w:rFonts w:ascii="Cambria Math" w:hAnsi="Cambria Math"/>
                      </w:rPr>
                    </m:ctrlPr>
                  </m:sSubPr>
                  <m:e>
                    <m:r>
                      <w:rPr>
                        <w:rFonts w:ascii="Cambria Math" w:hAnsi="Cambria Math"/>
                      </w:rPr>
                      <m:t>h</m:t>
                    </m:r>
                  </m:e>
                  <m:sub>
                    <m:r>
                      <w:rPr>
                        <w:rFonts w:ascii="Cambria Math" w:hAnsi="Cambria Math"/>
                      </w:rPr>
                      <m:t>t-1</m:t>
                    </m:r>
                  </m:sub>
                </m:sSub>
                <m:r>
                  <w:rPr>
                    <w:rFonts w:ascii="Cambria Math" w:hAnsi="Cambria Math"/>
                  </w:rPr>
                  <m:t>+0.01</m:t>
                </m:r>
                <m:sSubSup>
                  <m:sSubSupPr>
                    <m:ctrlPr>
                      <w:rPr>
                        <w:rFonts w:ascii="Cambria Math" w:hAnsi="Cambria Math"/>
                      </w:rPr>
                    </m:ctrlPr>
                  </m:sSubSupPr>
                  <m:e>
                    <m:r>
                      <w:rPr>
                        <w:rFonts w:ascii="Cambria Math" w:hAnsi="Cambria Math"/>
                      </w:rPr>
                      <m:t>ε</m:t>
                    </m:r>
                  </m:e>
                  <m:sub>
                    <m:r>
                      <w:rPr>
                        <w:rFonts w:ascii="Cambria Math" w:hAnsi="Cambria Math"/>
                      </w:rPr>
                      <m:t>t-1</m:t>
                    </m:r>
                  </m:sub>
                  <m:sup>
                    <m:r>
                      <w:rPr>
                        <w:rFonts w:ascii="Cambria Math" w:hAnsi="Cambria Math"/>
                      </w:rPr>
                      <m:t>2</m:t>
                    </m:r>
                  </m:sup>
                </m:sSubSup>
                <m:r>
                  <w:rPr>
                    <w:rFonts w:ascii="Cambria Math" w:hAnsi="Cambria Math"/>
                  </w:rPr>
                  <m:t>+</m:t>
                </m:r>
                <m:sSub>
                  <m:sSubPr>
                    <m:ctrlPr>
                      <w:rPr>
                        <w:rFonts w:ascii="Cambria Math" w:hAnsi="Cambria Math"/>
                      </w:rPr>
                    </m:ctrlPr>
                  </m:sSubPr>
                  <m:e>
                    <m:r>
                      <w:rPr>
                        <w:rFonts w:ascii="Cambria Math" w:hAnsi="Cambria Math"/>
                      </w:rPr>
                      <m:t>ε</m:t>
                    </m:r>
                  </m:e>
                  <m:sub>
                    <m:r>
                      <w:rPr>
                        <w:rFonts w:ascii="Cambria Math" w:hAnsi="Cambria Math"/>
                      </w:rPr>
                      <m:t>t</m:t>
                    </m:r>
                  </m:sub>
                </m:sSub>
              </m:oMath>
            </m:oMathPara>
          </w:p>
        </w:tc>
      </w:tr>
      <w:tr w:rsidR="00DD760D" w:rsidRPr="00221AAF" w:rsidTr="00221AAF">
        <w:trPr>
          <w:jc w:val="center"/>
        </w:trPr>
        <w:tc>
          <w:tcPr>
            <w:tcW w:w="0" w:type="auto"/>
          </w:tcPr>
          <w:p w:rsidR="00DD760D" w:rsidRPr="00221AAF" w:rsidRDefault="00221AAF" w:rsidP="00221AAF">
            <w:pPr>
              <w:pStyle w:val="Compact"/>
            </w:pPr>
            <w:r w:rsidRPr="00221AAF">
              <w:t>Benin</w:t>
            </w:r>
          </w:p>
        </w:tc>
        <w:tc>
          <w:tcPr>
            <w:tcW w:w="0" w:type="auto"/>
          </w:tcPr>
          <w:p w:rsidR="00DD760D" w:rsidRPr="00221AAF" w:rsidRDefault="00221AAF" w:rsidP="00221AAF">
            <w:pPr>
              <w:pStyle w:val="Compact"/>
            </w:pPr>
            <w:r w:rsidRPr="00221AAF">
              <w:t>GARCH(1,1)</w:t>
            </w:r>
          </w:p>
        </w:tc>
        <w:tc>
          <w:tcPr>
            <w:tcW w:w="0" w:type="auto"/>
          </w:tcPr>
          <w:p w:rsidR="00DD760D" w:rsidRPr="00221AAF" w:rsidRDefault="00221AAF" w:rsidP="00221AAF">
            <w:pPr>
              <w:pStyle w:val="Compact"/>
            </w:pPr>
            <m:oMathPara>
              <m:oMath>
                <m:sSub>
                  <m:sSubPr>
                    <m:ctrlPr>
                      <w:rPr>
                        <w:rFonts w:ascii="Cambria Math" w:hAnsi="Cambria Math"/>
                      </w:rPr>
                    </m:ctrlPr>
                  </m:sSubPr>
                  <m:e>
                    <m:r>
                      <w:rPr>
                        <w:rFonts w:ascii="Cambria Math" w:hAnsi="Cambria Math"/>
                      </w:rPr>
                      <m:t>h</m:t>
                    </m:r>
                  </m:e>
                  <m:sub>
                    <m:r>
                      <w:rPr>
                        <w:rFonts w:ascii="Cambria Math" w:hAnsi="Cambria Math"/>
                      </w:rPr>
                      <m:t>t</m:t>
                    </m:r>
                  </m:sub>
                </m:sSub>
                <m:r>
                  <w:rPr>
                    <w:rFonts w:ascii="Cambria Math" w:hAnsi="Cambria Math"/>
                  </w:rPr>
                  <m:t>=1.69×</m:t>
                </m:r>
                <m:sSup>
                  <m:sSupPr>
                    <m:ctrlPr>
                      <w:rPr>
                        <w:rFonts w:ascii="Cambria Math" w:hAnsi="Cambria Math"/>
                      </w:rPr>
                    </m:ctrlPr>
                  </m:sSupPr>
                  <m:e>
                    <m:r>
                      <w:rPr>
                        <w:rFonts w:ascii="Cambria Math" w:hAnsi="Cambria Math"/>
                      </w:rPr>
                      <m:t>10</m:t>
                    </m:r>
                  </m:e>
                  <m:sup>
                    <m:r>
                      <w:rPr>
                        <w:rFonts w:ascii="Cambria Math" w:hAnsi="Cambria Math"/>
                      </w:rPr>
                      <m:t>-5</m:t>
                    </m:r>
                  </m:sup>
                </m:sSup>
                <m:r>
                  <w:rPr>
                    <w:rFonts w:ascii="Cambria Math" w:hAnsi="Cambria Math"/>
                  </w:rPr>
                  <m:t>+0.92</m:t>
                </m:r>
                <m:sSub>
                  <m:sSubPr>
                    <m:ctrlPr>
                      <w:rPr>
                        <w:rFonts w:ascii="Cambria Math" w:hAnsi="Cambria Math"/>
                      </w:rPr>
                    </m:ctrlPr>
                  </m:sSubPr>
                  <m:e>
                    <m:r>
                      <w:rPr>
                        <w:rFonts w:ascii="Cambria Math" w:hAnsi="Cambria Math"/>
                      </w:rPr>
                      <m:t>h</m:t>
                    </m:r>
                  </m:e>
                  <m:sub>
                    <m:r>
                      <w:rPr>
                        <w:rFonts w:ascii="Cambria Math" w:hAnsi="Cambria Math"/>
                      </w:rPr>
                      <m:t>t-1</m:t>
                    </m:r>
                  </m:sub>
                </m:sSub>
                <m:r>
                  <w:rPr>
                    <w:rFonts w:ascii="Cambria Math" w:hAnsi="Cambria Math"/>
                  </w:rPr>
                  <m:t>-0.03</m:t>
                </m:r>
                <m:sSubSup>
                  <m:sSubSupPr>
                    <m:ctrlPr>
                      <w:rPr>
                        <w:rFonts w:ascii="Cambria Math" w:hAnsi="Cambria Math"/>
                      </w:rPr>
                    </m:ctrlPr>
                  </m:sSubSupPr>
                  <m:e>
                    <m:r>
                      <w:rPr>
                        <w:rFonts w:ascii="Cambria Math" w:hAnsi="Cambria Math"/>
                      </w:rPr>
                      <m:t>ε</m:t>
                    </m:r>
                  </m:e>
                  <m:sub>
                    <m:r>
                      <w:rPr>
                        <w:rFonts w:ascii="Cambria Math" w:hAnsi="Cambria Math"/>
                      </w:rPr>
                      <m:t>t-1</m:t>
                    </m:r>
                  </m:sub>
                  <m:sup>
                    <m:r>
                      <w:rPr>
                        <w:rFonts w:ascii="Cambria Math" w:hAnsi="Cambria Math"/>
                      </w:rPr>
                      <m:t>2</m:t>
                    </m:r>
                  </m:sup>
                </m:sSubSup>
                <m:r>
                  <w:rPr>
                    <w:rFonts w:ascii="Cambria Math" w:hAnsi="Cambria Math"/>
                  </w:rPr>
                  <m:t>+</m:t>
                </m:r>
                <m:sSub>
                  <m:sSubPr>
                    <m:ctrlPr>
                      <w:rPr>
                        <w:rFonts w:ascii="Cambria Math" w:hAnsi="Cambria Math"/>
                      </w:rPr>
                    </m:ctrlPr>
                  </m:sSubPr>
                  <m:e>
                    <m:r>
                      <w:rPr>
                        <w:rFonts w:ascii="Cambria Math" w:hAnsi="Cambria Math"/>
                      </w:rPr>
                      <m:t>ε</m:t>
                    </m:r>
                  </m:e>
                  <m:sub>
                    <m:r>
                      <w:rPr>
                        <w:rFonts w:ascii="Cambria Math" w:hAnsi="Cambria Math"/>
                      </w:rPr>
                      <m:t>t</m:t>
                    </m:r>
                  </m:sub>
                </m:sSub>
              </m:oMath>
            </m:oMathPara>
          </w:p>
        </w:tc>
      </w:tr>
      <w:tr w:rsidR="00DD760D" w:rsidRPr="00221AAF" w:rsidTr="00221AAF">
        <w:trPr>
          <w:jc w:val="center"/>
        </w:trPr>
        <w:tc>
          <w:tcPr>
            <w:tcW w:w="0" w:type="auto"/>
          </w:tcPr>
          <w:p w:rsidR="00DD760D" w:rsidRPr="00221AAF" w:rsidRDefault="00221AAF" w:rsidP="00221AAF">
            <w:pPr>
              <w:pStyle w:val="Compact"/>
            </w:pPr>
            <w:r w:rsidRPr="00221AAF">
              <w:t>Togo</w:t>
            </w:r>
          </w:p>
        </w:tc>
        <w:tc>
          <w:tcPr>
            <w:tcW w:w="0" w:type="auto"/>
          </w:tcPr>
          <w:p w:rsidR="00DD760D" w:rsidRPr="00221AAF" w:rsidRDefault="00221AAF" w:rsidP="00221AAF">
            <w:pPr>
              <w:pStyle w:val="Compact"/>
            </w:pPr>
            <w:r w:rsidRPr="00221AAF">
              <w:t>GARCH(1,1)</w:t>
            </w:r>
          </w:p>
        </w:tc>
        <w:tc>
          <w:tcPr>
            <w:tcW w:w="0" w:type="auto"/>
          </w:tcPr>
          <w:p w:rsidR="00DD760D" w:rsidRPr="00221AAF" w:rsidRDefault="00221AAF" w:rsidP="00221AAF">
            <w:pPr>
              <w:pStyle w:val="Compact"/>
            </w:pPr>
            <m:oMathPara>
              <m:oMath>
                <m:sSub>
                  <m:sSubPr>
                    <m:ctrlPr>
                      <w:rPr>
                        <w:rFonts w:ascii="Cambria Math" w:hAnsi="Cambria Math"/>
                      </w:rPr>
                    </m:ctrlPr>
                  </m:sSubPr>
                  <m:e>
                    <m:r>
                      <w:rPr>
                        <w:rFonts w:ascii="Cambria Math" w:hAnsi="Cambria Math"/>
                      </w:rPr>
                      <m:t>h</m:t>
                    </m:r>
                  </m:e>
                  <m:sub>
                    <m:r>
                      <w:rPr>
                        <w:rFonts w:ascii="Cambria Math" w:hAnsi="Cambria Math"/>
                      </w:rPr>
                      <m:t>t</m:t>
                    </m:r>
                  </m:sub>
                </m:sSub>
                <m:r>
                  <w:rPr>
                    <w:rFonts w:ascii="Cambria Math" w:hAnsi="Cambria Math"/>
                  </w:rPr>
                  <m:t>=2.65×</m:t>
                </m:r>
                <m:sSup>
                  <m:sSupPr>
                    <m:ctrlPr>
                      <w:rPr>
                        <w:rFonts w:ascii="Cambria Math" w:hAnsi="Cambria Math"/>
                      </w:rPr>
                    </m:ctrlPr>
                  </m:sSupPr>
                  <m:e>
                    <m:r>
                      <w:rPr>
                        <w:rFonts w:ascii="Cambria Math" w:hAnsi="Cambria Math"/>
                      </w:rPr>
                      <m:t>10</m:t>
                    </m:r>
                  </m:e>
                  <m:sup>
                    <m:r>
                      <w:rPr>
                        <w:rFonts w:ascii="Cambria Math" w:hAnsi="Cambria Math"/>
                      </w:rPr>
                      <m:t>-6</m:t>
                    </m:r>
                  </m:sup>
                </m:sSup>
                <m:r>
                  <w:rPr>
                    <w:rFonts w:ascii="Cambria Math" w:hAnsi="Cambria Math"/>
                  </w:rPr>
                  <m:t>+0.88</m:t>
                </m:r>
                <m:sSub>
                  <m:sSubPr>
                    <m:ctrlPr>
                      <w:rPr>
                        <w:rFonts w:ascii="Cambria Math" w:hAnsi="Cambria Math"/>
                      </w:rPr>
                    </m:ctrlPr>
                  </m:sSubPr>
                  <m:e>
                    <m:r>
                      <w:rPr>
                        <w:rFonts w:ascii="Cambria Math" w:hAnsi="Cambria Math"/>
                      </w:rPr>
                      <m:t>h</m:t>
                    </m:r>
                  </m:e>
                  <m:sub>
                    <m:r>
                      <w:rPr>
                        <w:rFonts w:ascii="Cambria Math" w:hAnsi="Cambria Math"/>
                      </w:rPr>
                      <m:t>t-1</m:t>
                    </m:r>
                  </m:sub>
                </m:sSub>
                <m:r>
                  <w:rPr>
                    <w:rFonts w:ascii="Cambria Math" w:hAnsi="Cambria Math"/>
                  </w:rPr>
                  <m:t>+0.12</m:t>
                </m:r>
                <m:sSubSup>
                  <m:sSubSupPr>
                    <m:ctrlPr>
                      <w:rPr>
                        <w:rFonts w:ascii="Cambria Math" w:hAnsi="Cambria Math"/>
                      </w:rPr>
                    </m:ctrlPr>
                  </m:sSubSupPr>
                  <m:e>
                    <m:r>
                      <w:rPr>
                        <w:rFonts w:ascii="Cambria Math" w:hAnsi="Cambria Math"/>
                      </w:rPr>
                      <m:t>ε</m:t>
                    </m:r>
                  </m:e>
                  <m:sub>
                    <m:r>
                      <w:rPr>
                        <w:rFonts w:ascii="Cambria Math" w:hAnsi="Cambria Math"/>
                      </w:rPr>
                      <m:t>t-1</m:t>
                    </m:r>
                  </m:sub>
                  <m:sup>
                    <m:r>
                      <w:rPr>
                        <w:rFonts w:ascii="Cambria Math" w:hAnsi="Cambria Math"/>
                      </w:rPr>
                      <m:t>2</m:t>
                    </m:r>
                  </m:sup>
                </m:sSubSup>
                <m:r>
                  <w:rPr>
                    <w:rFonts w:ascii="Cambria Math" w:hAnsi="Cambria Math"/>
                  </w:rPr>
                  <m:t>+</m:t>
                </m:r>
                <m:sSub>
                  <m:sSubPr>
                    <m:ctrlPr>
                      <w:rPr>
                        <w:rFonts w:ascii="Cambria Math" w:hAnsi="Cambria Math"/>
                      </w:rPr>
                    </m:ctrlPr>
                  </m:sSubPr>
                  <m:e>
                    <m:r>
                      <w:rPr>
                        <w:rFonts w:ascii="Cambria Math" w:hAnsi="Cambria Math"/>
                      </w:rPr>
                      <m:t>ε</m:t>
                    </m:r>
                  </m:e>
                  <m:sub>
                    <m:r>
                      <w:rPr>
                        <w:rFonts w:ascii="Cambria Math" w:hAnsi="Cambria Math"/>
                      </w:rPr>
                      <m:t>t</m:t>
                    </m:r>
                  </m:sub>
                </m:sSub>
              </m:oMath>
            </m:oMathPara>
          </w:p>
        </w:tc>
      </w:tr>
    </w:tbl>
    <w:p w:rsidR="00DD760D" w:rsidRDefault="00221AAF">
      <w:pPr>
        <w:pStyle w:val="Heading2"/>
      </w:pPr>
      <w:bookmarkStart w:id="10" w:name="Xc8ccbf5e195f6a7e08c8756081fbd42a5db96fe"/>
      <w:r>
        <w:t>Bounds test for export and import functions</w:t>
      </w:r>
      <w:bookmarkEnd w:id="10"/>
    </w:p>
    <w:p w:rsidR="00DD760D" w:rsidRDefault="00221AAF">
      <w:pPr>
        <w:pStyle w:val="FirstParagraph"/>
      </w:pPr>
      <w:r>
        <w:t>After generating the volatility measure, we then take the natural logarithm of all the variables and test for the presence of a unit root. The natural logarithm of real exports, real imports, real exchange rate, domestic income and foreign income are I(1) for all the countries. The natural logarithm of volatility is I(0) for all the countries, apart from that of Mali and Togo which is I(1)</w:t>
      </w:r>
      <w:r>
        <w:rPr>
          <w:rStyle w:val="FootnoteReference"/>
        </w:rPr>
        <w:footnoteReference w:id="10"/>
      </w:r>
      <w:r>
        <w:t xml:space="preserve">. After that, </w:t>
      </w:r>
      <w:r>
        <w:lastRenderedPageBreak/>
        <w:t>the bounds test, based on Equations (3) and (6) for ARDL and NARDL respectively, is conducted to establish the existence of a long-run relationships among the variables in the export and imports equations for each country. As shown in Table 2, the F-value obtained from this test is then compared with the lower and upper critical values for the F-statistic found in Pesaran et al. (</w:t>
      </w:r>
      <w:hyperlink w:anchor="ref-pesaran2001bounds">
        <w:r>
          <w:rPr>
            <w:rStyle w:val="Hyperlink"/>
          </w:rPr>
          <w:t>2001</w:t>
        </w:r>
      </w:hyperlink>
      <w:r>
        <w:t>). There is no cointegration if the F-value is lower than I(0), cointegration exists if the F-value is greater than the I(1) critical value, and it is inconclusive if the F-value lies between these two extreme critical values. In addition to this, ARDL and NARDL are compared in order to choose a better model between them.</w:t>
      </w:r>
    </w:p>
    <w:p w:rsidR="00DD760D" w:rsidRDefault="00221AAF">
      <w:pPr>
        <w:pStyle w:val="TableCaption"/>
      </w:pPr>
      <w:r>
        <w:t>Table 2: F-Statistic of Cointegration Relationship for Export and Import Equations</w:t>
      </w:r>
    </w:p>
    <w:tbl>
      <w:tblPr>
        <w:tblStyle w:val="Table"/>
        <w:tblW w:w="0" w:type="pct"/>
        <w:jc w:val="center"/>
        <w:tblLook w:val="07E0" w:firstRow="1" w:lastRow="1" w:firstColumn="1" w:lastColumn="1" w:noHBand="1" w:noVBand="1"/>
        <w:tblCaption w:val="Table 2: F-Statistic of Cointegration Relationship for Export and Import Equations"/>
      </w:tblPr>
      <w:tblGrid>
        <w:gridCol w:w="1901"/>
        <w:gridCol w:w="3231"/>
        <w:gridCol w:w="2114"/>
        <w:gridCol w:w="2114"/>
      </w:tblGrid>
      <w:tr w:rsidR="00DD760D" w:rsidRPr="00221AAF" w:rsidTr="00221AAF">
        <w:trPr>
          <w:jc w:val="center"/>
        </w:trPr>
        <w:tc>
          <w:tcPr>
            <w:tcW w:w="0" w:type="auto"/>
            <w:tcBorders>
              <w:bottom w:val="single" w:sz="0" w:space="0" w:color="auto"/>
            </w:tcBorders>
            <w:vAlign w:val="bottom"/>
          </w:tcPr>
          <w:p w:rsidR="00DD760D" w:rsidRPr="00221AAF" w:rsidRDefault="00221AAF" w:rsidP="00221AAF">
            <w:pPr>
              <w:pStyle w:val="Compact"/>
              <w:rPr>
                <w:b/>
              </w:rPr>
            </w:pPr>
            <w:r w:rsidRPr="00221AAF">
              <w:rPr>
                <w:b/>
              </w:rPr>
              <w:t>Country</w:t>
            </w:r>
          </w:p>
        </w:tc>
        <w:tc>
          <w:tcPr>
            <w:tcW w:w="0" w:type="auto"/>
            <w:tcBorders>
              <w:bottom w:val="single" w:sz="0" w:space="0" w:color="auto"/>
            </w:tcBorders>
            <w:vAlign w:val="bottom"/>
          </w:tcPr>
          <w:p w:rsidR="00DD760D" w:rsidRPr="00221AAF" w:rsidRDefault="00221AAF" w:rsidP="00221AAF">
            <w:pPr>
              <w:pStyle w:val="Compact"/>
              <w:rPr>
                <w:b/>
              </w:rPr>
            </w:pPr>
            <w:r w:rsidRPr="00221AAF">
              <w:rPr>
                <w:b/>
              </w:rPr>
              <w:t>Test Statistic</w:t>
            </w:r>
          </w:p>
        </w:tc>
        <w:tc>
          <w:tcPr>
            <w:tcW w:w="0" w:type="auto"/>
            <w:tcBorders>
              <w:bottom w:val="single" w:sz="0" w:space="0" w:color="auto"/>
            </w:tcBorders>
            <w:vAlign w:val="bottom"/>
          </w:tcPr>
          <w:p w:rsidR="00DD760D" w:rsidRPr="00221AAF" w:rsidRDefault="00221AAF" w:rsidP="00221AAF">
            <w:pPr>
              <w:pStyle w:val="Compact"/>
              <w:rPr>
                <w:b/>
              </w:rPr>
            </w:pPr>
            <w:r w:rsidRPr="00221AAF">
              <w:rPr>
                <w:b/>
              </w:rPr>
              <w:t>F(X)</w:t>
            </w:r>
          </w:p>
        </w:tc>
        <w:tc>
          <w:tcPr>
            <w:tcW w:w="0" w:type="auto"/>
            <w:tcBorders>
              <w:bottom w:val="single" w:sz="0" w:space="0" w:color="auto"/>
            </w:tcBorders>
            <w:vAlign w:val="bottom"/>
          </w:tcPr>
          <w:p w:rsidR="00DD760D" w:rsidRPr="00221AAF" w:rsidRDefault="00221AAF" w:rsidP="00221AAF">
            <w:pPr>
              <w:pStyle w:val="Compact"/>
              <w:rPr>
                <w:b/>
              </w:rPr>
            </w:pPr>
            <w:r w:rsidRPr="00221AAF">
              <w:rPr>
                <w:b/>
              </w:rPr>
              <w:t>F(M)</w:t>
            </w:r>
          </w:p>
        </w:tc>
      </w:tr>
      <w:tr w:rsidR="00DD760D" w:rsidRPr="00221AAF" w:rsidTr="00221AAF">
        <w:trPr>
          <w:jc w:val="center"/>
        </w:trPr>
        <w:tc>
          <w:tcPr>
            <w:tcW w:w="0" w:type="auto"/>
          </w:tcPr>
          <w:p w:rsidR="00DD760D" w:rsidRPr="00221AAF" w:rsidRDefault="00221AAF" w:rsidP="00221AAF">
            <w:pPr>
              <w:pStyle w:val="Compact"/>
            </w:pPr>
            <w:r w:rsidRPr="00221AAF">
              <w:t>Nigeria</w:t>
            </w:r>
          </w:p>
        </w:tc>
        <w:tc>
          <w:tcPr>
            <w:tcW w:w="0" w:type="auto"/>
          </w:tcPr>
          <w:p w:rsidR="00DD760D" w:rsidRPr="00221AAF" w:rsidRDefault="00221AAF" w:rsidP="00221AAF">
            <w:pPr>
              <w:pStyle w:val="Compact"/>
            </w:pPr>
            <w:r w:rsidRPr="00221AAF">
              <w:t>Symmetric Model (ARDL)</w:t>
            </w:r>
          </w:p>
        </w:tc>
        <w:tc>
          <w:tcPr>
            <w:tcW w:w="0" w:type="auto"/>
          </w:tcPr>
          <w:p w:rsidR="00DD760D" w:rsidRPr="00221AAF" w:rsidRDefault="00221AAF" w:rsidP="00221AAF">
            <w:pPr>
              <w:pStyle w:val="Compact"/>
            </w:pPr>
            <w:r w:rsidRPr="00221AAF">
              <w:t>3.814962***</w:t>
            </w:r>
          </w:p>
        </w:tc>
        <w:tc>
          <w:tcPr>
            <w:tcW w:w="0" w:type="auto"/>
          </w:tcPr>
          <w:p w:rsidR="00DD760D" w:rsidRPr="00221AAF" w:rsidRDefault="00221AAF" w:rsidP="00221AAF">
            <w:pPr>
              <w:pStyle w:val="Compact"/>
            </w:pPr>
            <w:r w:rsidRPr="00221AAF">
              <w:t>5.658581***</w:t>
            </w:r>
          </w:p>
        </w:tc>
      </w:tr>
      <w:tr w:rsidR="00DD760D" w:rsidRPr="00221AAF" w:rsidTr="00221AAF">
        <w:trPr>
          <w:jc w:val="center"/>
        </w:trPr>
        <w:tc>
          <w:tcPr>
            <w:tcW w:w="0" w:type="auto"/>
          </w:tcPr>
          <w:p w:rsidR="00DD760D" w:rsidRPr="00221AAF" w:rsidRDefault="00DD760D" w:rsidP="00221AAF">
            <w:pPr>
              <w:jc w:val="both"/>
              <w:rPr>
                <w:sz w:val="20"/>
              </w:rPr>
            </w:pPr>
          </w:p>
        </w:tc>
        <w:tc>
          <w:tcPr>
            <w:tcW w:w="0" w:type="auto"/>
          </w:tcPr>
          <w:p w:rsidR="00DD760D" w:rsidRPr="00221AAF" w:rsidRDefault="00221AAF" w:rsidP="00221AAF">
            <w:pPr>
              <w:pStyle w:val="Compact"/>
            </w:pPr>
            <w:r w:rsidRPr="00221AAF">
              <w:t>Asymmetric Model (NARDL)</w:t>
            </w:r>
          </w:p>
        </w:tc>
        <w:tc>
          <w:tcPr>
            <w:tcW w:w="0" w:type="auto"/>
          </w:tcPr>
          <w:p w:rsidR="00DD760D" w:rsidRPr="00221AAF" w:rsidRDefault="00221AAF" w:rsidP="00221AAF">
            <w:pPr>
              <w:pStyle w:val="Compact"/>
            </w:pPr>
            <w:r w:rsidRPr="00221AAF">
              <w:t>3.299078**</w:t>
            </w:r>
          </w:p>
        </w:tc>
        <w:tc>
          <w:tcPr>
            <w:tcW w:w="0" w:type="auto"/>
          </w:tcPr>
          <w:p w:rsidR="00DD760D" w:rsidRPr="00221AAF" w:rsidRDefault="00221AAF" w:rsidP="00221AAF">
            <w:pPr>
              <w:pStyle w:val="Compact"/>
            </w:pPr>
            <w:r w:rsidRPr="00221AAF">
              <w:t>9.808900***</w:t>
            </w:r>
          </w:p>
        </w:tc>
      </w:tr>
      <w:tr w:rsidR="00DD760D" w:rsidRPr="00221AAF" w:rsidTr="00221AAF">
        <w:trPr>
          <w:jc w:val="center"/>
        </w:trPr>
        <w:tc>
          <w:tcPr>
            <w:tcW w:w="0" w:type="auto"/>
          </w:tcPr>
          <w:p w:rsidR="00DD760D" w:rsidRPr="00221AAF" w:rsidRDefault="00221AAF" w:rsidP="00221AAF">
            <w:pPr>
              <w:pStyle w:val="Compact"/>
            </w:pPr>
            <w:r w:rsidRPr="00221AAF">
              <w:t>Ghana</w:t>
            </w:r>
          </w:p>
        </w:tc>
        <w:tc>
          <w:tcPr>
            <w:tcW w:w="0" w:type="auto"/>
          </w:tcPr>
          <w:p w:rsidR="00DD760D" w:rsidRPr="00221AAF" w:rsidRDefault="00221AAF" w:rsidP="00221AAF">
            <w:pPr>
              <w:pStyle w:val="Compact"/>
            </w:pPr>
            <w:r w:rsidRPr="00221AAF">
              <w:t>Symmetric Model (ARDL)</w:t>
            </w:r>
          </w:p>
        </w:tc>
        <w:tc>
          <w:tcPr>
            <w:tcW w:w="0" w:type="auto"/>
          </w:tcPr>
          <w:p w:rsidR="00DD760D" w:rsidRPr="00221AAF" w:rsidRDefault="00221AAF" w:rsidP="00221AAF">
            <w:pPr>
              <w:pStyle w:val="Compact"/>
            </w:pPr>
            <w:r w:rsidRPr="00221AAF">
              <w:t>4.129421**</w:t>
            </w:r>
          </w:p>
        </w:tc>
        <w:tc>
          <w:tcPr>
            <w:tcW w:w="0" w:type="auto"/>
          </w:tcPr>
          <w:p w:rsidR="00DD760D" w:rsidRPr="00221AAF" w:rsidRDefault="00221AAF" w:rsidP="00221AAF">
            <w:pPr>
              <w:pStyle w:val="Compact"/>
            </w:pPr>
            <w:r w:rsidRPr="00221AAF">
              <w:t>4.070918**</w:t>
            </w:r>
          </w:p>
        </w:tc>
      </w:tr>
      <w:tr w:rsidR="00DD760D" w:rsidRPr="00221AAF" w:rsidTr="00221AAF">
        <w:trPr>
          <w:jc w:val="center"/>
        </w:trPr>
        <w:tc>
          <w:tcPr>
            <w:tcW w:w="0" w:type="auto"/>
          </w:tcPr>
          <w:p w:rsidR="00DD760D" w:rsidRPr="00221AAF" w:rsidRDefault="00DD760D" w:rsidP="00221AAF">
            <w:pPr>
              <w:jc w:val="both"/>
              <w:rPr>
                <w:sz w:val="20"/>
              </w:rPr>
            </w:pPr>
          </w:p>
        </w:tc>
        <w:tc>
          <w:tcPr>
            <w:tcW w:w="0" w:type="auto"/>
          </w:tcPr>
          <w:p w:rsidR="00DD760D" w:rsidRPr="00221AAF" w:rsidRDefault="00221AAF" w:rsidP="00221AAF">
            <w:pPr>
              <w:pStyle w:val="Compact"/>
            </w:pPr>
            <w:r w:rsidRPr="00221AAF">
              <w:t>Asymmetric Model (NARDL)</w:t>
            </w:r>
          </w:p>
        </w:tc>
        <w:tc>
          <w:tcPr>
            <w:tcW w:w="0" w:type="auto"/>
          </w:tcPr>
          <w:p w:rsidR="00DD760D" w:rsidRPr="00221AAF" w:rsidRDefault="00221AAF" w:rsidP="00221AAF">
            <w:pPr>
              <w:pStyle w:val="Compact"/>
            </w:pPr>
            <w:r w:rsidRPr="00221AAF">
              <w:t>4.030163**</w:t>
            </w:r>
          </w:p>
        </w:tc>
        <w:tc>
          <w:tcPr>
            <w:tcW w:w="0" w:type="auto"/>
          </w:tcPr>
          <w:p w:rsidR="00DD760D" w:rsidRPr="00221AAF" w:rsidRDefault="00221AAF" w:rsidP="00221AAF">
            <w:pPr>
              <w:pStyle w:val="Compact"/>
            </w:pPr>
            <w:r w:rsidRPr="00221AAF">
              <w:t>6.249545***</w:t>
            </w:r>
          </w:p>
        </w:tc>
      </w:tr>
      <w:tr w:rsidR="00DD760D" w:rsidRPr="00221AAF" w:rsidTr="00221AAF">
        <w:trPr>
          <w:jc w:val="center"/>
        </w:trPr>
        <w:tc>
          <w:tcPr>
            <w:tcW w:w="0" w:type="auto"/>
          </w:tcPr>
          <w:p w:rsidR="00DD760D" w:rsidRPr="00221AAF" w:rsidRDefault="00221AAF" w:rsidP="00221AAF">
            <w:pPr>
              <w:pStyle w:val="Compact"/>
            </w:pPr>
            <w:r w:rsidRPr="00221AAF">
              <w:t>Mali</w:t>
            </w:r>
          </w:p>
        </w:tc>
        <w:tc>
          <w:tcPr>
            <w:tcW w:w="0" w:type="auto"/>
          </w:tcPr>
          <w:p w:rsidR="00DD760D" w:rsidRPr="00221AAF" w:rsidRDefault="00221AAF" w:rsidP="00221AAF">
            <w:pPr>
              <w:pStyle w:val="Compact"/>
            </w:pPr>
            <w:r w:rsidRPr="00221AAF">
              <w:t>Symmetric Model (ARDL)</w:t>
            </w:r>
          </w:p>
        </w:tc>
        <w:tc>
          <w:tcPr>
            <w:tcW w:w="0" w:type="auto"/>
          </w:tcPr>
          <w:p w:rsidR="00DD760D" w:rsidRPr="00221AAF" w:rsidRDefault="00221AAF" w:rsidP="00221AAF">
            <w:pPr>
              <w:pStyle w:val="Compact"/>
            </w:pPr>
            <w:r w:rsidRPr="00221AAF">
              <w:t>4.655057***</w:t>
            </w:r>
          </w:p>
        </w:tc>
        <w:tc>
          <w:tcPr>
            <w:tcW w:w="0" w:type="auto"/>
          </w:tcPr>
          <w:p w:rsidR="00DD760D" w:rsidRPr="00221AAF" w:rsidRDefault="00221AAF" w:rsidP="00221AAF">
            <w:pPr>
              <w:pStyle w:val="Compact"/>
            </w:pPr>
            <w:r w:rsidRPr="00221AAF">
              <w:t>3.839534**</w:t>
            </w:r>
          </w:p>
        </w:tc>
      </w:tr>
      <w:tr w:rsidR="00DD760D" w:rsidRPr="00221AAF" w:rsidTr="00221AAF">
        <w:trPr>
          <w:jc w:val="center"/>
        </w:trPr>
        <w:tc>
          <w:tcPr>
            <w:tcW w:w="0" w:type="auto"/>
          </w:tcPr>
          <w:p w:rsidR="00DD760D" w:rsidRPr="00221AAF" w:rsidRDefault="00DD760D" w:rsidP="00221AAF">
            <w:pPr>
              <w:jc w:val="both"/>
              <w:rPr>
                <w:sz w:val="20"/>
              </w:rPr>
            </w:pPr>
          </w:p>
        </w:tc>
        <w:tc>
          <w:tcPr>
            <w:tcW w:w="0" w:type="auto"/>
          </w:tcPr>
          <w:p w:rsidR="00DD760D" w:rsidRPr="00221AAF" w:rsidRDefault="00221AAF" w:rsidP="00221AAF">
            <w:pPr>
              <w:pStyle w:val="Compact"/>
            </w:pPr>
            <w:r w:rsidRPr="00221AAF">
              <w:t>Asymmetric Model (NARDL)</w:t>
            </w:r>
          </w:p>
        </w:tc>
        <w:tc>
          <w:tcPr>
            <w:tcW w:w="0" w:type="auto"/>
          </w:tcPr>
          <w:p w:rsidR="00DD760D" w:rsidRPr="00221AAF" w:rsidRDefault="00221AAF" w:rsidP="00221AAF">
            <w:pPr>
              <w:pStyle w:val="Compact"/>
            </w:pPr>
            <w:r w:rsidRPr="00221AAF">
              <w:t>12.11891***</w:t>
            </w:r>
          </w:p>
        </w:tc>
        <w:tc>
          <w:tcPr>
            <w:tcW w:w="0" w:type="auto"/>
          </w:tcPr>
          <w:p w:rsidR="00DD760D" w:rsidRPr="00221AAF" w:rsidRDefault="00221AAF" w:rsidP="00221AAF">
            <w:pPr>
              <w:pStyle w:val="Compact"/>
            </w:pPr>
            <w:r w:rsidRPr="00221AAF">
              <w:t>17.22698***</w:t>
            </w:r>
          </w:p>
        </w:tc>
      </w:tr>
      <w:tr w:rsidR="00DD760D" w:rsidRPr="00221AAF" w:rsidTr="00221AAF">
        <w:trPr>
          <w:jc w:val="center"/>
        </w:trPr>
        <w:tc>
          <w:tcPr>
            <w:tcW w:w="0" w:type="auto"/>
          </w:tcPr>
          <w:p w:rsidR="00DD760D" w:rsidRPr="00221AAF" w:rsidRDefault="00221AAF" w:rsidP="00221AAF">
            <w:pPr>
              <w:pStyle w:val="Compact"/>
            </w:pPr>
            <w:r w:rsidRPr="00221AAF">
              <w:t>Senegal</w:t>
            </w:r>
          </w:p>
        </w:tc>
        <w:tc>
          <w:tcPr>
            <w:tcW w:w="0" w:type="auto"/>
          </w:tcPr>
          <w:p w:rsidR="00DD760D" w:rsidRPr="00221AAF" w:rsidRDefault="00221AAF" w:rsidP="00221AAF">
            <w:pPr>
              <w:pStyle w:val="Compact"/>
            </w:pPr>
            <w:r w:rsidRPr="00221AAF">
              <w:t>Symmetric Model (ARDL)</w:t>
            </w:r>
          </w:p>
        </w:tc>
        <w:tc>
          <w:tcPr>
            <w:tcW w:w="0" w:type="auto"/>
          </w:tcPr>
          <w:p w:rsidR="00DD760D" w:rsidRPr="00221AAF" w:rsidRDefault="00221AAF" w:rsidP="00221AAF">
            <w:pPr>
              <w:pStyle w:val="Compact"/>
            </w:pPr>
            <w:r w:rsidRPr="00221AAF">
              <w:t>4.780203***</w:t>
            </w:r>
          </w:p>
        </w:tc>
        <w:tc>
          <w:tcPr>
            <w:tcW w:w="0" w:type="auto"/>
          </w:tcPr>
          <w:p w:rsidR="00DD760D" w:rsidRPr="00221AAF" w:rsidRDefault="00221AAF" w:rsidP="00221AAF">
            <w:pPr>
              <w:pStyle w:val="Compact"/>
            </w:pPr>
            <w:r w:rsidRPr="00221AAF">
              <w:t>6.015015***</w:t>
            </w:r>
          </w:p>
        </w:tc>
      </w:tr>
      <w:tr w:rsidR="00DD760D" w:rsidRPr="00221AAF" w:rsidTr="00221AAF">
        <w:trPr>
          <w:jc w:val="center"/>
        </w:trPr>
        <w:tc>
          <w:tcPr>
            <w:tcW w:w="0" w:type="auto"/>
          </w:tcPr>
          <w:p w:rsidR="00DD760D" w:rsidRPr="00221AAF" w:rsidRDefault="00DD760D" w:rsidP="00221AAF">
            <w:pPr>
              <w:jc w:val="both"/>
              <w:rPr>
                <w:sz w:val="20"/>
              </w:rPr>
            </w:pPr>
          </w:p>
        </w:tc>
        <w:tc>
          <w:tcPr>
            <w:tcW w:w="0" w:type="auto"/>
          </w:tcPr>
          <w:p w:rsidR="00DD760D" w:rsidRPr="00221AAF" w:rsidRDefault="00221AAF" w:rsidP="00221AAF">
            <w:pPr>
              <w:pStyle w:val="Compact"/>
            </w:pPr>
            <w:r w:rsidRPr="00221AAF">
              <w:t>Asymmetric Model (NARDL)</w:t>
            </w:r>
          </w:p>
        </w:tc>
        <w:tc>
          <w:tcPr>
            <w:tcW w:w="0" w:type="auto"/>
          </w:tcPr>
          <w:p w:rsidR="00DD760D" w:rsidRPr="00221AAF" w:rsidRDefault="00221AAF" w:rsidP="00221AAF">
            <w:pPr>
              <w:pStyle w:val="Compact"/>
            </w:pPr>
            <w:r w:rsidRPr="00221AAF">
              <w:t>24.03283***</w:t>
            </w:r>
          </w:p>
        </w:tc>
        <w:tc>
          <w:tcPr>
            <w:tcW w:w="0" w:type="auto"/>
          </w:tcPr>
          <w:p w:rsidR="00DD760D" w:rsidRPr="00221AAF" w:rsidRDefault="00221AAF" w:rsidP="00221AAF">
            <w:pPr>
              <w:pStyle w:val="Compact"/>
            </w:pPr>
            <w:r w:rsidRPr="00221AAF">
              <w:t>18.64755***</w:t>
            </w:r>
          </w:p>
        </w:tc>
      </w:tr>
      <w:tr w:rsidR="00DD760D" w:rsidRPr="00221AAF" w:rsidTr="00221AAF">
        <w:trPr>
          <w:jc w:val="center"/>
        </w:trPr>
        <w:tc>
          <w:tcPr>
            <w:tcW w:w="0" w:type="auto"/>
          </w:tcPr>
          <w:p w:rsidR="00DD760D" w:rsidRPr="00221AAF" w:rsidRDefault="00221AAF" w:rsidP="00221AAF">
            <w:pPr>
              <w:pStyle w:val="Compact"/>
            </w:pPr>
            <w:r w:rsidRPr="00221AAF">
              <w:t>Niger</w:t>
            </w:r>
          </w:p>
        </w:tc>
        <w:tc>
          <w:tcPr>
            <w:tcW w:w="0" w:type="auto"/>
          </w:tcPr>
          <w:p w:rsidR="00DD760D" w:rsidRPr="00221AAF" w:rsidRDefault="00221AAF" w:rsidP="00221AAF">
            <w:pPr>
              <w:pStyle w:val="Compact"/>
            </w:pPr>
            <w:r w:rsidRPr="00221AAF">
              <w:t>Symmetric Model (ARDL)</w:t>
            </w:r>
          </w:p>
        </w:tc>
        <w:tc>
          <w:tcPr>
            <w:tcW w:w="0" w:type="auto"/>
          </w:tcPr>
          <w:p w:rsidR="00DD760D" w:rsidRPr="00221AAF" w:rsidRDefault="00221AAF" w:rsidP="00221AAF">
            <w:pPr>
              <w:pStyle w:val="Compact"/>
            </w:pPr>
            <w:r w:rsidRPr="00221AAF">
              <w:t>33.87029***</w:t>
            </w:r>
          </w:p>
        </w:tc>
        <w:tc>
          <w:tcPr>
            <w:tcW w:w="0" w:type="auto"/>
          </w:tcPr>
          <w:p w:rsidR="00DD760D" w:rsidRPr="00221AAF" w:rsidRDefault="00221AAF" w:rsidP="00221AAF">
            <w:pPr>
              <w:pStyle w:val="Compact"/>
            </w:pPr>
            <w:r w:rsidRPr="00221AAF">
              <w:t>3.221813*</w:t>
            </w:r>
          </w:p>
        </w:tc>
      </w:tr>
      <w:tr w:rsidR="00DD760D" w:rsidRPr="00221AAF" w:rsidTr="00221AAF">
        <w:trPr>
          <w:jc w:val="center"/>
        </w:trPr>
        <w:tc>
          <w:tcPr>
            <w:tcW w:w="0" w:type="auto"/>
          </w:tcPr>
          <w:p w:rsidR="00DD760D" w:rsidRPr="00221AAF" w:rsidRDefault="00DD760D" w:rsidP="00221AAF">
            <w:pPr>
              <w:jc w:val="both"/>
              <w:rPr>
                <w:sz w:val="20"/>
              </w:rPr>
            </w:pPr>
          </w:p>
        </w:tc>
        <w:tc>
          <w:tcPr>
            <w:tcW w:w="0" w:type="auto"/>
          </w:tcPr>
          <w:p w:rsidR="00DD760D" w:rsidRPr="00221AAF" w:rsidRDefault="00221AAF" w:rsidP="00221AAF">
            <w:pPr>
              <w:pStyle w:val="Compact"/>
            </w:pPr>
            <w:r w:rsidRPr="00221AAF">
              <w:t>Asymmetric Model (NARDL)</w:t>
            </w:r>
          </w:p>
        </w:tc>
        <w:tc>
          <w:tcPr>
            <w:tcW w:w="0" w:type="auto"/>
          </w:tcPr>
          <w:p w:rsidR="00DD760D" w:rsidRPr="00221AAF" w:rsidRDefault="00221AAF" w:rsidP="00221AAF">
            <w:pPr>
              <w:pStyle w:val="Compact"/>
            </w:pPr>
            <w:r w:rsidRPr="00221AAF">
              <w:t>36.05614***</w:t>
            </w:r>
          </w:p>
        </w:tc>
        <w:tc>
          <w:tcPr>
            <w:tcW w:w="0" w:type="auto"/>
          </w:tcPr>
          <w:p w:rsidR="00DD760D" w:rsidRPr="00221AAF" w:rsidRDefault="00221AAF" w:rsidP="00221AAF">
            <w:pPr>
              <w:pStyle w:val="Compact"/>
            </w:pPr>
            <w:r w:rsidRPr="00221AAF">
              <w:t>4.066335***</w:t>
            </w:r>
          </w:p>
        </w:tc>
      </w:tr>
      <w:tr w:rsidR="00DD760D" w:rsidRPr="00221AAF" w:rsidTr="00221AAF">
        <w:trPr>
          <w:jc w:val="center"/>
        </w:trPr>
        <w:tc>
          <w:tcPr>
            <w:tcW w:w="0" w:type="auto"/>
          </w:tcPr>
          <w:p w:rsidR="00DD760D" w:rsidRPr="00221AAF" w:rsidRDefault="00221AAF" w:rsidP="00221AAF">
            <w:pPr>
              <w:pStyle w:val="Compact"/>
            </w:pPr>
            <w:r w:rsidRPr="00221AAF">
              <w:t>Togo</w:t>
            </w:r>
          </w:p>
        </w:tc>
        <w:tc>
          <w:tcPr>
            <w:tcW w:w="0" w:type="auto"/>
          </w:tcPr>
          <w:p w:rsidR="00DD760D" w:rsidRPr="00221AAF" w:rsidRDefault="00221AAF" w:rsidP="00221AAF">
            <w:pPr>
              <w:pStyle w:val="Compact"/>
            </w:pPr>
            <w:r w:rsidRPr="00221AAF">
              <w:t>Symmetric Model (ARDL)</w:t>
            </w:r>
          </w:p>
        </w:tc>
        <w:tc>
          <w:tcPr>
            <w:tcW w:w="0" w:type="auto"/>
          </w:tcPr>
          <w:p w:rsidR="00DD760D" w:rsidRPr="00221AAF" w:rsidRDefault="00221AAF" w:rsidP="00221AAF">
            <w:pPr>
              <w:pStyle w:val="Compact"/>
            </w:pPr>
            <w:r w:rsidRPr="00221AAF">
              <w:t>1.704217</w:t>
            </w:r>
          </w:p>
        </w:tc>
        <w:tc>
          <w:tcPr>
            <w:tcW w:w="0" w:type="auto"/>
          </w:tcPr>
          <w:p w:rsidR="00DD760D" w:rsidRPr="00221AAF" w:rsidRDefault="00221AAF" w:rsidP="00221AAF">
            <w:pPr>
              <w:pStyle w:val="Compact"/>
            </w:pPr>
            <w:r w:rsidRPr="00221AAF">
              <w:t>4.949618***</w:t>
            </w:r>
          </w:p>
        </w:tc>
      </w:tr>
      <w:tr w:rsidR="00DD760D" w:rsidRPr="00221AAF" w:rsidTr="00221AAF">
        <w:trPr>
          <w:jc w:val="center"/>
        </w:trPr>
        <w:tc>
          <w:tcPr>
            <w:tcW w:w="0" w:type="auto"/>
          </w:tcPr>
          <w:p w:rsidR="00DD760D" w:rsidRPr="00221AAF" w:rsidRDefault="00DD760D" w:rsidP="00221AAF">
            <w:pPr>
              <w:jc w:val="both"/>
              <w:rPr>
                <w:sz w:val="20"/>
              </w:rPr>
            </w:pPr>
          </w:p>
        </w:tc>
        <w:tc>
          <w:tcPr>
            <w:tcW w:w="0" w:type="auto"/>
          </w:tcPr>
          <w:p w:rsidR="00DD760D" w:rsidRPr="00221AAF" w:rsidRDefault="00221AAF" w:rsidP="00221AAF">
            <w:pPr>
              <w:pStyle w:val="Compact"/>
            </w:pPr>
            <w:r w:rsidRPr="00221AAF">
              <w:t>Asymmetric Model (NARDL)</w:t>
            </w:r>
          </w:p>
        </w:tc>
        <w:tc>
          <w:tcPr>
            <w:tcW w:w="0" w:type="auto"/>
          </w:tcPr>
          <w:p w:rsidR="00DD760D" w:rsidRPr="00221AAF" w:rsidRDefault="00221AAF" w:rsidP="00221AAF">
            <w:pPr>
              <w:pStyle w:val="Compact"/>
            </w:pPr>
            <w:r w:rsidRPr="00221AAF">
              <w:t>3.836103**</w:t>
            </w:r>
          </w:p>
        </w:tc>
        <w:tc>
          <w:tcPr>
            <w:tcW w:w="0" w:type="auto"/>
          </w:tcPr>
          <w:p w:rsidR="00DD760D" w:rsidRPr="00221AAF" w:rsidRDefault="00221AAF" w:rsidP="00221AAF">
            <w:pPr>
              <w:pStyle w:val="Compact"/>
            </w:pPr>
            <w:r w:rsidRPr="00221AAF">
              <w:t>6.846612***</w:t>
            </w:r>
          </w:p>
        </w:tc>
      </w:tr>
      <w:tr w:rsidR="00DD760D" w:rsidRPr="00221AAF" w:rsidTr="00221AAF">
        <w:trPr>
          <w:jc w:val="center"/>
        </w:trPr>
        <w:tc>
          <w:tcPr>
            <w:tcW w:w="0" w:type="auto"/>
          </w:tcPr>
          <w:p w:rsidR="00DD760D" w:rsidRPr="00221AAF" w:rsidRDefault="00221AAF" w:rsidP="00221AAF">
            <w:pPr>
              <w:pStyle w:val="Compact"/>
            </w:pPr>
            <w:r w:rsidRPr="00221AAF">
              <w:t>Benin</w:t>
            </w:r>
          </w:p>
        </w:tc>
        <w:tc>
          <w:tcPr>
            <w:tcW w:w="0" w:type="auto"/>
          </w:tcPr>
          <w:p w:rsidR="00DD760D" w:rsidRPr="00221AAF" w:rsidRDefault="00221AAF" w:rsidP="00221AAF">
            <w:pPr>
              <w:pStyle w:val="Compact"/>
            </w:pPr>
            <w:r w:rsidRPr="00221AAF">
              <w:t>Symmetric Model (ARDL)</w:t>
            </w:r>
          </w:p>
        </w:tc>
        <w:tc>
          <w:tcPr>
            <w:tcW w:w="0" w:type="auto"/>
          </w:tcPr>
          <w:p w:rsidR="00DD760D" w:rsidRPr="00221AAF" w:rsidRDefault="00221AAF" w:rsidP="00221AAF">
            <w:pPr>
              <w:pStyle w:val="Compact"/>
            </w:pPr>
            <w:r w:rsidRPr="00221AAF">
              <w:t>7.851413***</w:t>
            </w:r>
          </w:p>
        </w:tc>
        <w:tc>
          <w:tcPr>
            <w:tcW w:w="0" w:type="auto"/>
          </w:tcPr>
          <w:p w:rsidR="00DD760D" w:rsidRPr="00221AAF" w:rsidRDefault="00221AAF" w:rsidP="00221AAF">
            <w:pPr>
              <w:pStyle w:val="Compact"/>
            </w:pPr>
            <w:r w:rsidRPr="00221AAF">
              <w:t>13.07237***</w:t>
            </w:r>
          </w:p>
        </w:tc>
      </w:tr>
      <w:tr w:rsidR="00DD760D" w:rsidRPr="00221AAF" w:rsidTr="00221AAF">
        <w:trPr>
          <w:jc w:val="center"/>
        </w:trPr>
        <w:tc>
          <w:tcPr>
            <w:tcW w:w="0" w:type="auto"/>
          </w:tcPr>
          <w:p w:rsidR="00DD760D" w:rsidRPr="00221AAF" w:rsidRDefault="00DD760D" w:rsidP="00221AAF">
            <w:pPr>
              <w:jc w:val="both"/>
              <w:rPr>
                <w:sz w:val="20"/>
              </w:rPr>
            </w:pPr>
          </w:p>
        </w:tc>
        <w:tc>
          <w:tcPr>
            <w:tcW w:w="0" w:type="auto"/>
          </w:tcPr>
          <w:p w:rsidR="00DD760D" w:rsidRPr="00221AAF" w:rsidRDefault="00221AAF" w:rsidP="00221AAF">
            <w:pPr>
              <w:pStyle w:val="Compact"/>
            </w:pPr>
            <w:r w:rsidRPr="00221AAF">
              <w:t>Asymmetric Model (NARDL)</w:t>
            </w:r>
          </w:p>
        </w:tc>
        <w:tc>
          <w:tcPr>
            <w:tcW w:w="0" w:type="auto"/>
          </w:tcPr>
          <w:p w:rsidR="00DD760D" w:rsidRPr="00221AAF" w:rsidRDefault="00221AAF" w:rsidP="00221AAF">
            <w:pPr>
              <w:pStyle w:val="Compact"/>
            </w:pPr>
            <w:r w:rsidRPr="00221AAF">
              <w:t>7.703778***</w:t>
            </w:r>
          </w:p>
        </w:tc>
        <w:tc>
          <w:tcPr>
            <w:tcW w:w="0" w:type="auto"/>
          </w:tcPr>
          <w:p w:rsidR="00DD760D" w:rsidRPr="00221AAF" w:rsidRDefault="00221AAF" w:rsidP="00221AAF">
            <w:pPr>
              <w:pStyle w:val="Compact"/>
            </w:pPr>
            <w:r w:rsidRPr="00221AAF">
              <w:t>9.113890***</w:t>
            </w:r>
          </w:p>
        </w:tc>
      </w:tr>
      <w:tr w:rsidR="00DD760D" w:rsidRPr="00221AAF" w:rsidTr="00221AAF">
        <w:trPr>
          <w:jc w:val="center"/>
        </w:trPr>
        <w:tc>
          <w:tcPr>
            <w:tcW w:w="0" w:type="auto"/>
          </w:tcPr>
          <w:p w:rsidR="00DD760D" w:rsidRPr="00221AAF" w:rsidRDefault="00221AAF" w:rsidP="00221AAF">
            <w:pPr>
              <w:pStyle w:val="Compact"/>
            </w:pPr>
            <w:r w:rsidRPr="00221AAF">
              <w:t>Burkina Faso</w:t>
            </w:r>
          </w:p>
        </w:tc>
        <w:tc>
          <w:tcPr>
            <w:tcW w:w="0" w:type="auto"/>
          </w:tcPr>
          <w:p w:rsidR="00DD760D" w:rsidRPr="00221AAF" w:rsidRDefault="00221AAF" w:rsidP="00221AAF">
            <w:pPr>
              <w:pStyle w:val="Compact"/>
            </w:pPr>
            <w:r w:rsidRPr="00221AAF">
              <w:t>Symmetric Model (ARDL)</w:t>
            </w:r>
          </w:p>
        </w:tc>
        <w:tc>
          <w:tcPr>
            <w:tcW w:w="0" w:type="auto"/>
          </w:tcPr>
          <w:p w:rsidR="00DD760D" w:rsidRPr="00221AAF" w:rsidRDefault="00221AAF" w:rsidP="00221AAF">
            <w:pPr>
              <w:pStyle w:val="Compact"/>
            </w:pPr>
            <w:r w:rsidRPr="00221AAF">
              <w:t>3.826867**</w:t>
            </w:r>
          </w:p>
        </w:tc>
        <w:tc>
          <w:tcPr>
            <w:tcW w:w="0" w:type="auto"/>
          </w:tcPr>
          <w:p w:rsidR="00DD760D" w:rsidRPr="00221AAF" w:rsidRDefault="00221AAF" w:rsidP="00221AAF">
            <w:pPr>
              <w:pStyle w:val="Compact"/>
            </w:pPr>
            <w:r w:rsidRPr="00221AAF">
              <w:t>9.534956***</w:t>
            </w:r>
          </w:p>
        </w:tc>
      </w:tr>
      <w:tr w:rsidR="00DD760D" w:rsidRPr="00221AAF" w:rsidTr="00221AAF">
        <w:trPr>
          <w:jc w:val="center"/>
        </w:trPr>
        <w:tc>
          <w:tcPr>
            <w:tcW w:w="0" w:type="auto"/>
          </w:tcPr>
          <w:p w:rsidR="00DD760D" w:rsidRPr="00221AAF" w:rsidRDefault="00DD760D" w:rsidP="00221AAF">
            <w:pPr>
              <w:jc w:val="both"/>
              <w:rPr>
                <w:sz w:val="20"/>
              </w:rPr>
            </w:pPr>
          </w:p>
        </w:tc>
        <w:tc>
          <w:tcPr>
            <w:tcW w:w="0" w:type="auto"/>
          </w:tcPr>
          <w:p w:rsidR="00DD760D" w:rsidRPr="00221AAF" w:rsidRDefault="00221AAF" w:rsidP="00221AAF">
            <w:pPr>
              <w:pStyle w:val="Compact"/>
            </w:pPr>
            <w:r w:rsidRPr="00221AAF">
              <w:t>Asymmetric Model (NARDL)</w:t>
            </w:r>
          </w:p>
        </w:tc>
        <w:tc>
          <w:tcPr>
            <w:tcW w:w="0" w:type="auto"/>
          </w:tcPr>
          <w:p w:rsidR="00DD760D" w:rsidRPr="00221AAF" w:rsidRDefault="00221AAF" w:rsidP="00221AAF">
            <w:pPr>
              <w:pStyle w:val="Compact"/>
            </w:pPr>
            <w:r w:rsidRPr="00221AAF">
              <w:t>8.604747***</w:t>
            </w:r>
          </w:p>
        </w:tc>
        <w:tc>
          <w:tcPr>
            <w:tcW w:w="0" w:type="auto"/>
          </w:tcPr>
          <w:p w:rsidR="00DD760D" w:rsidRPr="00221AAF" w:rsidRDefault="00221AAF" w:rsidP="00221AAF">
            <w:pPr>
              <w:pStyle w:val="Compact"/>
            </w:pPr>
            <w:r w:rsidRPr="00221AAF">
              <w:t>9.113890***</w:t>
            </w:r>
          </w:p>
        </w:tc>
      </w:tr>
      <w:tr w:rsidR="00DD760D" w:rsidRPr="00221AAF" w:rsidTr="00221AAF">
        <w:trPr>
          <w:jc w:val="center"/>
        </w:trPr>
        <w:tc>
          <w:tcPr>
            <w:tcW w:w="0" w:type="auto"/>
          </w:tcPr>
          <w:p w:rsidR="00DD760D" w:rsidRPr="00221AAF" w:rsidRDefault="00221AAF" w:rsidP="00221AAF">
            <w:pPr>
              <w:pStyle w:val="Compact"/>
            </w:pPr>
            <w:r w:rsidRPr="00221AAF">
              <w:t>Cote D’Ivoire</w:t>
            </w:r>
          </w:p>
        </w:tc>
        <w:tc>
          <w:tcPr>
            <w:tcW w:w="0" w:type="auto"/>
          </w:tcPr>
          <w:p w:rsidR="00DD760D" w:rsidRPr="00221AAF" w:rsidRDefault="00221AAF" w:rsidP="00221AAF">
            <w:pPr>
              <w:pStyle w:val="Compact"/>
            </w:pPr>
            <w:r w:rsidRPr="00221AAF">
              <w:t>Symmetric Model (ARDL)</w:t>
            </w:r>
          </w:p>
        </w:tc>
        <w:tc>
          <w:tcPr>
            <w:tcW w:w="0" w:type="auto"/>
          </w:tcPr>
          <w:p w:rsidR="00DD760D" w:rsidRPr="00221AAF" w:rsidRDefault="00221AAF" w:rsidP="00221AAF">
            <w:pPr>
              <w:pStyle w:val="Compact"/>
            </w:pPr>
            <w:r w:rsidRPr="00221AAF">
              <w:t>9.722075***</w:t>
            </w:r>
          </w:p>
        </w:tc>
        <w:tc>
          <w:tcPr>
            <w:tcW w:w="0" w:type="auto"/>
          </w:tcPr>
          <w:p w:rsidR="00DD760D" w:rsidRPr="00221AAF" w:rsidRDefault="00221AAF" w:rsidP="00221AAF">
            <w:pPr>
              <w:pStyle w:val="Compact"/>
            </w:pPr>
            <w:r w:rsidRPr="00221AAF">
              <w:t>7.933167***</w:t>
            </w:r>
          </w:p>
        </w:tc>
      </w:tr>
      <w:tr w:rsidR="00DD760D" w:rsidRPr="00221AAF" w:rsidTr="00221AAF">
        <w:trPr>
          <w:jc w:val="center"/>
        </w:trPr>
        <w:tc>
          <w:tcPr>
            <w:tcW w:w="0" w:type="auto"/>
          </w:tcPr>
          <w:p w:rsidR="00DD760D" w:rsidRPr="00221AAF" w:rsidRDefault="00DD760D" w:rsidP="00221AAF">
            <w:pPr>
              <w:jc w:val="both"/>
              <w:rPr>
                <w:sz w:val="20"/>
              </w:rPr>
            </w:pPr>
          </w:p>
        </w:tc>
        <w:tc>
          <w:tcPr>
            <w:tcW w:w="0" w:type="auto"/>
          </w:tcPr>
          <w:p w:rsidR="00DD760D" w:rsidRPr="00221AAF" w:rsidRDefault="00221AAF" w:rsidP="00221AAF">
            <w:pPr>
              <w:pStyle w:val="Compact"/>
            </w:pPr>
            <w:r w:rsidRPr="00221AAF">
              <w:t>Asymmetric Model (NARDL)</w:t>
            </w:r>
          </w:p>
        </w:tc>
        <w:tc>
          <w:tcPr>
            <w:tcW w:w="0" w:type="auto"/>
          </w:tcPr>
          <w:p w:rsidR="00DD760D" w:rsidRPr="00221AAF" w:rsidRDefault="00221AAF" w:rsidP="00221AAF">
            <w:pPr>
              <w:pStyle w:val="Compact"/>
            </w:pPr>
            <w:r w:rsidRPr="00221AAF">
              <w:t>15.90104***</w:t>
            </w:r>
          </w:p>
        </w:tc>
        <w:tc>
          <w:tcPr>
            <w:tcW w:w="0" w:type="auto"/>
          </w:tcPr>
          <w:p w:rsidR="00DD760D" w:rsidRPr="00221AAF" w:rsidRDefault="00221AAF" w:rsidP="00221AAF">
            <w:pPr>
              <w:pStyle w:val="Compact"/>
            </w:pPr>
            <w:r w:rsidRPr="00221AAF">
              <w:t>5.861461***</w:t>
            </w:r>
          </w:p>
        </w:tc>
      </w:tr>
      <w:tr w:rsidR="00DD760D" w:rsidRPr="00221AAF" w:rsidTr="00221AAF">
        <w:tblPrEx>
          <w:tblLook w:val="07C0" w:firstRow="0" w:lastRow="1" w:firstColumn="1" w:lastColumn="1" w:noHBand="1" w:noVBand="1"/>
        </w:tblPrEx>
        <w:trPr>
          <w:jc w:val="center"/>
        </w:trPr>
        <w:tc>
          <w:tcPr>
            <w:tcW w:w="0" w:type="auto"/>
            <w:gridSpan w:val="4"/>
          </w:tcPr>
          <w:p w:rsidR="00DD760D" w:rsidRPr="00221AAF" w:rsidRDefault="00221AAF" w:rsidP="00221AAF">
            <w:pPr>
              <w:pStyle w:val="Compact"/>
            </w:pPr>
            <w:r w:rsidRPr="00221AAF">
              <w:t>Note: *,** and *** denote “rejection” of the null hypothesis that there is no long-run relationship at 10%, 5% and 1% level of significance. The critical value bounds are obtained from Pesaran et al. (</w:t>
            </w:r>
            <w:hyperlink w:anchor="ref-pesaran2001bounds">
              <w:r w:rsidRPr="00221AAF">
                <w:rPr>
                  <w:rStyle w:val="Hyperlink"/>
                </w:rPr>
                <w:t>2001</w:t>
              </w:r>
            </w:hyperlink>
            <w:r w:rsidRPr="00221AAF">
              <w:t xml:space="preserve">). The ARDL lower (upper) critical values for 1%, 5% and 10% are 3.65 (4.66), 2.79 (3.67) and 2.37 (3.20), respectively. While the </w:t>
            </w:r>
            <w:r w:rsidRPr="00221AAF">
              <w:lastRenderedPageBreak/>
              <w:t>NARDL lower (upper) critical values for 1%, 5% and 10% are 3.29 (4.37), 2.56 (3.49) and 2.20 (3.09), respectively. F(X) and F(M) are the F-values for export equation and import equation respectively.</w:t>
            </w:r>
          </w:p>
        </w:tc>
      </w:tr>
    </w:tbl>
    <w:p w:rsidR="00DD760D" w:rsidRDefault="00221AAF">
      <w:pPr>
        <w:pStyle w:val="BodyText"/>
      </w:pPr>
      <w:r>
        <w:lastRenderedPageBreak/>
        <w:t>Table 2 reveals the presence of cointegration for the export equation at the conventional levels for all the countries, for the ARDL and NARDL models. The import equation supports the rejection of the null hypothesis of no cointegration for all the countries, as shown in In summary, the export and import equations for each country have a long-run relationship with other regressors in the ARDL and NARDL equations at the conventional significance levels. Hence, the long-run relationship for the export and import equations can be computed from the estimates of Equation (6) for the NARDL model.</w:t>
      </w:r>
    </w:p>
    <w:p w:rsidR="00DD760D" w:rsidRDefault="00221AAF">
      <w:pPr>
        <w:pStyle w:val="Heading2"/>
      </w:pPr>
      <w:bookmarkStart w:id="11" w:name="model-selection-and-residual-diagnostics"/>
      <w:r>
        <w:t>Model Selection and Residual Diagnostics</w:t>
      </w:r>
      <w:bookmarkEnd w:id="11"/>
    </w:p>
    <w:p w:rsidR="00DD760D" w:rsidRDefault="00221AAF">
      <w:pPr>
        <w:pStyle w:val="FirstParagraph"/>
      </w:pPr>
      <w:r>
        <w:t>Tables 3 and 4 aim to compare ARDL and NARDL of export equation and import equation respectively, with a view to choosing a better model. The measures used include Schwarz information criteria (SIC); residual diagnostics such as serial correlation (SC), Heteroscedasticity (H), normality (N) and arch form heteroscedasticity (ARCH) tests; and stability measures, which include CUSUM (CQ) and CUSUM of Squares (CS) tests. Smaller SIC values imply that the respective model is more parsimonious than the other. As shown in Table 3, NARDL has a lower SIC value than ARDL for all the countries except Burkina Faso and Benin. Thus, SIC chooses NARDL over ARDL for all the export equations of all the countries other than Burkina Faso and Benin. However, estimation of the NARDL model for each of these three countries indicates that at least one of the volatility measures is significant in the short run or long run, as shown in Table 7. Hence, it will be more reasonable to model the exports of these countries as NARDL instead of ARDL. In the case of the import equations presented in Table 4, NARDL appears to be better for each country as it has a lower SIC value.</w:t>
      </w:r>
    </w:p>
    <w:p w:rsidR="00DD760D" w:rsidRDefault="00221AAF">
      <w:pPr>
        <w:pStyle w:val="TableCaption"/>
      </w:pPr>
      <w:r>
        <w:lastRenderedPageBreak/>
        <w:t>Table 3: Model selection and diagnostic tests for the export equation</w:t>
      </w:r>
    </w:p>
    <w:tbl>
      <w:tblPr>
        <w:tblStyle w:val="Table"/>
        <w:tblW w:w="0" w:type="pct"/>
        <w:jc w:val="center"/>
        <w:tblLook w:val="07E0" w:firstRow="1" w:lastRow="1" w:firstColumn="1" w:lastColumn="1" w:noHBand="1" w:noVBand="1"/>
        <w:tblCaption w:val="Table 3: Model selection and diagnostic tests for the export equation"/>
      </w:tblPr>
      <w:tblGrid>
        <w:gridCol w:w="1740"/>
        <w:gridCol w:w="1652"/>
        <w:gridCol w:w="1796"/>
        <w:gridCol w:w="1652"/>
        <w:gridCol w:w="741"/>
        <w:gridCol w:w="678"/>
        <w:gridCol w:w="1101"/>
      </w:tblGrid>
      <w:tr w:rsidR="00DD760D" w:rsidRPr="00221AAF" w:rsidTr="00221AAF">
        <w:trPr>
          <w:jc w:val="center"/>
        </w:trPr>
        <w:tc>
          <w:tcPr>
            <w:tcW w:w="0" w:type="auto"/>
            <w:tcBorders>
              <w:bottom w:val="single" w:sz="0" w:space="0" w:color="auto"/>
            </w:tcBorders>
            <w:vAlign w:val="bottom"/>
          </w:tcPr>
          <w:p w:rsidR="00DD760D" w:rsidRPr="00221AAF" w:rsidRDefault="00221AAF" w:rsidP="00221AAF">
            <w:pPr>
              <w:pStyle w:val="Compact"/>
              <w:rPr>
                <w:b/>
              </w:rPr>
            </w:pPr>
            <w:r w:rsidRPr="00221AAF">
              <w:rPr>
                <w:b/>
              </w:rPr>
              <w:t>Test Statistic</w:t>
            </w:r>
          </w:p>
        </w:tc>
        <w:tc>
          <w:tcPr>
            <w:tcW w:w="0" w:type="auto"/>
            <w:tcBorders>
              <w:bottom w:val="single" w:sz="0" w:space="0" w:color="auto"/>
            </w:tcBorders>
            <w:vAlign w:val="bottom"/>
          </w:tcPr>
          <w:p w:rsidR="00DD760D" w:rsidRPr="00221AAF" w:rsidRDefault="00221AAF" w:rsidP="00221AAF">
            <w:pPr>
              <w:pStyle w:val="Compact"/>
              <w:rPr>
                <w:b/>
              </w:rPr>
            </w:pPr>
            <w:r w:rsidRPr="00221AAF">
              <w:rPr>
                <w:b/>
              </w:rPr>
              <w:t>SC</w:t>
            </w:r>
          </w:p>
        </w:tc>
        <w:tc>
          <w:tcPr>
            <w:tcW w:w="0" w:type="auto"/>
            <w:tcBorders>
              <w:bottom w:val="single" w:sz="0" w:space="0" w:color="auto"/>
            </w:tcBorders>
            <w:vAlign w:val="bottom"/>
          </w:tcPr>
          <w:p w:rsidR="00DD760D" w:rsidRPr="00221AAF" w:rsidRDefault="00221AAF" w:rsidP="00221AAF">
            <w:pPr>
              <w:pStyle w:val="Compact"/>
              <w:rPr>
                <w:b/>
              </w:rPr>
            </w:pPr>
            <w:r w:rsidRPr="00221AAF">
              <w:rPr>
                <w:b/>
              </w:rPr>
              <w:t>H</w:t>
            </w:r>
          </w:p>
        </w:tc>
        <w:tc>
          <w:tcPr>
            <w:tcW w:w="0" w:type="auto"/>
            <w:tcBorders>
              <w:bottom w:val="single" w:sz="0" w:space="0" w:color="auto"/>
            </w:tcBorders>
            <w:vAlign w:val="bottom"/>
          </w:tcPr>
          <w:p w:rsidR="00DD760D" w:rsidRPr="00221AAF" w:rsidRDefault="00221AAF" w:rsidP="00221AAF">
            <w:pPr>
              <w:pStyle w:val="Compact"/>
              <w:rPr>
                <w:b/>
              </w:rPr>
            </w:pPr>
            <w:r w:rsidRPr="00221AAF">
              <w:rPr>
                <w:b/>
              </w:rPr>
              <w:t>ARCH</w:t>
            </w:r>
          </w:p>
        </w:tc>
        <w:tc>
          <w:tcPr>
            <w:tcW w:w="0" w:type="auto"/>
            <w:tcBorders>
              <w:bottom w:val="single" w:sz="0" w:space="0" w:color="auto"/>
            </w:tcBorders>
            <w:vAlign w:val="bottom"/>
          </w:tcPr>
          <w:p w:rsidR="00DD760D" w:rsidRPr="00221AAF" w:rsidRDefault="00221AAF" w:rsidP="00221AAF">
            <w:pPr>
              <w:pStyle w:val="Compact"/>
              <w:rPr>
                <w:b/>
              </w:rPr>
            </w:pPr>
            <w:r w:rsidRPr="00221AAF">
              <w:rPr>
                <w:b/>
              </w:rPr>
              <w:t>CQ</w:t>
            </w:r>
          </w:p>
        </w:tc>
        <w:tc>
          <w:tcPr>
            <w:tcW w:w="0" w:type="auto"/>
            <w:tcBorders>
              <w:bottom w:val="single" w:sz="0" w:space="0" w:color="auto"/>
            </w:tcBorders>
            <w:vAlign w:val="bottom"/>
          </w:tcPr>
          <w:p w:rsidR="00DD760D" w:rsidRPr="00221AAF" w:rsidRDefault="00221AAF" w:rsidP="00221AAF">
            <w:pPr>
              <w:pStyle w:val="Compact"/>
              <w:rPr>
                <w:b/>
              </w:rPr>
            </w:pPr>
            <w:r w:rsidRPr="00221AAF">
              <w:rPr>
                <w:b/>
              </w:rPr>
              <w:t>CS</w:t>
            </w:r>
          </w:p>
        </w:tc>
        <w:tc>
          <w:tcPr>
            <w:tcW w:w="0" w:type="auto"/>
            <w:tcBorders>
              <w:bottom w:val="single" w:sz="0" w:space="0" w:color="auto"/>
            </w:tcBorders>
            <w:vAlign w:val="bottom"/>
          </w:tcPr>
          <w:p w:rsidR="00DD760D" w:rsidRPr="00221AAF" w:rsidRDefault="00221AAF" w:rsidP="00221AAF">
            <w:pPr>
              <w:pStyle w:val="Compact"/>
              <w:rPr>
                <w:b/>
              </w:rPr>
            </w:pPr>
            <w:r w:rsidRPr="00221AAF">
              <w:rPr>
                <w:b/>
              </w:rPr>
              <w:t>SIC</w:t>
            </w:r>
          </w:p>
        </w:tc>
      </w:tr>
      <w:tr w:rsidR="00DD760D" w:rsidRPr="00221AAF" w:rsidTr="00221AAF">
        <w:trPr>
          <w:jc w:val="center"/>
        </w:trPr>
        <w:tc>
          <w:tcPr>
            <w:tcW w:w="0" w:type="auto"/>
          </w:tcPr>
          <w:p w:rsidR="00DD760D" w:rsidRPr="00221AAF" w:rsidRDefault="00221AAF" w:rsidP="00221AAF">
            <w:pPr>
              <w:pStyle w:val="Compact"/>
            </w:pPr>
            <w:r w:rsidRPr="00221AAF">
              <w:t>Nigeria ARDL</w:t>
            </w:r>
          </w:p>
        </w:tc>
        <w:tc>
          <w:tcPr>
            <w:tcW w:w="0" w:type="auto"/>
          </w:tcPr>
          <w:p w:rsidR="00DD760D" w:rsidRPr="00221AAF" w:rsidRDefault="00221AAF" w:rsidP="00221AAF">
            <w:pPr>
              <w:pStyle w:val="Compact"/>
            </w:pPr>
            <w:r w:rsidRPr="00221AAF">
              <w:t>0.85(0.65)</w:t>
            </w:r>
          </w:p>
        </w:tc>
        <w:tc>
          <w:tcPr>
            <w:tcW w:w="0" w:type="auto"/>
          </w:tcPr>
          <w:p w:rsidR="00DD760D" w:rsidRPr="00221AAF" w:rsidRDefault="00221AAF" w:rsidP="00221AAF">
            <w:pPr>
              <w:pStyle w:val="Compact"/>
            </w:pPr>
            <w:r w:rsidRPr="00221AAF">
              <w:t>15.19(0.09)</w:t>
            </w:r>
          </w:p>
        </w:tc>
        <w:tc>
          <w:tcPr>
            <w:tcW w:w="0" w:type="auto"/>
          </w:tcPr>
          <w:p w:rsidR="00DD760D" w:rsidRPr="00221AAF" w:rsidRDefault="00221AAF" w:rsidP="00221AAF">
            <w:pPr>
              <w:pStyle w:val="Compact"/>
            </w:pPr>
            <w:r w:rsidRPr="00221AAF">
              <w:t>0.02(0.90)</w:t>
            </w:r>
          </w:p>
        </w:tc>
        <w:tc>
          <w:tcPr>
            <w:tcW w:w="0" w:type="auto"/>
          </w:tcPr>
          <w:p w:rsidR="00DD760D" w:rsidRPr="00221AAF" w:rsidRDefault="00221AAF" w:rsidP="00221AAF">
            <w:pPr>
              <w:pStyle w:val="Compact"/>
            </w:pPr>
            <w:r w:rsidRPr="00221AAF">
              <w:t>S</w:t>
            </w:r>
          </w:p>
        </w:tc>
        <w:tc>
          <w:tcPr>
            <w:tcW w:w="0" w:type="auto"/>
          </w:tcPr>
          <w:p w:rsidR="00DD760D" w:rsidRPr="00221AAF" w:rsidRDefault="00221AAF" w:rsidP="00221AAF">
            <w:pPr>
              <w:pStyle w:val="Compact"/>
            </w:pPr>
            <w:r w:rsidRPr="00221AAF">
              <w:t>S</w:t>
            </w:r>
          </w:p>
        </w:tc>
        <w:tc>
          <w:tcPr>
            <w:tcW w:w="0" w:type="auto"/>
          </w:tcPr>
          <w:p w:rsidR="00DD760D" w:rsidRPr="00221AAF" w:rsidRDefault="00221AAF" w:rsidP="00221AAF">
            <w:pPr>
              <w:pStyle w:val="Compact"/>
            </w:pPr>
            <w:r w:rsidRPr="00221AAF">
              <w:t>0.1542</w:t>
            </w:r>
          </w:p>
        </w:tc>
      </w:tr>
      <w:tr w:rsidR="00DD760D" w:rsidRPr="00221AAF" w:rsidTr="00221AAF">
        <w:trPr>
          <w:jc w:val="center"/>
        </w:trPr>
        <w:tc>
          <w:tcPr>
            <w:tcW w:w="0" w:type="auto"/>
          </w:tcPr>
          <w:p w:rsidR="00DD760D" w:rsidRPr="00221AAF" w:rsidRDefault="00221AAF" w:rsidP="00221AAF">
            <w:pPr>
              <w:pStyle w:val="Compact"/>
            </w:pPr>
            <w:r w:rsidRPr="00221AAF">
              <w:t>Nigeria NARDL</w:t>
            </w:r>
          </w:p>
        </w:tc>
        <w:tc>
          <w:tcPr>
            <w:tcW w:w="0" w:type="auto"/>
          </w:tcPr>
          <w:p w:rsidR="00DD760D" w:rsidRPr="00221AAF" w:rsidRDefault="00221AAF" w:rsidP="00221AAF">
            <w:pPr>
              <w:pStyle w:val="Compact"/>
            </w:pPr>
            <w:r w:rsidRPr="00221AAF">
              <w:t>6.07(0.19)</w:t>
            </w:r>
          </w:p>
        </w:tc>
        <w:tc>
          <w:tcPr>
            <w:tcW w:w="0" w:type="auto"/>
          </w:tcPr>
          <w:p w:rsidR="00DD760D" w:rsidRPr="00221AAF" w:rsidRDefault="00221AAF" w:rsidP="00221AAF">
            <w:pPr>
              <w:pStyle w:val="Compact"/>
            </w:pPr>
            <w:r w:rsidRPr="00221AAF">
              <w:t>33.95(0.86)</w:t>
            </w:r>
          </w:p>
        </w:tc>
        <w:tc>
          <w:tcPr>
            <w:tcW w:w="0" w:type="auto"/>
          </w:tcPr>
          <w:p w:rsidR="00DD760D" w:rsidRPr="00221AAF" w:rsidRDefault="00221AAF" w:rsidP="00221AAF">
            <w:pPr>
              <w:pStyle w:val="Compact"/>
            </w:pPr>
            <w:r w:rsidRPr="00221AAF">
              <w:t>0.02(0.88)</w:t>
            </w:r>
          </w:p>
        </w:tc>
        <w:tc>
          <w:tcPr>
            <w:tcW w:w="0" w:type="auto"/>
          </w:tcPr>
          <w:p w:rsidR="00DD760D" w:rsidRPr="00221AAF" w:rsidRDefault="00221AAF" w:rsidP="00221AAF">
            <w:pPr>
              <w:pStyle w:val="Compact"/>
            </w:pPr>
            <w:r w:rsidRPr="00221AAF">
              <w:t>S</w:t>
            </w:r>
          </w:p>
        </w:tc>
        <w:tc>
          <w:tcPr>
            <w:tcW w:w="0" w:type="auto"/>
          </w:tcPr>
          <w:p w:rsidR="00DD760D" w:rsidRPr="00221AAF" w:rsidRDefault="00221AAF" w:rsidP="00221AAF">
            <w:pPr>
              <w:pStyle w:val="Compact"/>
            </w:pPr>
            <w:r w:rsidRPr="00221AAF">
              <w:t>S</w:t>
            </w:r>
          </w:p>
        </w:tc>
        <w:tc>
          <w:tcPr>
            <w:tcW w:w="0" w:type="auto"/>
          </w:tcPr>
          <w:p w:rsidR="00DD760D" w:rsidRPr="00221AAF" w:rsidRDefault="00221AAF" w:rsidP="00221AAF">
            <w:pPr>
              <w:pStyle w:val="Compact"/>
            </w:pPr>
            <w:r w:rsidRPr="00221AAF">
              <w:t>0.0955</w:t>
            </w:r>
          </w:p>
        </w:tc>
      </w:tr>
      <w:tr w:rsidR="00DD760D" w:rsidRPr="00221AAF" w:rsidTr="00221AAF">
        <w:trPr>
          <w:jc w:val="center"/>
        </w:trPr>
        <w:tc>
          <w:tcPr>
            <w:tcW w:w="0" w:type="auto"/>
          </w:tcPr>
          <w:p w:rsidR="00DD760D" w:rsidRPr="00221AAF" w:rsidRDefault="00221AAF" w:rsidP="00221AAF">
            <w:pPr>
              <w:pStyle w:val="Compact"/>
            </w:pPr>
            <w:r w:rsidRPr="00221AAF">
              <w:t>Ghana ARDL</w:t>
            </w:r>
          </w:p>
        </w:tc>
        <w:tc>
          <w:tcPr>
            <w:tcW w:w="0" w:type="auto"/>
          </w:tcPr>
          <w:p w:rsidR="00DD760D" w:rsidRPr="00221AAF" w:rsidRDefault="00221AAF" w:rsidP="00221AAF">
            <w:pPr>
              <w:pStyle w:val="Compact"/>
            </w:pPr>
            <w:r w:rsidRPr="00221AAF">
              <w:t>0.63(0.73)</w:t>
            </w:r>
          </w:p>
        </w:tc>
        <w:tc>
          <w:tcPr>
            <w:tcW w:w="0" w:type="auto"/>
          </w:tcPr>
          <w:p w:rsidR="00DD760D" w:rsidRPr="00221AAF" w:rsidRDefault="00221AAF" w:rsidP="00221AAF">
            <w:pPr>
              <w:pStyle w:val="Compact"/>
            </w:pPr>
            <w:r w:rsidRPr="00221AAF">
              <w:t>4.90(0.84)</w:t>
            </w:r>
          </w:p>
        </w:tc>
        <w:tc>
          <w:tcPr>
            <w:tcW w:w="0" w:type="auto"/>
          </w:tcPr>
          <w:p w:rsidR="00DD760D" w:rsidRPr="00221AAF" w:rsidRDefault="00221AAF" w:rsidP="00221AAF">
            <w:pPr>
              <w:pStyle w:val="Compact"/>
            </w:pPr>
            <w:r w:rsidRPr="00221AAF">
              <w:t>0.02(0.88)</w:t>
            </w:r>
          </w:p>
        </w:tc>
        <w:tc>
          <w:tcPr>
            <w:tcW w:w="0" w:type="auto"/>
          </w:tcPr>
          <w:p w:rsidR="00DD760D" w:rsidRPr="00221AAF" w:rsidRDefault="00221AAF" w:rsidP="00221AAF">
            <w:pPr>
              <w:pStyle w:val="Compact"/>
            </w:pPr>
            <w:r w:rsidRPr="00221AAF">
              <w:t>S</w:t>
            </w:r>
          </w:p>
        </w:tc>
        <w:tc>
          <w:tcPr>
            <w:tcW w:w="0" w:type="auto"/>
          </w:tcPr>
          <w:p w:rsidR="00DD760D" w:rsidRPr="00221AAF" w:rsidRDefault="00221AAF" w:rsidP="00221AAF">
            <w:pPr>
              <w:pStyle w:val="Compact"/>
            </w:pPr>
            <w:r w:rsidRPr="00221AAF">
              <w:t>S</w:t>
            </w:r>
          </w:p>
        </w:tc>
        <w:tc>
          <w:tcPr>
            <w:tcW w:w="0" w:type="auto"/>
          </w:tcPr>
          <w:p w:rsidR="00DD760D" w:rsidRPr="00221AAF" w:rsidRDefault="00221AAF" w:rsidP="00221AAF">
            <w:pPr>
              <w:pStyle w:val="Compact"/>
            </w:pPr>
            <w:r w:rsidRPr="00221AAF">
              <w:t>0.6615</w:t>
            </w:r>
          </w:p>
        </w:tc>
      </w:tr>
      <w:tr w:rsidR="00DD760D" w:rsidRPr="00221AAF" w:rsidTr="00221AAF">
        <w:trPr>
          <w:jc w:val="center"/>
        </w:trPr>
        <w:tc>
          <w:tcPr>
            <w:tcW w:w="0" w:type="auto"/>
          </w:tcPr>
          <w:p w:rsidR="00DD760D" w:rsidRPr="00221AAF" w:rsidRDefault="00221AAF" w:rsidP="00221AAF">
            <w:pPr>
              <w:pStyle w:val="Compact"/>
            </w:pPr>
            <w:r w:rsidRPr="00221AAF">
              <w:t>Ghana NARDL</w:t>
            </w:r>
          </w:p>
        </w:tc>
        <w:tc>
          <w:tcPr>
            <w:tcW w:w="0" w:type="auto"/>
          </w:tcPr>
          <w:p w:rsidR="00DD760D" w:rsidRPr="00221AAF" w:rsidRDefault="00221AAF" w:rsidP="00221AAF">
            <w:pPr>
              <w:pStyle w:val="Compact"/>
            </w:pPr>
            <w:r w:rsidRPr="00221AAF">
              <w:t>6.04(0.20)</w:t>
            </w:r>
          </w:p>
        </w:tc>
        <w:tc>
          <w:tcPr>
            <w:tcW w:w="0" w:type="auto"/>
          </w:tcPr>
          <w:p w:rsidR="00DD760D" w:rsidRPr="00221AAF" w:rsidRDefault="00221AAF" w:rsidP="00221AAF">
            <w:pPr>
              <w:pStyle w:val="Compact"/>
            </w:pPr>
            <w:r w:rsidRPr="00221AAF">
              <w:t>119.22(0.00)</w:t>
            </w:r>
          </w:p>
        </w:tc>
        <w:tc>
          <w:tcPr>
            <w:tcW w:w="0" w:type="auto"/>
          </w:tcPr>
          <w:p w:rsidR="00DD760D" w:rsidRPr="00221AAF" w:rsidRDefault="00221AAF" w:rsidP="00221AAF">
            <w:pPr>
              <w:pStyle w:val="Compact"/>
            </w:pPr>
            <w:r w:rsidRPr="00221AAF">
              <w:t>0.09(0.76)</w:t>
            </w:r>
          </w:p>
        </w:tc>
        <w:tc>
          <w:tcPr>
            <w:tcW w:w="0" w:type="auto"/>
          </w:tcPr>
          <w:p w:rsidR="00DD760D" w:rsidRPr="00221AAF" w:rsidRDefault="00221AAF" w:rsidP="00221AAF">
            <w:pPr>
              <w:pStyle w:val="Compact"/>
            </w:pPr>
            <w:r w:rsidRPr="00221AAF">
              <w:t>S</w:t>
            </w:r>
          </w:p>
        </w:tc>
        <w:tc>
          <w:tcPr>
            <w:tcW w:w="0" w:type="auto"/>
          </w:tcPr>
          <w:p w:rsidR="00DD760D" w:rsidRPr="00221AAF" w:rsidRDefault="00221AAF" w:rsidP="00221AAF">
            <w:pPr>
              <w:pStyle w:val="Compact"/>
            </w:pPr>
            <w:r w:rsidRPr="00221AAF">
              <w:t>S</w:t>
            </w:r>
          </w:p>
        </w:tc>
        <w:tc>
          <w:tcPr>
            <w:tcW w:w="0" w:type="auto"/>
          </w:tcPr>
          <w:p w:rsidR="00DD760D" w:rsidRPr="00221AAF" w:rsidRDefault="00221AAF" w:rsidP="00221AAF">
            <w:pPr>
              <w:pStyle w:val="Compact"/>
            </w:pPr>
            <w:r w:rsidRPr="00221AAF">
              <w:t>0.5182</w:t>
            </w:r>
          </w:p>
        </w:tc>
      </w:tr>
      <w:tr w:rsidR="00DD760D" w:rsidRPr="00221AAF" w:rsidTr="00221AAF">
        <w:trPr>
          <w:jc w:val="center"/>
        </w:trPr>
        <w:tc>
          <w:tcPr>
            <w:tcW w:w="0" w:type="auto"/>
          </w:tcPr>
          <w:p w:rsidR="00DD760D" w:rsidRPr="00221AAF" w:rsidRDefault="00221AAF" w:rsidP="00221AAF">
            <w:pPr>
              <w:pStyle w:val="Compact"/>
            </w:pPr>
            <w:r w:rsidRPr="00221AAF">
              <w:t>Senegal ARDL</w:t>
            </w:r>
          </w:p>
        </w:tc>
        <w:tc>
          <w:tcPr>
            <w:tcW w:w="0" w:type="auto"/>
          </w:tcPr>
          <w:p w:rsidR="00DD760D" w:rsidRPr="00221AAF" w:rsidRDefault="00221AAF" w:rsidP="00221AAF">
            <w:pPr>
              <w:pStyle w:val="Compact"/>
            </w:pPr>
            <w:r w:rsidRPr="00221AAF">
              <w:t>6.62(0.04)</w:t>
            </w:r>
          </w:p>
        </w:tc>
        <w:tc>
          <w:tcPr>
            <w:tcW w:w="0" w:type="auto"/>
          </w:tcPr>
          <w:p w:rsidR="00DD760D" w:rsidRPr="00221AAF" w:rsidRDefault="00221AAF" w:rsidP="00221AAF">
            <w:pPr>
              <w:pStyle w:val="Compact"/>
            </w:pPr>
            <w:r w:rsidRPr="00221AAF">
              <w:t>23.20(0.01)</w:t>
            </w:r>
          </w:p>
        </w:tc>
        <w:tc>
          <w:tcPr>
            <w:tcW w:w="0" w:type="auto"/>
          </w:tcPr>
          <w:p w:rsidR="00DD760D" w:rsidRPr="00221AAF" w:rsidRDefault="00221AAF" w:rsidP="00221AAF">
            <w:pPr>
              <w:pStyle w:val="Compact"/>
            </w:pPr>
            <w:r w:rsidRPr="00221AAF">
              <w:t>9.43(0.00)</w:t>
            </w:r>
          </w:p>
        </w:tc>
        <w:tc>
          <w:tcPr>
            <w:tcW w:w="0" w:type="auto"/>
          </w:tcPr>
          <w:p w:rsidR="00DD760D" w:rsidRPr="00221AAF" w:rsidRDefault="00221AAF" w:rsidP="00221AAF">
            <w:pPr>
              <w:pStyle w:val="Compact"/>
            </w:pPr>
            <w:r w:rsidRPr="00221AAF">
              <w:t>S</w:t>
            </w:r>
          </w:p>
        </w:tc>
        <w:tc>
          <w:tcPr>
            <w:tcW w:w="0" w:type="auto"/>
          </w:tcPr>
          <w:p w:rsidR="00DD760D" w:rsidRPr="00221AAF" w:rsidRDefault="00221AAF" w:rsidP="00221AAF">
            <w:pPr>
              <w:pStyle w:val="Compact"/>
            </w:pPr>
            <w:r w:rsidRPr="00221AAF">
              <w:t>S</w:t>
            </w:r>
          </w:p>
        </w:tc>
        <w:tc>
          <w:tcPr>
            <w:tcW w:w="0" w:type="auto"/>
          </w:tcPr>
          <w:p w:rsidR="00DD760D" w:rsidRPr="00221AAF" w:rsidRDefault="00221AAF" w:rsidP="00221AAF">
            <w:pPr>
              <w:pStyle w:val="Compact"/>
            </w:pPr>
            <w:r w:rsidRPr="00221AAF">
              <w:t>0.2675</w:t>
            </w:r>
          </w:p>
        </w:tc>
      </w:tr>
      <w:tr w:rsidR="00DD760D" w:rsidRPr="00221AAF" w:rsidTr="00221AAF">
        <w:trPr>
          <w:jc w:val="center"/>
        </w:trPr>
        <w:tc>
          <w:tcPr>
            <w:tcW w:w="0" w:type="auto"/>
          </w:tcPr>
          <w:p w:rsidR="00DD760D" w:rsidRPr="00221AAF" w:rsidRDefault="00221AAF" w:rsidP="00221AAF">
            <w:pPr>
              <w:pStyle w:val="Compact"/>
            </w:pPr>
            <w:r w:rsidRPr="00221AAF">
              <w:t>Senegal NARDL</w:t>
            </w:r>
          </w:p>
        </w:tc>
        <w:tc>
          <w:tcPr>
            <w:tcW w:w="0" w:type="auto"/>
          </w:tcPr>
          <w:p w:rsidR="00DD760D" w:rsidRPr="00221AAF" w:rsidRDefault="00221AAF" w:rsidP="00221AAF">
            <w:pPr>
              <w:pStyle w:val="Compact"/>
            </w:pPr>
            <w:r w:rsidRPr="00221AAF">
              <w:t>10.79(0.03)</w:t>
            </w:r>
          </w:p>
        </w:tc>
        <w:tc>
          <w:tcPr>
            <w:tcW w:w="0" w:type="auto"/>
          </w:tcPr>
          <w:p w:rsidR="00DD760D" w:rsidRPr="00221AAF" w:rsidRDefault="00221AAF" w:rsidP="00221AAF">
            <w:pPr>
              <w:pStyle w:val="Compact"/>
            </w:pPr>
            <w:r w:rsidRPr="00221AAF">
              <w:t>81.57(0.00)</w:t>
            </w:r>
          </w:p>
        </w:tc>
        <w:tc>
          <w:tcPr>
            <w:tcW w:w="0" w:type="auto"/>
          </w:tcPr>
          <w:p w:rsidR="00DD760D" w:rsidRPr="00221AAF" w:rsidRDefault="00221AAF" w:rsidP="00221AAF">
            <w:pPr>
              <w:pStyle w:val="Compact"/>
            </w:pPr>
            <w:r w:rsidRPr="00221AAF">
              <w:t>5.45(0.02)</w:t>
            </w:r>
          </w:p>
        </w:tc>
        <w:tc>
          <w:tcPr>
            <w:tcW w:w="0" w:type="auto"/>
          </w:tcPr>
          <w:p w:rsidR="00DD760D" w:rsidRPr="00221AAF" w:rsidRDefault="00221AAF" w:rsidP="00221AAF">
            <w:pPr>
              <w:pStyle w:val="Compact"/>
            </w:pPr>
            <w:r w:rsidRPr="00221AAF">
              <w:t>S</w:t>
            </w:r>
          </w:p>
        </w:tc>
        <w:tc>
          <w:tcPr>
            <w:tcW w:w="0" w:type="auto"/>
          </w:tcPr>
          <w:p w:rsidR="00DD760D" w:rsidRPr="00221AAF" w:rsidRDefault="00221AAF" w:rsidP="00221AAF">
            <w:pPr>
              <w:pStyle w:val="Compact"/>
            </w:pPr>
            <w:r w:rsidRPr="00221AAF">
              <w:t>U</w:t>
            </w:r>
          </w:p>
        </w:tc>
        <w:tc>
          <w:tcPr>
            <w:tcW w:w="0" w:type="auto"/>
          </w:tcPr>
          <w:p w:rsidR="00DD760D" w:rsidRPr="00221AAF" w:rsidRDefault="00221AAF" w:rsidP="00221AAF">
            <w:pPr>
              <w:pStyle w:val="Compact"/>
            </w:pPr>
            <w:r w:rsidRPr="00221AAF">
              <w:t>0.1439</w:t>
            </w:r>
          </w:p>
        </w:tc>
      </w:tr>
      <w:tr w:rsidR="00DD760D" w:rsidRPr="00221AAF" w:rsidTr="00221AAF">
        <w:trPr>
          <w:jc w:val="center"/>
        </w:trPr>
        <w:tc>
          <w:tcPr>
            <w:tcW w:w="0" w:type="auto"/>
          </w:tcPr>
          <w:p w:rsidR="00DD760D" w:rsidRPr="00221AAF" w:rsidRDefault="00221AAF" w:rsidP="00221AAF">
            <w:pPr>
              <w:pStyle w:val="Compact"/>
            </w:pPr>
            <w:r w:rsidRPr="00221AAF">
              <w:t>Niger ARDL</w:t>
            </w:r>
          </w:p>
        </w:tc>
        <w:tc>
          <w:tcPr>
            <w:tcW w:w="0" w:type="auto"/>
          </w:tcPr>
          <w:p w:rsidR="00DD760D" w:rsidRPr="00221AAF" w:rsidRDefault="00221AAF" w:rsidP="00221AAF">
            <w:pPr>
              <w:pStyle w:val="Compact"/>
            </w:pPr>
            <w:r w:rsidRPr="00221AAF">
              <w:t>0.18(0.91)</w:t>
            </w:r>
          </w:p>
        </w:tc>
        <w:tc>
          <w:tcPr>
            <w:tcW w:w="0" w:type="auto"/>
          </w:tcPr>
          <w:p w:rsidR="00DD760D" w:rsidRPr="00221AAF" w:rsidRDefault="00221AAF" w:rsidP="00221AAF">
            <w:pPr>
              <w:pStyle w:val="Compact"/>
            </w:pPr>
            <w:r w:rsidRPr="00221AAF">
              <w:t>16.79(0.05)</w:t>
            </w:r>
          </w:p>
        </w:tc>
        <w:tc>
          <w:tcPr>
            <w:tcW w:w="0" w:type="auto"/>
          </w:tcPr>
          <w:p w:rsidR="00DD760D" w:rsidRPr="00221AAF" w:rsidRDefault="00221AAF" w:rsidP="00221AAF">
            <w:pPr>
              <w:pStyle w:val="Compact"/>
            </w:pPr>
            <w:r w:rsidRPr="00221AAF">
              <w:t>1.39(0.24)</w:t>
            </w:r>
          </w:p>
        </w:tc>
        <w:tc>
          <w:tcPr>
            <w:tcW w:w="0" w:type="auto"/>
          </w:tcPr>
          <w:p w:rsidR="00DD760D" w:rsidRPr="00221AAF" w:rsidRDefault="00221AAF" w:rsidP="00221AAF">
            <w:pPr>
              <w:pStyle w:val="Compact"/>
            </w:pPr>
            <w:r w:rsidRPr="00221AAF">
              <w:t>S</w:t>
            </w:r>
          </w:p>
        </w:tc>
        <w:tc>
          <w:tcPr>
            <w:tcW w:w="0" w:type="auto"/>
          </w:tcPr>
          <w:p w:rsidR="00DD760D" w:rsidRPr="00221AAF" w:rsidRDefault="00221AAF" w:rsidP="00221AAF">
            <w:pPr>
              <w:pStyle w:val="Compact"/>
            </w:pPr>
            <w:r w:rsidRPr="00221AAF">
              <w:t>S</w:t>
            </w:r>
          </w:p>
        </w:tc>
        <w:tc>
          <w:tcPr>
            <w:tcW w:w="0" w:type="auto"/>
          </w:tcPr>
          <w:p w:rsidR="00DD760D" w:rsidRPr="00221AAF" w:rsidRDefault="00221AAF" w:rsidP="00221AAF">
            <w:pPr>
              <w:pStyle w:val="Compact"/>
            </w:pPr>
            <w:r w:rsidRPr="00221AAF">
              <w:t>3.6427</w:t>
            </w:r>
          </w:p>
        </w:tc>
      </w:tr>
      <w:tr w:rsidR="00DD760D" w:rsidRPr="00221AAF" w:rsidTr="00221AAF">
        <w:trPr>
          <w:jc w:val="center"/>
        </w:trPr>
        <w:tc>
          <w:tcPr>
            <w:tcW w:w="0" w:type="auto"/>
          </w:tcPr>
          <w:p w:rsidR="00DD760D" w:rsidRPr="00221AAF" w:rsidRDefault="00221AAF" w:rsidP="00221AAF">
            <w:pPr>
              <w:pStyle w:val="Compact"/>
            </w:pPr>
            <w:r w:rsidRPr="00221AAF">
              <w:t>Niger NARDL</w:t>
            </w:r>
          </w:p>
        </w:tc>
        <w:tc>
          <w:tcPr>
            <w:tcW w:w="0" w:type="auto"/>
          </w:tcPr>
          <w:p w:rsidR="00DD760D" w:rsidRPr="00221AAF" w:rsidRDefault="00221AAF" w:rsidP="00221AAF">
            <w:pPr>
              <w:pStyle w:val="Compact"/>
            </w:pPr>
            <w:r w:rsidRPr="00221AAF">
              <w:t>0.78(0.94)</w:t>
            </w:r>
          </w:p>
        </w:tc>
        <w:tc>
          <w:tcPr>
            <w:tcW w:w="0" w:type="auto"/>
          </w:tcPr>
          <w:p w:rsidR="00DD760D" w:rsidRPr="00221AAF" w:rsidRDefault="00221AAF" w:rsidP="00221AAF">
            <w:pPr>
              <w:pStyle w:val="Compact"/>
            </w:pPr>
            <w:r w:rsidRPr="00221AAF">
              <w:t>36.43(0.36)</w:t>
            </w:r>
          </w:p>
        </w:tc>
        <w:tc>
          <w:tcPr>
            <w:tcW w:w="0" w:type="auto"/>
          </w:tcPr>
          <w:p w:rsidR="00DD760D" w:rsidRPr="00221AAF" w:rsidRDefault="00221AAF" w:rsidP="00221AAF">
            <w:pPr>
              <w:pStyle w:val="Compact"/>
            </w:pPr>
            <w:r w:rsidRPr="00221AAF">
              <w:t>0.66(0.42)</w:t>
            </w:r>
          </w:p>
        </w:tc>
        <w:tc>
          <w:tcPr>
            <w:tcW w:w="0" w:type="auto"/>
          </w:tcPr>
          <w:p w:rsidR="00DD760D" w:rsidRPr="00221AAF" w:rsidRDefault="00221AAF" w:rsidP="00221AAF">
            <w:pPr>
              <w:pStyle w:val="Compact"/>
            </w:pPr>
            <w:r w:rsidRPr="00221AAF">
              <w:t>S</w:t>
            </w:r>
          </w:p>
        </w:tc>
        <w:tc>
          <w:tcPr>
            <w:tcW w:w="0" w:type="auto"/>
          </w:tcPr>
          <w:p w:rsidR="00DD760D" w:rsidRPr="00221AAF" w:rsidRDefault="00221AAF" w:rsidP="00221AAF">
            <w:pPr>
              <w:pStyle w:val="Compact"/>
            </w:pPr>
            <w:r w:rsidRPr="00221AAF">
              <w:t>S</w:t>
            </w:r>
          </w:p>
        </w:tc>
        <w:tc>
          <w:tcPr>
            <w:tcW w:w="0" w:type="auto"/>
          </w:tcPr>
          <w:p w:rsidR="00DD760D" w:rsidRPr="00221AAF" w:rsidRDefault="00221AAF" w:rsidP="00221AAF">
            <w:pPr>
              <w:pStyle w:val="Compact"/>
            </w:pPr>
            <w:r w:rsidRPr="00221AAF">
              <w:t>3.5838</w:t>
            </w:r>
          </w:p>
        </w:tc>
      </w:tr>
      <w:tr w:rsidR="00DD760D" w:rsidRPr="00221AAF" w:rsidTr="00221AAF">
        <w:trPr>
          <w:jc w:val="center"/>
        </w:trPr>
        <w:tc>
          <w:tcPr>
            <w:tcW w:w="0" w:type="auto"/>
          </w:tcPr>
          <w:p w:rsidR="00DD760D" w:rsidRPr="00221AAF" w:rsidRDefault="00221AAF" w:rsidP="00221AAF">
            <w:pPr>
              <w:pStyle w:val="Compact"/>
            </w:pPr>
            <w:r w:rsidRPr="00221AAF">
              <w:t>Cote ARDL</w:t>
            </w:r>
          </w:p>
        </w:tc>
        <w:tc>
          <w:tcPr>
            <w:tcW w:w="0" w:type="auto"/>
          </w:tcPr>
          <w:p w:rsidR="00DD760D" w:rsidRPr="00221AAF" w:rsidRDefault="00221AAF" w:rsidP="00221AAF">
            <w:pPr>
              <w:pStyle w:val="Compact"/>
            </w:pPr>
            <w:r w:rsidRPr="00221AAF">
              <w:t>2.99(0.22)</w:t>
            </w:r>
          </w:p>
        </w:tc>
        <w:tc>
          <w:tcPr>
            <w:tcW w:w="0" w:type="auto"/>
          </w:tcPr>
          <w:p w:rsidR="00DD760D" w:rsidRPr="00221AAF" w:rsidRDefault="00221AAF" w:rsidP="00221AAF">
            <w:pPr>
              <w:pStyle w:val="Compact"/>
            </w:pPr>
            <w:r w:rsidRPr="00221AAF">
              <w:t>24.05(0.00)</w:t>
            </w:r>
          </w:p>
        </w:tc>
        <w:tc>
          <w:tcPr>
            <w:tcW w:w="0" w:type="auto"/>
          </w:tcPr>
          <w:p w:rsidR="00DD760D" w:rsidRPr="00221AAF" w:rsidRDefault="00221AAF" w:rsidP="00221AAF">
            <w:pPr>
              <w:pStyle w:val="Compact"/>
            </w:pPr>
            <w:r w:rsidRPr="00221AAF">
              <w:t>6.29(0.01)</w:t>
            </w:r>
          </w:p>
        </w:tc>
        <w:tc>
          <w:tcPr>
            <w:tcW w:w="0" w:type="auto"/>
          </w:tcPr>
          <w:p w:rsidR="00DD760D" w:rsidRPr="00221AAF" w:rsidRDefault="00221AAF" w:rsidP="00221AAF">
            <w:pPr>
              <w:pStyle w:val="Compact"/>
            </w:pPr>
            <w:r w:rsidRPr="00221AAF">
              <w:t>S</w:t>
            </w:r>
          </w:p>
        </w:tc>
        <w:tc>
          <w:tcPr>
            <w:tcW w:w="0" w:type="auto"/>
          </w:tcPr>
          <w:p w:rsidR="00DD760D" w:rsidRPr="00221AAF" w:rsidRDefault="00221AAF" w:rsidP="00221AAF">
            <w:pPr>
              <w:pStyle w:val="Compact"/>
            </w:pPr>
            <w:r w:rsidRPr="00221AAF">
              <w:t>S</w:t>
            </w:r>
          </w:p>
        </w:tc>
        <w:tc>
          <w:tcPr>
            <w:tcW w:w="0" w:type="auto"/>
          </w:tcPr>
          <w:p w:rsidR="00DD760D" w:rsidRPr="00221AAF" w:rsidRDefault="00221AAF" w:rsidP="00221AAF">
            <w:pPr>
              <w:pStyle w:val="Compact"/>
            </w:pPr>
            <w:r w:rsidRPr="00221AAF">
              <w:t>1.0839</w:t>
            </w:r>
          </w:p>
        </w:tc>
      </w:tr>
      <w:tr w:rsidR="00DD760D" w:rsidRPr="00221AAF" w:rsidTr="00221AAF">
        <w:trPr>
          <w:jc w:val="center"/>
        </w:trPr>
        <w:tc>
          <w:tcPr>
            <w:tcW w:w="0" w:type="auto"/>
          </w:tcPr>
          <w:p w:rsidR="00DD760D" w:rsidRPr="00221AAF" w:rsidRDefault="00221AAF" w:rsidP="00221AAF">
            <w:pPr>
              <w:pStyle w:val="Compact"/>
            </w:pPr>
            <w:r w:rsidRPr="00221AAF">
              <w:t>Cote NARDL</w:t>
            </w:r>
          </w:p>
        </w:tc>
        <w:tc>
          <w:tcPr>
            <w:tcW w:w="0" w:type="auto"/>
          </w:tcPr>
          <w:p w:rsidR="00DD760D" w:rsidRPr="00221AAF" w:rsidRDefault="00221AAF" w:rsidP="00221AAF">
            <w:pPr>
              <w:pStyle w:val="Compact"/>
            </w:pPr>
            <w:r w:rsidRPr="00221AAF">
              <w:t>9.83(0.04)</w:t>
            </w:r>
          </w:p>
        </w:tc>
        <w:tc>
          <w:tcPr>
            <w:tcW w:w="0" w:type="auto"/>
          </w:tcPr>
          <w:p w:rsidR="00DD760D" w:rsidRPr="00221AAF" w:rsidRDefault="00221AAF" w:rsidP="00221AAF">
            <w:pPr>
              <w:pStyle w:val="Compact"/>
            </w:pPr>
            <w:r w:rsidRPr="00221AAF">
              <w:t>126.83(0.06)</w:t>
            </w:r>
          </w:p>
        </w:tc>
        <w:tc>
          <w:tcPr>
            <w:tcW w:w="0" w:type="auto"/>
          </w:tcPr>
          <w:p w:rsidR="00DD760D" w:rsidRPr="00221AAF" w:rsidRDefault="00221AAF" w:rsidP="00221AAF">
            <w:pPr>
              <w:pStyle w:val="Compact"/>
            </w:pPr>
            <w:r w:rsidRPr="00221AAF">
              <w:t>8.71(0.00)</w:t>
            </w:r>
          </w:p>
        </w:tc>
        <w:tc>
          <w:tcPr>
            <w:tcW w:w="0" w:type="auto"/>
          </w:tcPr>
          <w:p w:rsidR="00DD760D" w:rsidRPr="00221AAF" w:rsidRDefault="00221AAF" w:rsidP="00221AAF">
            <w:pPr>
              <w:pStyle w:val="Compact"/>
            </w:pPr>
            <w:r w:rsidRPr="00221AAF">
              <w:t>S</w:t>
            </w:r>
          </w:p>
        </w:tc>
        <w:tc>
          <w:tcPr>
            <w:tcW w:w="0" w:type="auto"/>
          </w:tcPr>
          <w:p w:rsidR="00DD760D" w:rsidRPr="00221AAF" w:rsidRDefault="00221AAF" w:rsidP="00221AAF">
            <w:pPr>
              <w:pStyle w:val="Compact"/>
            </w:pPr>
            <w:r w:rsidRPr="00221AAF">
              <w:t>S</w:t>
            </w:r>
          </w:p>
        </w:tc>
        <w:tc>
          <w:tcPr>
            <w:tcW w:w="0" w:type="auto"/>
          </w:tcPr>
          <w:p w:rsidR="00DD760D" w:rsidRPr="00221AAF" w:rsidRDefault="00221AAF" w:rsidP="00221AAF">
            <w:pPr>
              <w:pStyle w:val="Compact"/>
            </w:pPr>
            <w:r w:rsidRPr="00221AAF">
              <w:t>0.9872</w:t>
            </w:r>
          </w:p>
        </w:tc>
      </w:tr>
      <w:tr w:rsidR="00DD760D" w:rsidRPr="00221AAF" w:rsidTr="00221AAF">
        <w:trPr>
          <w:jc w:val="center"/>
        </w:trPr>
        <w:tc>
          <w:tcPr>
            <w:tcW w:w="0" w:type="auto"/>
          </w:tcPr>
          <w:p w:rsidR="00DD760D" w:rsidRPr="00221AAF" w:rsidRDefault="00221AAF" w:rsidP="00221AAF">
            <w:pPr>
              <w:pStyle w:val="Compact"/>
            </w:pPr>
            <w:r w:rsidRPr="00221AAF">
              <w:t>Burkina ARDL</w:t>
            </w:r>
          </w:p>
        </w:tc>
        <w:tc>
          <w:tcPr>
            <w:tcW w:w="0" w:type="auto"/>
          </w:tcPr>
          <w:p w:rsidR="00DD760D" w:rsidRPr="00221AAF" w:rsidRDefault="00221AAF" w:rsidP="00221AAF">
            <w:pPr>
              <w:pStyle w:val="Compact"/>
            </w:pPr>
            <w:r w:rsidRPr="00221AAF">
              <w:t>0.06(0.97)</w:t>
            </w:r>
          </w:p>
        </w:tc>
        <w:tc>
          <w:tcPr>
            <w:tcW w:w="0" w:type="auto"/>
          </w:tcPr>
          <w:p w:rsidR="00DD760D" w:rsidRPr="00221AAF" w:rsidRDefault="00221AAF" w:rsidP="00221AAF">
            <w:pPr>
              <w:pStyle w:val="Compact"/>
            </w:pPr>
            <w:r w:rsidRPr="00221AAF">
              <w:t>18.11(0.03)</w:t>
            </w:r>
          </w:p>
        </w:tc>
        <w:tc>
          <w:tcPr>
            <w:tcW w:w="0" w:type="auto"/>
          </w:tcPr>
          <w:p w:rsidR="00DD760D" w:rsidRPr="00221AAF" w:rsidRDefault="00221AAF" w:rsidP="00221AAF">
            <w:pPr>
              <w:pStyle w:val="Compact"/>
            </w:pPr>
            <w:r w:rsidRPr="00221AAF">
              <w:t>6.38(0.01)</w:t>
            </w:r>
          </w:p>
        </w:tc>
        <w:tc>
          <w:tcPr>
            <w:tcW w:w="0" w:type="auto"/>
          </w:tcPr>
          <w:p w:rsidR="00DD760D" w:rsidRPr="00221AAF" w:rsidRDefault="00221AAF" w:rsidP="00221AAF">
            <w:pPr>
              <w:pStyle w:val="Compact"/>
            </w:pPr>
            <w:r w:rsidRPr="00221AAF">
              <w:t>S</w:t>
            </w:r>
          </w:p>
        </w:tc>
        <w:tc>
          <w:tcPr>
            <w:tcW w:w="0" w:type="auto"/>
          </w:tcPr>
          <w:p w:rsidR="00DD760D" w:rsidRPr="00221AAF" w:rsidRDefault="00221AAF" w:rsidP="00221AAF">
            <w:pPr>
              <w:pStyle w:val="Compact"/>
            </w:pPr>
            <w:r w:rsidRPr="00221AAF">
              <w:t>U</w:t>
            </w:r>
          </w:p>
        </w:tc>
        <w:tc>
          <w:tcPr>
            <w:tcW w:w="0" w:type="auto"/>
          </w:tcPr>
          <w:p w:rsidR="00DD760D" w:rsidRPr="00221AAF" w:rsidRDefault="00221AAF" w:rsidP="00221AAF">
            <w:pPr>
              <w:pStyle w:val="Compact"/>
            </w:pPr>
            <w:r w:rsidRPr="00221AAF">
              <w:t>1.4324</w:t>
            </w:r>
          </w:p>
        </w:tc>
      </w:tr>
      <w:tr w:rsidR="00DD760D" w:rsidRPr="00221AAF" w:rsidTr="00221AAF">
        <w:trPr>
          <w:jc w:val="center"/>
        </w:trPr>
        <w:tc>
          <w:tcPr>
            <w:tcW w:w="0" w:type="auto"/>
          </w:tcPr>
          <w:p w:rsidR="00DD760D" w:rsidRPr="00221AAF" w:rsidRDefault="00221AAF" w:rsidP="00221AAF">
            <w:pPr>
              <w:pStyle w:val="Compact"/>
            </w:pPr>
            <w:r w:rsidRPr="00221AAF">
              <w:t>Burkina NARDL</w:t>
            </w:r>
          </w:p>
        </w:tc>
        <w:tc>
          <w:tcPr>
            <w:tcW w:w="0" w:type="auto"/>
          </w:tcPr>
          <w:p w:rsidR="00DD760D" w:rsidRPr="00221AAF" w:rsidRDefault="00221AAF" w:rsidP="00221AAF">
            <w:pPr>
              <w:pStyle w:val="Compact"/>
            </w:pPr>
            <w:r w:rsidRPr="00221AAF">
              <w:t>0.31(0.99)</w:t>
            </w:r>
          </w:p>
        </w:tc>
        <w:tc>
          <w:tcPr>
            <w:tcW w:w="0" w:type="auto"/>
          </w:tcPr>
          <w:p w:rsidR="00DD760D" w:rsidRPr="00221AAF" w:rsidRDefault="00221AAF" w:rsidP="00221AAF">
            <w:pPr>
              <w:pStyle w:val="Compact"/>
            </w:pPr>
            <w:r w:rsidRPr="00221AAF">
              <w:t>84.91(0.04)</w:t>
            </w:r>
          </w:p>
        </w:tc>
        <w:tc>
          <w:tcPr>
            <w:tcW w:w="0" w:type="auto"/>
          </w:tcPr>
          <w:p w:rsidR="00DD760D" w:rsidRPr="00221AAF" w:rsidRDefault="00221AAF" w:rsidP="00221AAF">
            <w:pPr>
              <w:pStyle w:val="Compact"/>
            </w:pPr>
            <w:r w:rsidRPr="00221AAF">
              <w:t>4.12(0.04)</w:t>
            </w:r>
          </w:p>
        </w:tc>
        <w:tc>
          <w:tcPr>
            <w:tcW w:w="0" w:type="auto"/>
          </w:tcPr>
          <w:p w:rsidR="00DD760D" w:rsidRPr="00221AAF" w:rsidRDefault="00221AAF" w:rsidP="00221AAF">
            <w:pPr>
              <w:pStyle w:val="Compact"/>
            </w:pPr>
            <w:r w:rsidRPr="00221AAF">
              <w:t>S</w:t>
            </w:r>
          </w:p>
        </w:tc>
        <w:tc>
          <w:tcPr>
            <w:tcW w:w="0" w:type="auto"/>
          </w:tcPr>
          <w:p w:rsidR="00DD760D" w:rsidRPr="00221AAF" w:rsidRDefault="00221AAF" w:rsidP="00221AAF">
            <w:pPr>
              <w:pStyle w:val="Compact"/>
            </w:pPr>
            <w:r w:rsidRPr="00221AAF">
              <w:t>U</w:t>
            </w:r>
          </w:p>
        </w:tc>
        <w:tc>
          <w:tcPr>
            <w:tcW w:w="0" w:type="auto"/>
          </w:tcPr>
          <w:p w:rsidR="00DD760D" w:rsidRPr="00221AAF" w:rsidRDefault="00221AAF" w:rsidP="00221AAF">
            <w:pPr>
              <w:pStyle w:val="Compact"/>
            </w:pPr>
            <w:r w:rsidRPr="00221AAF">
              <w:t>1.4265</w:t>
            </w:r>
          </w:p>
        </w:tc>
      </w:tr>
      <w:tr w:rsidR="00DD760D" w:rsidRPr="00221AAF" w:rsidTr="00221AAF">
        <w:trPr>
          <w:jc w:val="center"/>
        </w:trPr>
        <w:tc>
          <w:tcPr>
            <w:tcW w:w="0" w:type="auto"/>
          </w:tcPr>
          <w:p w:rsidR="00DD760D" w:rsidRPr="00221AAF" w:rsidRDefault="00221AAF" w:rsidP="00221AAF">
            <w:pPr>
              <w:pStyle w:val="Compact"/>
            </w:pPr>
            <w:r w:rsidRPr="00221AAF">
              <w:t>Togo ARDL</w:t>
            </w:r>
          </w:p>
        </w:tc>
        <w:tc>
          <w:tcPr>
            <w:tcW w:w="0" w:type="auto"/>
          </w:tcPr>
          <w:p w:rsidR="00DD760D" w:rsidRPr="00221AAF" w:rsidRDefault="00221AAF" w:rsidP="00221AAF">
            <w:pPr>
              <w:pStyle w:val="Compact"/>
            </w:pPr>
            <w:r w:rsidRPr="00221AAF">
              <w:t>0.27(0.87)</w:t>
            </w:r>
          </w:p>
        </w:tc>
        <w:tc>
          <w:tcPr>
            <w:tcW w:w="0" w:type="auto"/>
          </w:tcPr>
          <w:p w:rsidR="00DD760D" w:rsidRPr="00221AAF" w:rsidRDefault="00221AAF" w:rsidP="00221AAF">
            <w:pPr>
              <w:pStyle w:val="Compact"/>
            </w:pPr>
            <w:r w:rsidRPr="00221AAF">
              <w:t>33.85(0.00)</w:t>
            </w:r>
          </w:p>
        </w:tc>
        <w:tc>
          <w:tcPr>
            <w:tcW w:w="0" w:type="auto"/>
          </w:tcPr>
          <w:p w:rsidR="00DD760D" w:rsidRPr="00221AAF" w:rsidRDefault="00221AAF" w:rsidP="00221AAF">
            <w:pPr>
              <w:pStyle w:val="Compact"/>
            </w:pPr>
            <w:r w:rsidRPr="00221AAF">
              <w:t>12.82(0.00)</w:t>
            </w:r>
          </w:p>
        </w:tc>
        <w:tc>
          <w:tcPr>
            <w:tcW w:w="0" w:type="auto"/>
          </w:tcPr>
          <w:p w:rsidR="00DD760D" w:rsidRPr="00221AAF" w:rsidRDefault="00221AAF" w:rsidP="00221AAF">
            <w:pPr>
              <w:pStyle w:val="Compact"/>
            </w:pPr>
            <w:r w:rsidRPr="00221AAF">
              <w:t>S</w:t>
            </w:r>
          </w:p>
        </w:tc>
        <w:tc>
          <w:tcPr>
            <w:tcW w:w="0" w:type="auto"/>
          </w:tcPr>
          <w:p w:rsidR="00DD760D" w:rsidRPr="00221AAF" w:rsidRDefault="00221AAF" w:rsidP="00221AAF">
            <w:pPr>
              <w:pStyle w:val="Compact"/>
            </w:pPr>
            <w:r w:rsidRPr="00221AAF">
              <w:t>U</w:t>
            </w:r>
          </w:p>
        </w:tc>
        <w:tc>
          <w:tcPr>
            <w:tcW w:w="0" w:type="auto"/>
          </w:tcPr>
          <w:p w:rsidR="00DD760D" w:rsidRPr="00221AAF" w:rsidRDefault="00221AAF" w:rsidP="00221AAF">
            <w:pPr>
              <w:pStyle w:val="Compact"/>
            </w:pPr>
            <w:r w:rsidRPr="00221AAF">
              <w:t>2.0345</w:t>
            </w:r>
          </w:p>
        </w:tc>
      </w:tr>
      <w:tr w:rsidR="00DD760D" w:rsidRPr="00221AAF" w:rsidTr="00221AAF">
        <w:trPr>
          <w:jc w:val="center"/>
        </w:trPr>
        <w:tc>
          <w:tcPr>
            <w:tcW w:w="0" w:type="auto"/>
          </w:tcPr>
          <w:p w:rsidR="00DD760D" w:rsidRPr="00221AAF" w:rsidRDefault="00221AAF" w:rsidP="00221AAF">
            <w:pPr>
              <w:pStyle w:val="Compact"/>
            </w:pPr>
            <w:r w:rsidRPr="00221AAF">
              <w:t>Togo NARDL</w:t>
            </w:r>
          </w:p>
        </w:tc>
        <w:tc>
          <w:tcPr>
            <w:tcW w:w="0" w:type="auto"/>
          </w:tcPr>
          <w:p w:rsidR="00DD760D" w:rsidRPr="00221AAF" w:rsidRDefault="00221AAF" w:rsidP="00221AAF">
            <w:pPr>
              <w:pStyle w:val="Compact"/>
            </w:pPr>
            <w:r w:rsidRPr="00221AAF">
              <w:t>4.93(0.29)</w:t>
            </w:r>
          </w:p>
        </w:tc>
        <w:tc>
          <w:tcPr>
            <w:tcW w:w="0" w:type="auto"/>
          </w:tcPr>
          <w:p w:rsidR="00DD760D" w:rsidRPr="00221AAF" w:rsidRDefault="00221AAF" w:rsidP="00221AAF">
            <w:pPr>
              <w:pStyle w:val="Compact"/>
            </w:pPr>
            <w:r w:rsidRPr="00221AAF">
              <w:t>88.85(0.03)</w:t>
            </w:r>
          </w:p>
        </w:tc>
        <w:tc>
          <w:tcPr>
            <w:tcW w:w="0" w:type="auto"/>
          </w:tcPr>
          <w:p w:rsidR="00DD760D" w:rsidRPr="00221AAF" w:rsidRDefault="00221AAF" w:rsidP="00221AAF">
            <w:pPr>
              <w:pStyle w:val="Compact"/>
            </w:pPr>
            <w:r w:rsidRPr="00221AAF">
              <w:t>12.01(0.00)</w:t>
            </w:r>
          </w:p>
        </w:tc>
        <w:tc>
          <w:tcPr>
            <w:tcW w:w="0" w:type="auto"/>
          </w:tcPr>
          <w:p w:rsidR="00DD760D" w:rsidRPr="00221AAF" w:rsidRDefault="00221AAF" w:rsidP="00221AAF">
            <w:pPr>
              <w:pStyle w:val="Compact"/>
            </w:pPr>
            <w:r w:rsidRPr="00221AAF">
              <w:t>S</w:t>
            </w:r>
          </w:p>
        </w:tc>
        <w:tc>
          <w:tcPr>
            <w:tcW w:w="0" w:type="auto"/>
          </w:tcPr>
          <w:p w:rsidR="00DD760D" w:rsidRPr="00221AAF" w:rsidRDefault="00221AAF" w:rsidP="00221AAF">
            <w:pPr>
              <w:pStyle w:val="Compact"/>
            </w:pPr>
            <w:r w:rsidRPr="00221AAF">
              <w:t>U</w:t>
            </w:r>
          </w:p>
        </w:tc>
        <w:tc>
          <w:tcPr>
            <w:tcW w:w="0" w:type="auto"/>
          </w:tcPr>
          <w:p w:rsidR="00DD760D" w:rsidRPr="00221AAF" w:rsidRDefault="00221AAF" w:rsidP="00221AAF">
            <w:pPr>
              <w:pStyle w:val="Compact"/>
            </w:pPr>
            <w:r w:rsidRPr="00221AAF">
              <w:t>2.0035</w:t>
            </w:r>
          </w:p>
        </w:tc>
      </w:tr>
      <w:tr w:rsidR="00DD760D" w:rsidRPr="00221AAF" w:rsidTr="00221AAF">
        <w:trPr>
          <w:jc w:val="center"/>
        </w:trPr>
        <w:tc>
          <w:tcPr>
            <w:tcW w:w="0" w:type="auto"/>
          </w:tcPr>
          <w:p w:rsidR="00DD760D" w:rsidRPr="00221AAF" w:rsidRDefault="00221AAF" w:rsidP="00221AAF">
            <w:pPr>
              <w:pStyle w:val="Compact"/>
            </w:pPr>
            <w:r w:rsidRPr="00221AAF">
              <w:t>Benin ARDL</w:t>
            </w:r>
          </w:p>
        </w:tc>
        <w:tc>
          <w:tcPr>
            <w:tcW w:w="0" w:type="auto"/>
          </w:tcPr>
          <w:p w:rsidR="00DD760D" w:rsidRPr="00221AAF" w:rsidRDefault="00221AAF" w:rsidP="00221AAF">
            <w:pPr>
              <w:pStyle w:val="Compact"/>
            </w:pPr>
            <w:r w:rsidRPr="00221AAF">
              <w:t>0.55(0.76)</w:t>
            </w:r>
          </w:p>
        </w:tc>
        <w:tc>
          <w:tcPr>
            <w:tcW w:w="0" w:type="auto"/>
          </w:tcPr>
          <w:p w:rsidR="00DD760D" w:rsidRPr="00221AAF" w:rsidRDefault="00221AAF" w:rsidP="00221AAF">
            <w:pPr>
              <w:pStyle w:val="Compact"/>
            </w:pPr>
            <w:r w:rsidRPr="00221AAF">
              <w:t>42.84(0.00)</w:t>
            </w:r>
          </w:p>
        </w:tc>
        <w:tc>
          <w:tcPr>
            <w:tcW w:w="0" w:type="auto"/>
          </w:tcPr>
          <w:p w:rsidR="00DD760D" w:rsidRPr="00221AAF" w:rsidRDefault="00221AAF" w:rsidP="00221AAF">
            <w:pPr>
              <w:pStyle w:val="Compact"/>
            </w:pPr>
            <w:r w:rsidRPr="00221AAF">
              <w:t>12.70(0.00)</w:t>
            </w:r>
          </w:p>
        </w:tc>
        <w:tc>
          <w:tcPr>
            <w:tcW w:w="0" w:type="auto"/>
          </w:tcPr>
          <w:p w:rsidR="00DD760D" w:rsidRPr="00221AAF" w:rsidRDefault="00221AAF" w:rsidP="00221AAF">
            <w:pPr>
              <w:pStyle w:val="Compact"/>
            </w:pPr>
            <w:r w:rsidRPr="00221AAF">
              <w:t>S</w:t>
            </w:r>
          </w:p>
        </w:tc>
        <w:tc>
          <w:tcPr>
            <w:tcW w:w="0" w:type="auto"/>
          </w:tcPr>
          <w:p w:rsidR="00DD760D" w:rsidRPr="00221AAF" w:rsidRDefault="00221AAF" w:rsidP="00221AAF">
            <w:pPr>
              <w:pStyle w:val="Compact"/>
            </w:pPr>
            <w:r w:rsidRPr="00221AAF">
              <w:t>U</w:t>
            </w:r>
          </w:p>
        </w:tc>
        <w:tc>
          <w:tcPr>
            <w:tcW w:w="0" w:type="auto"/>
          </w:tcPr>
          <w:p w:rsidR="00DD760D" w:rsidRPr="00221AAF" w:rsidRDefault="00221AAF" w:rsidP="00221AAF">
            <w:pPr>
              <w:pStyle w:val="Compact"/>
            </w:pPr>
            <w:r w:rsidRPr="00221AAF">
              <w:t>2.0480</w:t>
            </w:r>
          </w:p>
        </w:tc>
      </w:tr>
      <w:tr w:rsidR="00DD760D" w:rsidRPr="00221AAF" w:rsidTr="00221AAF">
        <w:trPr>
          <w:jc w:val="center"/>
        </w:trPr>
        <w:tc>
          <w:tcPr>
            <w:tcW w:w="0" w:type="auto"/>
          </w:tcPr>
          <w:p w:rsidR="00DD760D" w:rsidRPr="00221AAF" w:rsidRDefault="00221AAF" w:rsidP="00221AAF">
            <w:pPr>
              <w:pStyle w:val="Compact"/>
            </w:pPr>
            <w:r w:rsidRPr="00221AAF">
              <w:t>Benin NARDL</w:t>
            </w:r>
          </w:p>
        </w:tc>
        <w:tc>
          <w:tcPr>
            <w:tcW w:w="0" w:type="auto"/>
          </w:tcPr>
          <w:p w:rsidR="00DD760D" w:rsidRPr="00221AAF" w:rsidRDefault="00221AAF" w:rsidP="00221AAF">
            <w:pPr>
              <w:pStyle w:val="Compact"/>
            </w:pPr>
            <w:r w:rsidRPr="00221AAF">
              <w:t>1.36(0.85)</w:t>
            </w:r>
          </w:p>
        </w:tc>
        <w:tc>
          <w:tcPr>
            <w:tcW w:w="0" w:type="auto"/>
          </w:tcPr>
          <w:p w:rsidR="00DD760D" w:rsidRPr="00221AAF" w:rsidRDefault="00221AAF" w:rsidP="00221AAF">
            <w:pPr>
              <w:pStyle w:val="Compact"/>
            </w:pPr>
            <w:r w:rsidRPr="00221AAF">
              <w:t>153.17(0.02)</w:t>
            </w:r>
          </w:p>
        </w:tc>
        <w:tc>
          <w:tcPr>
            <w:tcW w:w="0" w:type="auto"/>
          </w:tcPr>
          <w:p w:rsidR="00DD760D" w:rsidRPr="00221AAF" w:rsidRDefault="00221AAF" w:rsidP="00221AAF">
            <w:pPr>
              <w:pStyle w:val="Compact"/>
            </w:pPr>
            <w:r w:rsidRPr="00221AAF">
              <w:t>6.21(0.01)</w:t>
            </w:r>
          </w:p>
        </w:tc>
        <w:tc>
          <w:tcPr>
            <w:tcW w:w="0" w:type="auto"/>
          </w:tcPr>
          <w:p w:rsidR="00DD760D" w:rsidRPr="00221AAF" w:rsidRDefault="00221AAF" w:rsidP="00221AAF">
            <w:pPr>
              <w:pStyle w:val="Compact"/>
            </w:pPr>
            <w:r w:rsidRPr="00221AAF">
              <w:t>S</w:t>
            </w:r>
          </w:p>
        </w:tc>
        <w:tc>
          <w:tcPr>
            <w:tcW w:w="0" w:type="auto"/>
          </w:tcPr>
          <w:p w:rsidR="00DD760D" w:rsidRPr="00221AAF" w:rsidRDefault="00221AAF" w:rsidP="00221AAF">
            <w:pPr>
              <w:pStyle w:val="Compact"/>
            </w:pPr>
            <w:r w:rsidRPr="00221AAF">
              <w:t>U</w:t>
            </w:r>
          </w:p>
        </w:tc>
        <w:tc>
          <w:tcPr>
            <w:tcW w:w="0" w:type="auto"/>
          </w:tcPr>
          <w:p w:rsidR="00DD760D" w:rsidRPr="00221AAF" w:rsidRDefault="00221AAF" w:rsidP="00221AAF">
            <w:pPr>
              <w:pStyle w:val="Compact"/>
            </w:pPr>
            <w:r w:rsidRPr="00221AAF">
              <w:t>2.1015</w:t>
            </w:r>
          </w:p>
        </w:tc>
      </w:tr>
      <w:tr w:rsidR="00DD760D" w:rsidRPr="00221AAF" w:rsidTr="00221AAF">
        <w:trPr>
          <w:jc w:val="center"/>
        </w:trPr>
        <w:tc>
          <w:tcPr>
            <w:tcW w:w="0" w:type="auto"/>
          </w:tcPr>
          <w:p w:rsidR="00DD760D" w:rsidRPr="00221AAF" w:rsidRDefault="00221AAF" w:rsidP="00221AAF">
            <w:pPr>
              <w:pStyle w:val="Compact"/>
            </w:pPr>
            <w:r w:rsidRPr="00221AAF">
              <w:t>Mali ARDL</w:t>
            </w:r>
          </w:p>
        </w:tc>
        <w:tc>
          <w:tcPr>
            <w:tcW w:w="0" w:type="auto"/>
          </w:tcPr>
          <w:p w:rsidR="00DD760D" w:rsidRPr="00221AAF" w:rsidRDefault="00221AAF" w:rsidP="00221AAF">
            <w:pPr>
              <w:pStyle w:val="Compact"/>
            </w:pPr>
            <w:r w:rsidRPr="00221AAF">
              <w:t>2.02(0.36)</w:t>
            </w:r>
          </w:p>
        </w:tc>
        <w:tc>
          <w:tcPr>
            <w:tcW w:w="0" w:type="auto"/>
          </w:tcPr>
          <w:p w:rsidR="00DD760D" w:rsidRPr="00221AAF" w:rsidRDefault="00221AAF" w:rsidP="00221AAF">
            <w:pPr>
              <w:pStyle w:val="Compact"/>
            </w:pPr>
            <w:r w:rsidRPr="00221AAF">
              <w:t>10.20(0.33)</w:t>
            </w:r>
          </w:p>
        </w:tc>
        <w:tc>
          <w:tcPr>
            <w:tcW w:w="0" w:type="auto"/>
          </w:tcPr>
          <w:p w:rsidR="00DD760D" w:rsidRPr="00221AAF" w:rsidRDefault="00221AAF" w:rsidP="00221AAF">
            <w:pPr>
              <w:pStyle w:val="Compact"/>
            </w:pPr>
            <w:r w:rsidRPr="00221AAF">
              <w:t>0.18(0.67)</w:t>
            </w:r>
          </w:p>
        </w:tc>
        <w:tc>
          <w:tcPr>
            <w:tcW w:w="0" w:type="auto"/>
          </w:tcPr>
          <w:p w:rsidR="00DD760D" w:rsidRPr="00221AAF" w:rsidRDefault="00221AAF" w:rsidP="00221AAF">
            <w:pPr>
              <w:pStyle w:val="Compact"/>
            </w:pPr>
            <w:r w:rsidRPr="00221AAF">
              <w:t>S</w:t>
            </w:r>
          </w:p>
        </w:tc>
        <w:tc>
          <w:tcPr>
            <w:tcW w:w="0" w:type="auto"/>
          </w:tcPr>
          <w:p w:rsidR="00DD760D" w:rsidRPr="00221AAF" w:rsidRDefault="00221AAF" w:rsidP="00221AAF">
            <w:pPr>
              <w:pStyle w:val="Compact"/>
            </w:pPr>
            <w:r w:rsidRPr="00221AAF">
              <w:t>S</w:t>
            </w:r>
          </w:p>
        </w:tc>
        <w:tc>
          <w:tcPr>
            <w:tcW w:w="0" w:type="auto"/>
          </w:tcPr>
          <w:p w:rsidR="00DD760D" w:rsidRPr="00221AAF" w:rsidRDefault="00221AAF" w:rsidP="00221AAF">
            <w:pPr>
              <w:pStyle w:val="Compact"/>
            </w:pPr>
            <w:r w:rsidRPr="00221AAF">
              <w:t>1.7148</w:t>
            </w:r>
          </w:p>
        </w:tc>
      </w:tr>
      <w:tr w:rsidR="00DD760D" w:rsidRPr="00221AAF" w:rsidTr="00221AAF">
        <w:trPr>
          <w:jc w:val="center"/>
        </w:trPr>
        <w:tc>
          <w:tcPr>
            <w:tcW w:w="0" w:type="auto"/>
          </w:tcPr>
          <w:p w:rsidR="00DD760D" w:rsidRPr="00221AAF" w:rsidRDefault="00221AAF" w:rsidP="00221AAF">
            <w:pPr>
              <w:pStyle w:val="Compact"/>
            </w:pPr>
            <w:r w:rsidRPr="00221AAF">
              <w:t>Mali NARDL</w:t>
            </w:r>
          </w:p>
        </w:tc>
        <w:tc>
          <w:tcPr>
            <w:tcW w:w="0" w:type="auto"/>
          </w:tcPr>
          <w:p w:rsidR="00DD760D" w:rsidRPr="00221AAF" w:rsidRDefault="00221AAF" w:rsidP="00221AAF">
            <w:pPr>
              <w:pStyle w:val="Compact"/>
            </w:pPr>
            <w:r w:rsidRPr="00221AAF">
              <w:t>1.97(0.74)</w:t>
            </w:r>
          </w:p>
        </w:tc>
        <w:tc>
          <w:tcPr>
            <w:tcW w:w="0" w:type="auto"/>
          </w:tcPr>
          <w:p w:rsidR="00DD760D" w:rsidRPr="00221AAF" w:rsidRDefault="00221AAF" w:rsidP="00221AAF">
            <w:pPr>
              <w:pStyle w:val="Compact"/>
            </w:pPr>
            <w:r w:rsidRPr="00221AAF">
              <w:t>49.72(0.56)</w:t>
            </w:r>
          </w:p>
        </w:tc>
        <w:tc>
          <w:tcPr>
            <w:tcW w:w="0" w:type="auto"/>
          </w:tcPr>
          <w:p w:rsidR="00DD760D" w:rsidRPr="00221AAF" w:rsidRDefault="00221AAF" w:rsidP="00221AAF">
            <w:pPr>
              <w:pStyle w:val="Compact"/>
            </w:pPr>
            <w:r w:rsidRPr="00221AAF">
              <w:t>0.31(0.58)</w:t>
            </w:r>
          </w:p>
        </w:tc>
        <w:tc>
          <w:tcPr>
            <w:tcW w:w="0" w:type="auto"/>
          </w:tcPr>
          <w:p w:rsidR="00DD760D" w:rsidRPr="00221AAF" w:rsidRDefault="00221AAF" w:rsidP="00221AAF">
            <w:pPr>
              <w:pStyle w:val="Compact"/>
            </w:pPr>
            <w:r w:rsidRPr="00221AAF">
              <w:t>S</w:t>
            </w:r>
          </w:p>
        </w:tc>
        <w:tc>
          <w:tcPr>
            <w:tcW w:w="0" w:type="auto"/>
          </w:tcPr>
          <w:p w:rsidR="00DD760D" w:rsidRPr="00221AAF" w:rsidRDefault="00221AAF" w:rsidP="00221AAF">
            <w:pPr>
              <w:pStyle w:val="Compact"/>
            </w:pPr>
            <w:r w:rsidRPr="00221AAF">
              <w:t>S</w:t>
            </w:r>
          </w:p>
        </w:tc>
        <w:tc>
          <w:tcPr>
            <w:tcW w:w="0" w:type="auto"/>
          </w:tcPr>
          <w:p w:rsidR="00DD760D" w:rsidRPr="00221AAF" w:rsidRDefault="00221AAF" w:rsidP="00221AAF">
            <w:pPr>
              <w:pStyle w:val="Compact"/>
            </w:pPr>
            <w:r w:rsidRPr="00221AAF">
              <w:t>1.7132</w:t>
            </w:r>
          </w:p>
        </w:tc>
      </w:tr>
      <w:tr w:rsidR="00DD760D" w:rsidRPr="00221AAF" w:rsidTr="00221AAF">
        <w:tblPrEx>
          <w:tblLook w:val="07C0" w:firstRow="0" w:lastRow="1" w:firstColumn="1" w:lastColumn="1" w:noHBand="1" w:noVBand="1"/>
        </w:tblPrEx>
        <w:trPr>
          <w:jc w:val="center"/>
        </w:trPr>
        <w:tc>
          <w:tcPr>
            <w:tcW w:w="0" w:type="auto"/>
            <w:gridSpan w:val="7"/>
          </w:tcPr>
          <w:p w:rsidR="00DD760D" w:rsidRPr="00221AAF" w:rsidRDefault="00221AAF" w:rsidP="00221AAF">
            <w:pPr>
              <w:pStyle w:val="Compact"/>
            </w:pPr>
            <w:r w:rsidRPr="00221AAF">
              <w:t>SC, H, ARCH, CQ, CS and SIC stand for Serial Correlation (LM), Heteroscedasticity (BPG), Normality, Arch, CUSUM, CUSUM of Squares test, and Schwarz Information Criterion respectively. S stands for “stable” and U for “unstable”. Probabilities are given in parenthesis.</w:t>
            </w:r>
          </w:p>
        </w:tc>
      </w:tr>
    </w:tbl>
    <w:p w:rsidR="00DD760D" w:rsidRDefault="00221AAF">
      <w:pPr>
        <w:pStyle w:val="BodyText"/>
      </w:pPr>
      <w:r>
        <w:t>The CUSUM test, as suggested by Brown, Durbin, &amp; Evans (</w:t>
      </w:r>
      <w:hyperlink w:anchor="ref-brown1975techniques">
        <w:r>
          <w:rPr>
            <w:rStyle w:val="Hyperlink"/>
          </w:rPr>
          <w:t>1975</w:t>
        </w:r>
      </w:hyperlink>
      <w:r>
        <w:t>), is a good tool that provides an insight into the stability of the export and import parameters. The summary of the CQ and CS tests, which show the stability of the parameter and variance estimates, is presented in Table 3 for the export equation and Table 4 for the import equation. If the CUSUM plot falls within the 5 per cent significance boundary, the model is stable; otherwise, it is unstable. As indicated by the CQ and CS, both ARDL and NARDL models are stable for all the countries except Senegal, Burkina Faso, Togo and Benin for the export equation, and except Niger, Togo and Mali for the import equation. In short, NARDL is more suitable for modelling EET for both export and import equations.</w:t>
      </w:r>
    </w:p>
    <w:p w:rsidR="00DD760D" w:rsidRDefault="00221AAF">
      <w:pPr>
        <w:pStyle w:val="TableCaption"/>
      </w:pPr>
      <w:r>
        <w:t>Table 4: Model selection and diagnostic tests for the import equation</w:t>
      </w:r>
    </w:p>
    <w:tbl>
      <w:tblPr>
        <w:tblStyle w:val="Table"/>
        <w:tblW w:w="0" w:type="pct"/>
        <w:jc w:val="center"/>
        <w:tblLook w:val="07E0" w:firstRow="1" w:lastRow="1" w:firstColumn="1" w:lastColumn="1" w:noHBand="1" w:noVBand="1"/>
        <w:tblCaption w:val="Table 4: Model selection and diagnostic tests for the import equation"/>
      </w:tblPr>
      <w:tblGrid>
        <w:gridCol w:w="1730"/>
        <w:gridCol w:w="1646"/>
        <w:gridCol w:w="1788"/>
        <w:gridCol w:w="1645"/>
        <w:gridCol w:w="738"/>
        <w:gridCol w:w="675"/>
        <w:gridCol w:w="1138"/>
      </w:tblGrid>
      <w:tr w:rsidR="00DD760D" w:rsidRPr="00221AAF" w:rsidTr="00221AAF">
        <w:trPr>
          <w:jc w:val="center"/>
        </w:trPr>
        <w:tc>
          <w:tcPr>
            <w:tcW w:w="0" w:type="auto"/>
            <w:tcBorders>
              <w:bottom w:val="single" w:sz="0" w:space="0" w:color="auto"/>
            </w:tcBorders>
            <w:vAlign w:val="bottom"/>
          </w:tcPr>
          <w:p w:rsidR="00DD760D" w:rsidRPr="00221AAF" w:rsidRDefault="00221AAF" w:rsidP="00221AAF">
            <w:pPr>
              <w:pStyle w:val="Compact"/>
              <w:rPr>
                <w:b/>
              </w:rPr>
            </w:pPr>
            <w:r w:rsidRPr="00221AAF">
              <w:rPr>
                <w:b/>
              </w:rPr>
              <w:t>Test Statistic</w:t>
            </w:r>
          </w:p>
        </w:tc>
        <w:tc>
          <w:tcPr>
            <w:tcW w:w="0" w:type="auto"/>
            <w:tcBorders>
              <w:bottom w:val="single" w:sz="0" w:space="0" w:color="auto"/>
            </w:tcBorders>
            <w:vAlign w:val="bottom"/>
          </w:tcPr>
          <w:p w:rsidR="00DD760D" w:rsidRPr="00221AAF" w:rsidRDefault="00221AAF" w:rsidP="00221AAF">
            <w:pPr>
              <w:pStyle w:val="Compact"/>
              <w:rPr>
                <w:b/>
              </w:rPr>
            </w:pPr>
            <w:r w:rsidRPr="00221AAF">
              <w:rPr>
                <w:b/>
              </w:rPr>
              <w:t>SC</w:t>
            </w:r>
          </w:p>
        </w:tc>
        <w:tc>
          <w:tcPr>
            <w:tcW w:w="0" w:type="auto"/>
            <w:tcBorders>
              <w:bottom w:val="single" w:sz="0" w:space="0" w:color="auto"/>
            </w:tcBorders>
            <w:vAlign w:val="bottom"/>
          </w:tcPr>
          <w:p w:rsidR="00DD760D" w:rsidRPr="00221AAF" w:rsidRDefault="00221AAF" w:rsidP="00221AAF">
            <w:pPr>
              <w:pStyle w:val="Compact"/>
              <w:rPr>
                <w:b/>
              </w:rPr>
            </w:pPr>
            <w:r w:rsidRPr="00221AAF">
              <w:rPr>
                <w:b/>
              </w:rPr>
              <w:t>H</w:t>
            </w:r>
          </w:p>
        </w:tc>
        <w:tc>
          <w:tcPr>
            <w:tcW w:w="0" w:type="auto"/>
            <w:tcBorders>
              <w:bottom w:val="single" w:sz="0" w:space="0" w:color="auto"/>
            </w:tcBorders>
            <w:vAlign w:val="bottom"/>
          </w:tcPr>
          <w:p w:rsidR="00DD760D" w:rsidRPr="00221AAF" w:rsidRDefault="00221AAF" w:rsidP="00221AAF">
            <w:pPr>
              <w:pStyle w:val="Compact"/>
              <w:rPr>
                <w:b/>
              </w:rPr>
            </w:pPr>
            <w:r w:rsidRPr="00221AAF">
              <w:rPr>
                <w:b/>
              </w:rPr>
              <w:t>AR</w:t>
            </w:r>
          </w:p>
        </w:tc>
        <w:tc>
          <w:tcPr>
            <w:tcW w:w="0" w:type="auto"/>
            <w:tcBorders>
              <w:bottom w:val="single" w:sz="0" w:space="0" w:color="auto"/>
            </w:tcBorders>
            <w:vAlign w:val="bottom"/>
          </w:tcPr>
          <w:p w:rsidR="00DD760D" w:rsidRPr="00221AAF" w:rsidRDefault="00221AAF" w:rsidP="00221AAF">
            <w:pPr>
              <w:pStyle w:val="Compact"/>
              <w:rPr>
                <w:b/>
              </w:rPr>
            </w:pPr>
            <w:r w:rsidRPr="00221AAF">
              <w:rPr>
                <w:b/>
              </w:rPr>
              <w:t>CQ</w:t>
            </w:r>
          </w:p>
        </w:tc>
        <w:tc>
          <w:tcPr>
            <w:tcW w:w="0" w:type="auto"/>
            <w:tcBorders>
              <w:bottom w:val="single" w:sz="0" w:space="0" w:color="auto"/>
            </w:tcBorders>
            <w:vAlign w:val="bottom"/>
          </w:tcPr>
          <w:p w:rsidR="00DD760D" w:rsidRPr="00221AAF" w:rsidRDefault="00221AAF" w:rsidP="00221AAF">
            <w:pPr>
              <w:pStyle w:val="Compact"/>
              <w:rPr>
                <w:b/>
              </w:rPr>
            </w:pPr>
            <w:r w:rsidRPr="00221AAF">
              <w:rPr>
                <w:b/>
              </w:rPr>
              <w:t>CS</w:t>
            </w:r>
          </w:p>
        </w:tc>
        <w:tc>
          <w:tcPr>
            <w:tcW w:w="0" w:type="auto"/>
            <w:tcBorders>
              <w:bottom w:val="single" w:sz="0" w:space="0" w:color="auto"/>
            </w:tcBorders>
            <w:vAlign w:val="bottom"/>
          </w:tcPr>
          <w:p w:rsidR="00DD760D" w:rsidRPr="00221AAF" w:rsidRDefault="00221AAF" w:rsidP="00221AAF">
            <w:pPr>
              <w:pStyle w:val="Compact"/>
              <w:rPr>
                <w:b/>
              </w:rPr>
            </w:pPr>
            <w:r w:rsidRPr="00221AAF">
              <w:rPr>
                <w:b/>
              </w:rPr>
              <w:t>SIC</w:t>
            </w:r>
          </w:p>
        </w:tc>
      </w:tr>
      <w:tr w:rsidR="00DD760D" w:rsidRPr="00221AAF" w:rsidTr="00221AAF">
        <w:trPr>
          <w:jc w:val="center"/>
        </w:trPr>
        <w:tc>
          <w:tcPr>
            <w:tcW w:w="0" w:type="auto"/>
          </w:tcPr>
          <w:p w:rsidR="00DD760D" w:rsidRPr="00221AAF" w:rsidRDefault="00221AAF" w:rsidP="00221AAF">
            <w:pPr>
              <w:pStyle w:val="Compact"/>
            </w:pPr>
            <w:r w:rsidRPr="00221AAF">
              <w:lastRenderedPageBreak/>
              <w:t>Nigeria ARDL</w:t>
            </w:r>
          </w:p>
        </w:tc>
        <w:tc>
          <w:tcPr>
            <w:tcW w:w="0" w:type="auto"/>
          </w:tcPr>
          <w:p w:rsidR="00DD760D" w:rsidRPr="00221AAF" w:rsidRDefault="00221AAF" w:rsidP="00221AAF">
            <w:pPr>
              <w:pStyle w:val="Compact"/>
            </w:pPr>
            <w:r w:rsidRPr="00221AAF">
              <w:t>4.00(0.14)</w:t>
            </w:r>
          </w:p>
        </w:tc>
        <w:tc>
          <w:tcPr>
            <w:tcW w:w="0" w:type="auto"/>
          </w:tcPr>
          <w:p w:rsidR="00DD760D" w:rsidRPr="00221AAF" w:rsidRDefault="00221AAF" w:rsidP="00221AAF">
            <w:pPr>
              <w:pStyle w:val="Compact"/>
            </w:pPr>
            <w:r w:rsidRPr="00221AAF">
              <w:t>9.02(0.44)</w:t>
            </w:r>
          </w:p>
        </w:tc>
        <w:tc>
          <w:tcPr>
            <w:tcW w:w="0" w:type="auto"/>
          </w:tcPr>
          <w:p w:rsidR="00DD760D" w:rsidRPr="00221AAF" w:rsidRDefault="00221AAF" w:rsidP="00221AAF">
            <w:pPr>
              <w:pStyle w:val="Compact"/>
            </w:pPr>
            <w:r w:rsidRPr="00221AAF">
              <w:t>1.09(0.30)</w:t>
            </w:r>
          </w:p>
        </w:tc>
        <w:tc>
          <w:tcPr>
            <w:tcW w:w="0" w:type="auto"/>
          </w:tcPr>
          <w:p w:rsidR="00DD760D" w:rsidRPr="00221AAF" w:rsidRDefault="00221AAF" w:rsidP="00221AAF">
            <w:pPr>
              <w:pStyle w:val="Compact"/>
            </w:pPr>
            <w:r w:rsidRPr="00221AAF">
              <w:t>S</w:t>
            </w:r>
          </w:p>
        </w:tc>
        <w:tc>
          <w:tcPr>
            <w:tcW w:w="0" w:type="auto"/>
          </w:tcPr>
          <w:p w:rsidR="00DD760D" w:rsidRPr="00221AAF" w:rsidRDefault="00221AAF" w:rsidP="00221AAF">
            <w:pPr>
              <w:pStyle w:val="Compact"/>
            </w:pPr>
            <w:r w:rsidRPr="00221AAF">
              <w:t>S</w:t>
            </w:r>
          </w:p>
        </w:tc>
        <w:tc>
          <w:tcPr>
            <w:tcW w:w="0" w:type="auto"/>
          </w:tcPr>
          <w:p w:rsidR="00DD760D" w:rsidRPr="00221AAF" w:rsidRDefault="00221AAF" w:rsidP="00221AAF">
            <w:pPr>
              <w:pStyle w:val="Compact"/>
            </w:pPr>
            <w:r w:rsidRPr="00221AAF">
              <w:t>-0.4687</w:t>
            </w:r>
          </w:p>
        </w:tc>
      </w:tr>
      <w:tr w:rsidR="00DD760D" w:rsidRPr="00221AAF" w:rsidTr="00221AAF">
        <w:trPr>
          <w:jc w:val="center"/>
        </w:trPr>
        <w:tc>
          <w:tcPr>
            <w:tcW w:w="0" w:type="auto"/>
          </w:tcPr>
          <w:p w:rsidR="00DD760D" w:rsidRPr="00221AAF" w:rsidRDefault="00221AAF" w:rsidP="00221AAF">
            <w:pPr>
              <w:pStyle w:val="Compact"/>
            </w:pPr>
            <w:r w:rsidRPr="00221AAF">
              <w:t>Nigeria NARDL</w:t>
            </w:r>
          </w:p>
        </w:tc>
        <w:tc>
          <w:tcPr>
            <w:tcW w:w="0" w:type="auto"/>
          </w:tcPr>
          <w:p w:rsidR="00DD760D" w:rsidRPr="00221AAF" w:rsidRDefault="00221AAF" w:rsidP="00221AAF">
            <w:pPr>
              <w:pStyle w:val="Compact"/>
            </w:pPr>
            <w:r w:rsidRPr="00221AAF">
              <w:t>9.50(0.05)</w:t>
            </w:r>
          </w:p>
        </w:tc>
        <w:tc>
          <w:tcPr>
            <w:tcW w:w="0" w:type="auto"/>
          </w:tcPr>
          <w:p w:rsidR="00DD760D" w:rsidRPr="00221AAF" w:rsidRDefault="00221AAF" w:rsidP="00221AAF">
            <w:pPr>
              <w:pStyle w:val="Compact"/>
            </w:pPr>
            <w:r w:rsidRPr="00221AAF">
              <w:t>43.67(0.84)</w:t>
            </w:r>
          </w:p>
        </w:tc>
        <w:tc>
          <w:tcPr>
            <w:tcW w:w="0" w:type="auto"/>
          </w:tcPr>
          <w:p w:rsidR="00DD760D" w:rsidRPr="00221AAF" w:rsidRDefault="00221AAF" w:rsidP="00221AAF">
            <w:pPr>
              <w:pStyle w:val="Compact"/>
            </w:pPr>
            <w:r w:rsidRPr="00221AAF">
              <w:t>1.19(0.28)</w:t>
            </w:r>
          </w:p>
        </w:tc>
        <w:tc>
          <w:tcPr>
            <w:tcW w:w="0" w:type="auto"/>
          </w:tcPr>
          <w:p w:rsidR="00DD760D" w:rsidRPr="00221AAF" w:rsidRDefault="00221AAF" w:rsidP="00221AAF">
            <w:pPr>
              <w:pStyle w:val="Compact"/>
            </w:pPr>
            <w:r w:rsidRPr="00221AAF">
              <w:t>S</w:t>
            </w:r>
          </w:p>
        </w:tc>
        <w:tc>
          <w:tcPr>
            <w:tcW w:w="0" w:type="auto"/>
          </w:tcPr>
          <w:p w:rsidR="00DD760D" w:rsidRPr="00221AAF" w:rsidRDefault="00221AAF" w:rsidP="00221AAF">
            <w:pPr>
              <w:pStyle w:val="Compact"/>
            </w:pPr>
            <w:r w:rsidRPr="00221AAF">
              <w:t>S</w:t>
            </w:r>
          </w:p>
        </w:tc>
        <w:tc>
          <w:tcPr>
            <w:tcW w:w="0" w:type="auto"/>
          </w:tcPr>
          <w:p w:rsidR="00DD760D" w:rsidRPr="00221AAF" w:rsidRDefault="00221AAF" w:rsidP="00221AAF">
            <w:pPr>
              <w:pStyle w:val="Compact"/>
            </w:pPr>
            <w:r w:rsidRPr="00221AAF">
              <w:t>-0.4436</w:t>
            </w:r>
          </w:p>
        </w:tc>
      </w:tr>
      <w:tr w:rsidR="00DD760D" w:rsidRPr="00221AAF" w:rsidTr="00221AAF">
        <w:trPr>
          <w:jc w:val="center"/>
        </w:trPr>
        <w:tc>
          <w:tcPr>
            <w:tcW w:w="0" w:type="auto"/>
          </w:tcPr>
          <w:p w:rsidR="00DD760D" w:rsidRPr="00221AAF" w:rsidRDefault="00221AAF" w:rsidP="00221AAF">
            <w:pPr>
              <w:pStyle w:val="Compact"/>
            </w:pPr>
            <w:r w:rsidRPr="00221AAF">
              <w:t>Ghana ARDL</w:t>
            </w:r>
          </w:p>
        </w:tc>
        <w:tc>
          <w:tcPr>
            <w:tcW w:w="0" w:type="auto"/>
          </w:tcPr>
          <w:p w:rsidR="00DD760D" w:rsidRPr="00221AAF" w:rsidRDefault="00221AAF" w:rsidP="00221AAF">
            <w:pPr>
              <w:pStyle w:val="Compact"/>
            </w:pPr>
            <w:r w:rsidRPr="00221AAF">
              <w:t>1.80(0.41)</w:t>
            </w:r>
          </w:p>
        </w:tc>
        <w:tc>
          <w:tcPr>
            <w:tcW w:w="0" w:type="auto"/>
          </w:tcPr>
          <w:p w:rsidR="00DD760D" w:rsidRPr="00221AAF" w:rsidRDefault="00221AAF" w:rsidP="00221AAF">
            <w:pPr>
              <w:pStyle w:val="Compact"/>
            </w:pPr>
            <w:r w:rsidRPr="00221AAF">
              <w:t>7.53(0.58)</w:t>
            </w:r>
          </w:p>
        </w:tc>
        <w:tc>
          <w:tcPr>
            <w:tcW w:w="0" w:type="auto"/>
          </w:tcPr>
          <w:p w:rsidR="00DD760D" w:rsidRPr="00221AAF" w:rsidRDefault="00221AAF" w:rsidP="00221AAF">
            <w:pPr>
              <w:pStyle w:val="Compact"/>
            </w:pPr>
            <w:r w:rsidRPr="00221AAF">
              <w:t>2.60(0.11)</w:t>
            </w:r>
          </w:p>
        </w:tc>
        <w:tc>
          <w:tcPr>
            <w:tcW w:w="0" w:type="auto"/>
          </w:tcPr>
          <w:p w:rsidR="00DD760D" w:rsidRPr="00221AAF" w:rsidRDefault="00221AAF" w:rsidP="00221AAF">
            <w:pPr>
              <w:pStyle w:val="Compact"/>
            </w:pPr>
            <w:r w:rsidRPr="00221AAF">
              <w:t>S</w:t>
            </w:r>
          </w:p>
        </w:tc>
        <w:tc>
          <w:tcPr>
            <w:tcW w:w="0" w:type="auto"/>
          </w:tcPr>
          <w:p w:rsidR="00DD760D" w:rsidRPr="00221AAF" w:rsidRDefault="00221AAF" w:rsidP="00221AAF">
            <w:pPr>
              <w:pStyle w:val="Compact"/>
            </w:pPr>
            <w:r w:rsidRPr="00221AAF">
              <w:t>S</w:t>
            </w:r>
          </w:p>
        </w:tc>
        <w:tc>
          <w:tcPr>
            <w:tcW w:w="0" w:type="auto"/>
          </w:tcPr>
          <w:p w:rsidR="00DD760D" w:rsidRPr="00221AAF" w:rsidRDefault="00221AAF" w:rsidP="00221AAF">
            <w:pPr>
              <w:pStyle w:val="Compact"/>
            </w:pPr>
            <w:r w:rsidRPr="00221AAF">
              <w:t>0.0217</w:t>
            </w:r>
          </w:p>
        </w:tc>
      </w:tr>
      <w:tr w:rsidR="00DD760D" w:rsidRPr="00221AAF" w:rsidTr="00221AAF">
        <w:trPr>
          <w:jc w:val="center"/>
        </w:trPr>
        <w:tc>
          <w:tcPr>
            <w:tcW w:w="0" w:type="auto"/>
          </w:tcPr>
          <w:p w:rsidR="00DD760D" w:rsidRPr="00221AAF" w:rsidRDefault="00221AAF" w:rsidP="00221AAF">
            <w:pPr>
              <w:pStyle w:val="Compact"/>
            </w:pPr>
            <w:r w:rsidRPr="00221AAF">
              <w:t>Ghana NARDL</w:t>
            </w:r>
          </w:p>
        </w:tc>
        <w:tc>
          <w:tcPr>
            <w:tcW w:w="0" w:type="auto"/>
          </w:tcPr>
          <w:p w:rsidR="00DD760D" w:rsidRPr="00221AAF" w:rsidRDefault="00221AAF" w:rsidP="00221AAF">
            <w:pPr>
              <w:pStyle w:val="Compact"/>
            </w:pPr>
            <w:r w:rsidRPr="00221AAF">
              <w:t>4.02(0.40)</w:t>
            </w:r>
          </w:p>
        </w:tc>
        <w:tc>
          <w:tcPr>
            <w:tcW w:w="0" w:type="auto"/>
          </w:tcPr>
          <w:p w:rsidR="00DD760D" w:rsidRPr="00221AAF" w:rsidRDefault="00221AAF" w:rsidP="00221AAF">
            <w:pPr>
              <w:pStyle w:val="Compact"/>
            </w:pPr>
            <w:r w:rsidRPr="00221AAF">
              <w:t>57.28(0.35)</w:t>
            </w:r>
          </w:p>
        </w:tc>
        <w:tc>
          <w:tcPr>
            <w:tcW w:w="0" w:type="auto"/>
          </w:tcPr>
          <w:p w:rsidR="00DD760D" w:rsidRPr="00221AAF" w:rsidRDefault="00221AAF" w:rsidP="00221AAF">
            <w:pPr>
              <w:pStyle w:val="Compact"/>
            </w:pPr>
            <w:r w:rsidRPr="00221AAF">
              <w:t>1.18(0.28)</w:t>
            </w:r>
          </w:p>
        </w:tc>
        <w:tc>
          <w:tcPr>
            <w:tcW w:w="0" w:type="auto"/>
          </w:tcPr>
          <w:p w:rsidR="00DD760D" w:rsidRPr="00221AAF" w:rsidRDefault="00221AAF" w:rsidP="00221AAF">
            <w:pPr>
              <w:pStyle w:val="Compact"/>
            </w:pPr>
            <w:r w:rsidRPr="00221AAF">
              <w:t>S</w:t>
            </w:r>
          </w:p>
        </w:tc>
        <w:tc>
          <w:tcPr>
            <w:tcW w:w="0" w:type="auto"/>
          </w:tcPr>
          <w:p w:rsidR="00DD760D" w:rsidRPr="00221AAF" w:rsidRDefault="00221AAF" w:rsidP="00221AAF">
            <w:pPr>
              <w:pStyle w:val="Compact"/>
            </w:pPr>
            <w:r w:rsidRPr="00221AAF">
              <w:t>S</w:t>
            </w:r>
          </w:p>
        </w:tc>
        <w:tc>
          <w:tcPr>
            <w:tcW w:w="0" w:type="auto"/>
          </w:tcPr>
          <w:p w:rsidR="00DD760D" w:rsidRPr="00221AAF" w:rsidRDefault="00221AAF" w:rsidP="00221AAF">
            <w:pPr>
              <w:pStyle w:val="Compact"/>
            </w:pPr>
            <w:r w:rsidRPr="00221AAF">
              <w:t>0.0139</w:t>
            </w:r>
          </w:p>
        </w:tc>
      </w:tr>
      <w:tr w:rsidR="00DD760D" w:rsidRPr="00221AAF" w:rsidTr="00221AAF">
        <w:trPr>
          <w:jc w:val="center"/>
        </w:trPr>
        <w:tc>
          <w:tcPr>
            <w:tcW w:w="0" w:type="auto"/>
          </w:tcPr>
          <w:p w:rsidR="00DD760D" w:rsidRPr="00221AAF" w:rsidRDefault="00221AAF" w:rsidP="00221AAF">
            <w:pPr>
              <w:pStyle w:val="Compact"/>
            </w:pPr>
            <w:r w:rsidRPr="00221AAF">
              <w:t>Senegal ARDL</w:t>
            </w:r>
          </w:p>
        </w:tc>
        <w:tc>
          <w:tcPr>
            <w:tcW w:w="0" w:type="auto"/>
          </w:tcPr>
          <w:p w:rsidR="00DD760D" w:rsidRPr="00221AAF" w:rsidRDefault="00221AAF" w:rsidP="00221AAF">
            <w:pPr>
              <w:pStyle w:val="Compact"/>
            </w:pPr>
            <w:r w:rsidRPr="00221AAF">
              <w:t>2.09(0.35)</w:t>
            </w:r>
          </w:p>
        </w:tc>
        <w:tc>
          <w:tcPr>
            <w:tcW w:w="0" w:type="auto"/>
          </w:tcPr>
          <w:p w:rsidR="00DD760D" w:rsidRPr="00221AAF" w:rsidRDefault="00221AAF" w:rsidP="00221AAF">
            <w:pPr>
              <w:pStyle w:val="Compact"/>
            </w:pPr>
            <w:r w:rsidRPr="00221AAF">
              <w:t>13.98(0.12)</w:t>
            </w:r>
          </w:p>
        </w:tc>
        <w:tc>
          <w:tcPr>
            <w:tcW w:w="0" w:type="auto"/>
          </w:tcPr>
          <w:p w:rsidR="00DD760D" w:rsidRPr="00221AAF" w:rsidRDefault="00221AAF" w:rsidP="00221AAF">
            <w:pPr>
              <w:pStyle w:val="Compact"/>
            </w:pPr>
            <w:r w:rsidRPr="00221AAF">
              <w:t>5.90(0.02)</w:t>
            </w:r>
          </w:p>
        </w:tc>
        <w:tc>
          <w:tcPr>
            <w:tcW w:w="0" w:type="auto"/>
          </w:tcPr>
          <w:p w:rsidR="00DD760D" w:rsidRPr="00221AAF" w:rsidRDefault="00221AAF" w:rsidP="00221AAF">
            <w:pPr>
              <w:pStyle w:val="Compact"/>
            </w:pPr>
            <w:r w:rsidRPr="00221AAF">
              <w:t>S</w:t>
            </w:r>
          </w:p>
        </w:tc>
        <w:tc>
          <w:tcPr>
            <w:tcW w:w="0" w:type="auto"/>
          </w:tcPr>
          <w:p w:rsidR="00DD760D" w:rsidRPr="00221AAF" w:rsidRDefault="00221AAF" w:rsidP="00221AAF">
            <w:pPr>
              <w:pStyle w:val="Compact"/>
            </w:pPr>
            <w:r w:rsidRPr="00221AAF">
              <w:t>S</w:t>
            </w:r>
          </w:p>
        </w:tc>
        <w:tc>
          <w:tcPr>
            <w:tcW w:w="0" w:type="auto"/>
          </w:tcPr>
          <w:p w:rsidR="00DD760D" w:rsidRPr="00221AAF" w:rsidRDefault="00221AAF" w:rsidP="00221AAF">
            <w:pPr>
              <w:pStyle w:val="Compact"/>
            </w:pPr>
            <w:r w:rsidRPr="00221AAF">
              <w:t>-0.6855</w:t>
            </w:r>
          </w:p>
        </w:tc>
      </w:tr>
      <w:tr w:rsidR="00DD760D" w:rsidRPr="00221AAF" w:rsidTr="00221AAF">
        <w:trPr>
          <w:jc w:val="center"/>
        </w:trPr>
        <w:tc>
          <w:tcPr>
            <w:tcW w:w="0" w:type="auto"/>
          </w:tcPr>
          <w:p w:rsidR="00DD760D" w:rsidRPr="00221AAF" w:rsidRDefault="00221AAF" w:rsidP="00221AAF">
            <w:pPr>
              <w:pStyle w:val="Compact"/>
            </w:pPr>
            <w:r w:rsidRPr="00221AAF">
              <w:t>Senegal NARDL</w:t>
            </w:r>
          </w:p>
        </w:tc>
        <w:tc>
          <w:tcPr>
            <w:tcW w:w="0" w:type="auto"/>
          </w:tcPr>
          <w:p w:rsidR="00DD760D" w:rsidRPr="00221AAF" w:rsidRDefault="00221AAF" w:rsidP="00221AAF">
            <w:pPr>
              <w:pStyle w:val="Compact"/>
            </w:pPr>
            <w:r w:rsidRPr="00221AAF">
              <w:t>1.44(0.84)</w:t>
            </w:r>
          </w:p>
        </w:tc>
        <w:tc>
          <w:tcPr>
            <w:tcW w:w="0" w:type="auto"/>
          </w:tcPr>
          <w:p w:rsidR="00DD760D" w:rsidRPr="00221AAF" w:rsidRDefault="00221AAF" w:rsidP="00221AAF">
            <w:pPr>
              <w:pStyle w:val="Compact"/>
            </w:pPr>
            <w:r w:rsidRPr="00221AAF">
              <w:t>89.09(0.02)</w:t>
            </w:r>
          </w:p>
        </w:tc>
        <w:tc>
          <w:tcPr>
            <w:tcW w:w="0" w:type="auto"/>
          </w:tcPr>
          <w:p w:rsidR="00DD760D" w:rsidRPr="00221AAF" w:rsidRDefault="00221AAF" w:rsidP="00221AAF">
            <w:pPr>
              <w:pStyle w:val="Compact"/>
            </w:pPr>
            <w:r w:rsidRPr="00221AAF">
              <w:t>0.34(0.56)</w:t>
            </w:r>
          </w:p>
        </w:tc>
        <w:tc>
          <w:tcPr>
            <w:tcW w:w="0" w:type="auto"/>
          </w:tcPr>
          <w:p w:rsidR="00DD760D" w:rsidRPr="00221AAF" w:rsidRDefault="00221AAF" w:rsidP="00221AAF">
            <w:pPr>
              <w:pStyle w:val="Compact"/>
            </w:pPr>
            <w:r w:rsidRPr="00221AAF">
              <w:t>S</w:t>
            </w:r>
          </w:p>
        </w:tc>
        <w:tc>
          <w:tcPr>
            <w:tcW w:w="0" w:type="auto"/>
          </w:tcPr>
          <w:p w:rsidR="00DD760D" w:rsidRPr="00221AAF" w:rsidRDefault="00221AAF" w:rsidP="00221AAF">
            <w:pPr>
              <w:pStyle w:val="Compact"/>
            </w:pPr>
            <w:r w:rsidRPr="00221AAF">
              <w:t>S</w:t>
            </w:r>
          </w:p>
        </w:tc>
        <w:tc>
          <w:tcPr>
            <w:tcW w:w="0" w:type="auto"/>
          </w:tcPr>
          <w:p w:rsidR="00DD760D" w:rsidRPr="00221AAF" w:rsidRDefault="00221AAF" w:rsidP="00221AAF">
            <w:pPr>
              <w:pStyle w:val="Compact"/>
            </w:pPr>
            <w:r w:rsidRPr="00221AAF">
              <w:t>-0.8500</w:t>
            </w:r>
          </w:p>
        </w:tc>
      </w:tr>
      <w:tr w:rsidR="00DD760D" w:rsidRPr="00221AAF" w:rsidTr="00221AAF">
        <w:trPr>
          <w:jc w:val="center"/>
        </w:trPr>
        <w:tc>
          <w:tcPr>
            <w:tcW w:w="0" w:type="auto"/>
          </w:tcPr>
          <w:p w:rsidR="00DD760D" w:rsidRPr="00221AAF" w:rsidRDefault="00221AAF" w:rsidP="00221AAF">
            <w:pPr>
              <w:pStyle w:val="Compact"/>
            </w:pPr>
            <w:r w:rsidRPr="00221AAF">
              <w:t>Niger ARDL</w:t>
            </w:r>
          </w:p>
        </w:tc>
        <w:tc>
          <w:tcPr>
            <w:tcW w:w="0" w:type="auto"/>
          </w:tcPr>
          <w:p w:rsidR="00DD760D" w:rsidRPr="00221AAF" w:rsidRDefault="00221AAF" w:rsidP="00221AAF">
            <w:pPr>
              <w:pStyle w:val="Compact"/>
            </w:pPr>
            <w:r w:rsidRPr="00221AAF">
              <w:t>0.54(0.76)</w:t>
            </w:r>
          </w:p>
        </w:tc>
        <w:tc>
          <w:tcPr>
            <w:tcW w:w="0" w:type="auto"/>
          </w:tcPr>
          <w:p w:rsidR="00DD760D" w:rsidRPr="00221AAF" w:rsidRDefault="00221AAF" w:rsidP="00221AAF">
            <w:pPr>
              <w:pStyle w:val="Compact"/>
            </w:pPr>
            <w:r w:rsidRPr="00221AAF">
              <w:t>23.87(0.00)</w:t>
            </w:r>
          </w:p>
        </w:tc>
        <w:tc>
          <w:tcPr>
            <w:tcW w:w="0" w:type="auto"/>
          </w:tcPr>
          <w:p w:rsidR="00DD760D" w:rsidRPr="00221AAF" w:rsidRDefault="00221AAF" w:rsidP="00221AAF">
            <w:pPr>
              <w:pStyle w:val="Compact"/>
            </w:pPr>
            <w:r w:rsidRPr="00221AAF">
              <w:t>6.82(0.01)</w:t>
            </w:r>
          </w:p>
        </w:tc>
        <w:tc>
          <w:tcPr>
            <w:tcW w:w="0" w:type="auto"/>
          </w:tcPr>
          <w:p w:rsidR="00DD760D" w:rsidRPr="00221AAF" w:rsidRDefault="00221AAF" w:rsidP="00221AAF">
            <w:pPr>
              <w:pStyle w:val="Compact"/>
            </w:pPr>
            <w:r w:rsidRPr="00221AAF">
              <w:t>S</w:t>
            </w:r>
          </w:p>
        </w:tc>
        <w:tc>
          <w:tcPr>
            <w:tcW w:w="0" w:type="auto"/>
          </w:tcPr>
          <w:p w:rsidR="00DD760D" w:rsidRPr="00221AAF" w:rsidRDefault="00221AAF" w:rsidP="00221AAF">
            <w:pPr>
              <w:pStyle w:val="Compact"/>
            </w:pPr>
            <w:r w:rsidRPr="00221AAF">
              <w:t>U</w:t>
            </w:r>
          </w:p>
        </w:tc>
        <w:tc>
          <w:tcPr>
            <w:tcW w:w="0" w:type="auto"/>
          </w:tcPr>
          <w:p w:rsidR="00DD760D" w:rsidRPr="00221AAF" w:rsidRDefault="00221AAF" w:rsidP="00221AAF">
            <w:pPr>
              <w:pStyle w:val="Compact"/>
            </w:pPr>
            <w:r w:rsidRPr="00221AAF">
              <w:t>0.7083</w:t>
            </w:r>
          </w:p>
        </w:tc>
      </w:tr>
      <w:tr w:rsidR="00DD760D" w:rsidRPr="00221AAF" w:rsidTr="00221AAF">
        <w:trPr>
          <w:jc w:val="center"/>
        </w:trPr>
        <w:tc>
          <w:tcPr>
            <w:tcW w:w="0" w:type="auto"/>
          </w:tcPr>
          <w:p w:rsidR="00DD760D" w:rsidRPr="00221AAF" w:rsidRDefault="00221AAF" w:rsidP="00221AAF">
            <w:pPr>
              <w:pStyle w:val="Compact"/>
            </w:pPr>
            <w:r w:rsidRPr="00221AAF">
              <w:t>Niger NARDL</w:t>
            </w:r>
          </w:p>
        </w:tc>
        <w:tc>
          <w:tcPr>
            <w:tcW w:w="0" w:type="auto"/>
          </w:tcPr>
          <w:p w:rsidR="00DD760D" w:rsidRPr="00221AAF" w:rsidRDefault="00221AAF" w:rsidP="00221AAF">
            <w:pPr>
              <w:pStyle w:val="Compact"/>
            </w:pPr>
            <w:r w:rsidRPr="00221AAF">
              <w:t>5.49(0.24)</w:t>
            </w:r>
          </w:p>
        </w:tc>
        <w:tc>
          <w:tcPr>
            <w:tcW w:w="0" w:type="auto"/>
          </w:tcPr>
          <w:p w:rsidR="00DD760D" w:rsidRPr="00221AAF" w:rsidRDefault="00221AAF" w:rsidP="00221AAF">
            <w:pPr>
              <w:pStyle w:val="Compact"/>
            </w:pPr>
            <w:r w:rsidRPr="00221AAF">
              <w:t>71.94(0.04)</w:t>
            </w:r>
          </w:p>
        </w:tc>
        <w:tc>
          <w:tcPr>
            <w:tcW w:w="0" w:type="auto"/>
          </w:tcPr>
          <w:p w:rsidR="00DD760D" w:rsidRPr="00221AAF" w:rsidRDefault="00221AAF" w:rsidP="00221AAF">
            <w:pPr>
              <w:pStyle w:val="Compact"/>
            </w:pPr>
            <w:r w:rsidRPr="00221AAF">
              <w:t>8.81(0.00)</w:t>
            </w:r>
          </w:p>
        </w:tc>
        <w:tc>
          <w:tcPr>
            <w:tcW w:w="0" w:type="auto"/>
          </w:tcPr>
          <w:p w:rsidR="00DD760D" w:rsidRPr="00221AAF" w:rsidRDefault="00221AAF" w:rsidP="00221AAF">
            <w:pPr>
              <w:pStyle w:val="Compact"/>
            </w:pPr>
            <w:r w:rsidRPr="00221AAF">
              <w:t>S</w:t>
            </w:r>
          </w:p>
        </w:tc>
        <w:tc>
          <w:tcPr>
            <w:tcW w:w="0" w:type="auto"/>
          </w:tcPr>
          <w:p w:rsidR="00DD760D" w:rsidRPr="00221AAF" w:rsidRDefault="00221AAF" w:rsidP="00221AAF">
            <w:pPr>
              <w:pStyle w:val="Compact"/>
            </w:pPr>
            <w:r w:rsidRPr="00221AAF">
              <w:t>U</w:t>
            </w:r>
          </w:p>
        </w:tc>
        <w:tc>
          <w:tcPr>
            <w:tcW w:w="0" w:type="auto"/>
          </w:tcPr>
          <w:p w:rsidR="00DD760D" w:rsidRPr="00221AAF" w:rsidRDefault="00221AAF" w:rsidP="00221AAF">
            <w:pPr>
              <w:pStyle w:val="Compact"/>
            </w:pPr>
            <w:r w:rsidRPr="00221AAF">
              <w:t>0.6813</w:t>
            </w:r>
          </w:p>
        </w:tc>
      </w:tr>
      <w:tr w:rsidR="00DD760D" w:rsidRPr="00221AAF" w:rsidTr="00221AAF">
        <w:trPr>
          <w:jc w:val="center"/>
        </w:trPr>
        <w:tc>
          <w:tcPr>
            <w:tcW w:w="0" w:type="auto"/>
          </w:tcPr>
          <w:p w:rsidR="00DD760D" w:rsidRPr="00221AAF" w:rsidRDefault="00221AAF" w:rsidP="00221AAF">
            <w:pPr>
              <w:pStyle w:val="Compact"/>
            </w:pPr>
            <w:r w:rsidRPr="00221AAF">
              <w:t>Cote ARDL</w:t>
            </w:r>
          </w:p>
        </w:tc>
        <w:tc>
          <w:tcPr>
            <w:tcW w:w="0" w:type="auto"/>
          </w:tcPr>
          <w:p w:rsidR="00DD760D" w:rsidRPr="00221AAF" w:rsidRDefault="00221AAF" w:rsidP="00221AAF">
            <w:pPr>
              <w:pStyle w:val="Compact"/>
            </w:pPr>
            <w:r w:rsidRPr="00221AAF">
              <w:t>4.83(0.09)</w:t>
            </w:r>
          </w:p>
        </w:tc>
        <w:tc>
          <w:tcPr>
            <w:tcW w:w="0" w:type="auto"/>
          </w:tcPr>
          <w:p w:rsidR="00DD760D" w:rsidRPr="00221AAF" w:rsidRDefault="00221AAF" w:rsidP="00221AAF">
            <w:pPr>
              <w:pStyle w:val="Compact"/>
            </w:pPr>
            <w:r w:rsidRPr="00221AAF">
              <w:t>19.67(0.02)</w:t>
            </w:r>
          </w:p>
        </w:tc>
        <w:tc>
          <w:tcPr>
            <w:tcW w:w="0" w:type="auto"/>
          </w:tcPr>
          <w:p w:rsidR="00DD760D" w:rsidRPr="00221AAF" w:rsidRDefault="00221AAF" w:rsidP="00221AAF">
            <w:pPr>
              <w:pStyle w:val="Compact"/>
            </w:pPr>
            <w:r w:rsidRPr="00221AAF">
              <w:t>2.27(0.13)</w:t>
            </w:r>
          </w:p>
        </w:tc>
        <w:tc>
          <w:tcPr>
            <w:tcW w:w="0" w:type="auto"/>
          </w:tcPr>
          <w:p w:rsidR="00DD760D" w:rsidRPr="00221AAF" w:rsidRDefault="00221AAF" w:rsidP="00221AAF">
            <w:pPr>
              <w:pStyle w:val="Compact"/>
            </w:pPr>
            <w:r w:rsidRPr="00221AAF">
              <w:t>S</w:t>
            </w:r>
          </w:p>
        </w:tc>
        <w:tc>
          <w:tcPr>
            <w:tcW w:w="0" w:type="auto"/>
          </w:tcPr>
          <w:p w:rsidR="00DD760D" w:rsidRPr="00221AAF" w:rsidRDefault="00221AAF" w:rsidP="00221AAF">
            <w:pPr>
              <w:pStyle w:val="Compact"/>
            </w:pPr>
            <w:r w:rsidRPr="00221AAF">
              <w:t>S</w:t>
            </w:r>
          </w:p>
        </w:tc>
        <w:tc>
          <w:tcPr>
            <w:tcW w:w="0" w:type="auto"/>
          </w:tcPr>
          <w:p w:rsidR="00DD760D" w:rsidRPr="00221AAF" w:rsidRDefault="00221AAF" w:rsidP="00221AAF">
            <w:pPr>
              <w:pStyle w:val="Compact"/>
            </w:pPr>
            <w:r w:rsidRPr="00221AAF">
              <w:t>0.6017</w:t>
            </w:r>
          </w:p>
        </w:tc>
      </w:tr>
      <w:tr w:rsidR="00DD760D" w:rsidRPr="00221AAF" w:rsidTr="00221AAF">
        <w:trPr>
          <w:jc w:val="center"/>
        </w:trPr>
        <w:tc>
          <w:tcPr>
            <w:tcW w:w="0" w:type="auto"/>
          </w:tcPr>
          <w:p w:rsidR="00DD760D" w:rsidRPr="00221AAF" w:rsidRDefault="00221AAF" w:rsidP="00221AAF">
            <w:pPr>
              <w:pStyle w:val="Compact"/>
            </w:pPr>
            <w:r w:rsidRPr="00221AAF">
              <w:t>Cote NARDL</w:t>
            </w:r>
          </w:p>
        </w:tc>
        <w:tc>
          <w:tcPr>
            <w:tcW w:w="0" w:type="auto"/>
          </w:tcPr>
          <w:p w:rsidR="00DD760D" w:rsidRPr="00221AAF" w:rsidRDefault="00221AAF" w:rsidP="00221AAF">
            <w:pPr>
              <w:pStyle w:val="Compact"/>
            </w:pPr>
            <w:r w:rsidRPr="00221AAF">
              <w:t>3.85(0.43)</w:t>
            </w:r>
          </w:p>
        </w:tc>
        <w:tc>
          <w:tcPr>
            <w:tcW w:w="0" w:type="auto"/>
          </w:tcPr>
          <w:p w:rsidR="00DD760D" w:rsidRPr="00221AAF" w:rsidRDefault="00221AAF" w:rsidP="00221AAF">
            <w:pPr>
              <w:pStyle w:val="Compact"/>
            </w:pPr>
            <w:r w:rsidRPr="00221AAF">
              <w:t>187.07(0.00)</w:t>
            </w:r>
          </w:p>
        </w:tc>
        <w:tc>
          <w:tcPr>
            <w:tcW w:w="0" w:type="auto"/>
          </w:tcPr>
          <w:p w:rsidR="00DD760D" w:rsidRPr="00221AAF" w:rsidRDefault="00221AAF" w:rsidP="00221AAF">
            <w:pPr>
              <w:pStyle w:val="Compact"/>
            </w:pPr>
            <w:r w:rsidRPr="00221AAF">
              <w:t>0.27(0.61)</w:t>
            </w:r>
          </w:p>
        </w:tc>
        <w:tc>
          <w:tcPr>
            <w:tcW w:w="0" w:type="auto"/>
          </w:tcPr>
          <w:p w:rsidR="00DD760D" w:rsidRPr="00221AAF" w:rsidRDefault="00221AAF" w:rsidP="00221AAF">
            <w:pPr>
              <w:pStyle w:val="Compact"/>
            </w:pPr>
            <w:r w:rsidRPr="00221AAF">
              <w:t>S</w:t>
            </w:r>
          </w:p>
        </w:tc>
        <w:tc>
          <w:tcPr>
            <w:tcW w:w="0" w:type="auto"/>
          </w:tcPr>
          <w:p w:rsidR="00DD760D" w:rsidRPr="00221AAF" w:rsidRDefault="00221AAF" w:rsidP="00221AAF">
            <w:pPr>
              <w:pStyle w:val="Compact"/>
            </w:pPr>
            <w:r w:rsidRPr="00221AAF">
              <w:t>S</w:t>
            </w:r>
          </w:p>
        </w:tc>
        <w:tc>
          <w:tcPr>
            <w:tcW w:w="0" w:type="auto"/>
          </w:tcPr>
          <w:p w:rsidR="00DD760D" w:rsidRPr="00221AAF" w:rsidRDefault="00221AAF" w:rsidP="00221AAF">
            <w:pPr>
              <w:pStyle w:val="Compact"/>
            </w:pPr>
            <w:r w:rsidRPr="00221AAF">
              <w:t>0.4238</w:t>
            </w:r>
          </w:p>
        </w:tc>
      </w:tr>
      <w:tr w:rsidR="00DD760D" w:rsidRPr="00221AAF" w:rsidTr="00221AAF">
        <w:trPr>
          <w:jc w:val="center"/>
        </w:trPr>
        <w:tc>
          <w:tcPr>
            <w:tcW w:w="0" w:type="auto"/>
          </w:tcPr>
          <w:p w:rsidR="00DD760D" w:rsidRPr="00221AAF" w:rsidRDefault="00221AAF" w:rsidP="00221AAF">
            <w:pPr>
              <w:pStyle w:val="Compact"/>
            </w:pPr>
            <w:r w:rsidRPr="00221AAF">
              <w:t>Burkina ARDL</w:t>
            </w:r>
          </w:p>
        </w:tc>
        <w:tc>
          <w:tcPr>
            <w:tcW w:w="0" w:type="auto"/>
          </w:tcPr>
          <w:p w:rsidR="00DD760D" w:rsidRPr="00221AAF" w:rsidRDefault="00221AAF" w:rsidP="00221AAF">
            <w:pPr>
              <w:pStyle w:val="Compact"/>
            </w:pPr>
            <w:r w:rsidRPr="00221AAF">
              <w:t>1.89(0.39)</w:t>
            </w:r>
          </w:p>
        </w:tc>
        <w:tc>
          <w:tcPr>
            <w:tcW w:w="0" w:type="auto"/>
          </w:tcPr>
          <w:p w:rsidR="00DD760D" w:rsidRPr="00221AAF" w:rsidRDefault="00221AAF" w:rsidP="00221AAF">
            <w:pPr>
              <w:pStyle w:val="Compact"/>
            </w:pPr>
            <w:r w:rsidRPr="00221AAF">
              <w:t>16.37(0.06)</w:t>
            </w:r>
          </w:p>
        </w:tc>
        <w:tc>
          <w:tcPr>
            <w:tcW w:w="0" w:type="auto"/>
          </w:tcPr>
          <w:p w:rsidR="00DD760D" w:rsidRPr="00221AAF" w:rsidRDefault="00221AAF" w:rsidP="00221AAF">
            <w:pPr>
              <w:pStyle w:val="Compact"/>
            </w:pPr>
            <w:r w:rsidRPr="00221AAF">
              <w:t>0.01(0.91)</w:t>
            </w:r>
          </w:p>
        </w:tc>
        <w:tc>
          <w:tcPr>
            <w:tcW w:w="0" w:type="auto"/>
          </w:tcPr>
          <w:p w:rsidR="00DD760D" w:rsidRPr="00221AAF" w:rsidRDefault="00221AAF" w:rsidP="00221AAF">
            <w:pPr>
              <w:pStyle w:val="Compact"/>
            </w:pPr>
            <w:r w:rsidRPr="00221AAF">
              <w:t>S</w:t>
            </w:r>
          </w:p>
        </w:tc>
        <w:tc>
          <w:tcPr>
            <w:tcW w:w="0" w:type="auto"/>
          </w:tcPr>
          <w:p w:rsidR="00DD760D" w:rsidRPr="00221AAF" w:rsidRDefault="00221AAF" w:rsidP="00221AAF">
            <w:pPr>
              <w:pStyle w:val="Compact"/>
            </w:pPr>
            <w:r w:rsidRPr="00221AAF">
              <w:t>S</w:t>
            </w:r>
          </w:p>
        </w:tc>
        <w:tc>
          <w:tcPr>
            <w:tcW w:w="0" w:type="auto"/>
          </w:tcPr>
          <w:p w:rsidR="00DD760D" w:rsidRPr="00221AAF" w:rsidRDefault="00221AAF" w:rsidP="00221AAF">
            <w:pPr>
              <w:pStyle w:val="Compact"/>
            </w:pPr>
            <w:r w:rsidRPr="00221AAF">
              <w:t>-0.0344</w:t>
            </w:r>
          </w:p>
        </w:tc>
      </w:tr>
      <w:tr w:rsidR="00DD760D" w:rsidRPr="00221AAF" w:rsidTr="00221AAF">
        <w:trPr>
          <w:jc w:val="center"/>
        </w:trPr>
        <w:tc>
          <w:tcPr>
            <w:tcW w:w="0" w:type="auto"/>
          </w:tcPr>
          <w:p w:rsidR="00DD760D" w:rsidRPr="00221AAF" w:rsidRDefault="00221AAF" w:rsidP="00221AAF">
            <w:pPr>
              <w:pStyle w:val="Compact"/>
            </w:pPr>
            <w:r w:rsidRPr="00221AAF">
              <w:t>Burkina NARDL</w:t>
            </w:r>
          </w:p>
        </w:tc>
        <w:tc>
          <w:tcPr>
            <w:tcW w:w="0" w:type="auto"/>
          </w:tcPr>
          <w:p w:rsidR="00DD760D" w:rsidRPr="00221AAF" w:rsidRDefault="00221AAF" w:rsidP="00221AAF">
            <w:pPr>
              <w:pStyle w:val="Compact"/>
            </w:pPr>
            <w:r w:rsidRPr="00221AAF">
              <w:t>2.04(0.73)</w:t>
            </w:r>
          </w:p>
        </w:tc>
        <w:tc>
          <w:tcPr>
            <w:tcW w:w="0" w:type="auto"/>
          </w:tcPr>
          <w:p w:rsidR="00DD760D" w:rsidRPr="00221AAF" w:rsidRDefault="00221AAF" w:rsidP="00221AAF">
            <w:pPr>
              <w:pStyle w:val="Compact"/>
            </w:pPr>
            <w:r w:rsidRPr="00221AAF">
              <w:t>59.84(0.62)</w:t>
            </w:r>
          </w:p>
        </w:tc>
        <w:tc>
          <w:tcPr>
            <w:tcW w:w="0" w:type="auto"/>
          </w:tcPr>
          <w:p w:rsidR="00DD760D" w:rsidRPr="00221AAF" w:rsidRDefault="00221AAF" w:rsidP="00221AAF">
            <w:pPr>
              <w:pStyle w:val="Compact"/>
            </w:pPr>
            <w:r w:rsidRPr="00221AAF">
              <w:t>0.05(0.82)</w:t>
            </w:r>
          </w:p>
        </w:tc>
        <w:tc>
          <w:tcPr>
            <w:tcW w:w="0" w:type="auto"/>
          </w:tcPr>
          <w:p w:rsidR="00DD760D" w:rsidRPr="00221AAF" w:rsidRDefault="00221AAF" w:rsidP="00221AAF">
            <w:pPr>
              <w:pStyle w:val="Compact"/>
            </w:pPr>
            <w:r w:rsidRPr="00221AAF">
              <w:t>S</w:t>
            </w:r>
          </w:p>
        </w:tc>
        <w:tc>
          <w:tcPr>
            <w:tcW w:w="0" w:type="auto"/>
          </w:tcPr>
          <w:p w:rsidR="00DD760D" w:rsidRPr="00221AAF" w:rsidRDefault="00221AAF" w:rsidP="00221AAF">
            <w:pPr>
              <w:pStyle w:val="Compact"/>
            </w:pPr>
            <w:r w:rsidRPr="00221AAF">
              <w:t>S</w:t>
            </w:r>
          </w:p>
        </w:tc>
        <w:tc>
          <w:tcPr>
            <w:tcW w:w="0" w:type="auto"/>
          </w:tcPr>
          <w:p w:rsidR="00DD760D" w:rsidRPr="00221AAF" w:rsidRDefault="00221AAF" w:rsidP="00221AAF">
            <w:pPr>
              <w:pStyle w:val="Compact"/>
            </w:pPr>
            <w:r w:rsidRPr="00221AAF">
              <w:t>-0.0400</w:t>
            </w:r>
          </w:p>
        </w:tc>
      </w:tr>
      <w:tr w:rsidR="00DD760D" w:rsidRPr="00221AAF" w:rsidTr="00221AAF">
        <w:trPr>
          <w:jc w:val="center"/>
        </w:trPr>
        <w:tc>
          <w:tcPr>
            <w:tcW w:w="0" w:type="auto"/>
          </w:tcPr>
          <w:p w:rsidR="00DD760D" w:rsidRPr="00221AAF" w:rsidRDefault="00221AAF" w:rsidP="00221AAF">
            <w:pPr>
              <w:pStyle w:val="Compact"/>
            </w:pPr>
            <w:r w:rsidRPr="00221AAF">
              <w:t>Togo ARDL</w:t>
            </w:r>
          </w:p>
        </w:tc>
        <w:tc>
          <w:tcPr>
            <w:tcW w:w="0" w:type="auto"/>
          </w:tcPr>
          <w:p w:rsidR="00DD760D" w:rsidRPr="00221AAF" w:rsidRDefault="00221AAF" w:rsidP="00221AAF">
            <w:pPr>
              <w:pStyle w:val="Compact"/>
            </w:pPr>
            <w:r w:rsidRPr="00221AAF">
              <w:t>2.28(0.32)</w:t>
            </w:r>
          </w:p>
        </w:tc>
        <w:tc>
          <w:tcPr>
            <w:tcW w:w="0" w:type="auto"/>
          </w:tcPr>
          <w:p w:rsidR="00DD760D" w:rsidRPr="00221AAF" w:rsidRDefault="00221AAF" w:rsidP="00221AAF">
            <w:pPr>
              <w:pStyle w:val="Compact"/>
            </w:pPr>
            <w:r w:rsidRPr="00221AAF">
              <w:t>21.92(0.01)</w:t>
            </w:r>
          </w:p>
        </w:tc>
        <w:tc>
          <w:tcPr>
            <w:tcW w:w="0" w:type="auto"/>
          </w:tcPr>
          <w:p w:rsidR="00DD760D" w:rsidRPr="00221AAF" w:rsidRDefault="00221AAF" w:rsidP="00221AAF">
            <w:pPr>
              <w:pStyle w:val="Compact"/>
            </w:pPr>
            <w:r w:rsidRPr="00221AAF">
              <w:t>1.38(0.24)</w:t>
            </w:r>
          </w:p>
        </w:tc>
        <w:tc>
          <w:tcPr>
            <w:tcW w:w="0" w:type="auto"/>
          </w:tcPr>
          <w:p w:rsidR="00DD760D" w:rsidRPr="00221AAF" w:rsidRDefault="00221AAF" w:rsidP="00221AAF">
            <w:pPr>
              <w:pStyle w:val="Compact"/>
            </w:pPr>
            <w:r w:rsidRPr="00221AAF">
              <w:t>S</w:t>
            </w:r>
          </w:p>
        </w:tc>
        <w:tc>
          <w:tcPr>
            <w:tcW w:w="0" w:type="auto"/>
          </w:tcPr>
          <w:p w:rsidR="00DD760D" w:rsidRPr="00221AAF" w:rsidRDefault="00221AAF" w:rsidP="00221AAF">
            <w:pPr>
              <w:pStyle w:val="Compact"/>
            </w:pPr>
            <w:r w:rsidRPr="00221AAF">
              <w:t>U</w:t>
            </w:r>
          </w:p>
        </w:tc>
        <w:tc>
          <w:tcPr>
            <w:tcW w:w="0" w:type="auto"/>
          </w:tcPr>
          <w:p w:rsidR="00DD760D" w:rsidRPr="00221AAF" w:rsidRDefault="00221AAF" w:rsidP="00221AAF">
            <w:pPr>
              <w:pStyle w:val="Compact"/>
            </w:pPr>
            <w:r w:rsidRPr="00221AAF">
              <w:t>0.0641</w:t>
            </w:r>
          </w:p>
        </w:tc>
      </w:tr>
      <w:tr w:rsidR="00DD760D" w:rsidRPr="00221AAF" w:rsidTr="00221AAF">
        <w:trPr>
          <w:jc w:val="center"/>
        </w:trPr>
        <w:tc>
          <w:tcPr>
            <w:tcW w:w="0" w:type="auto"/>
          </w:tcPr>
          <w:p w:rsidR="00DD760D" w:rsidRPr="00221AAF" w:rsidRDefault="00221AAF" w:rsidP="00221AAF">
            <w:pPr>
              <w:pStyle w:val="Compact"/>
            </w:pPr>
            <w:r w:rsidRPr="00221AAF">
              <w:t>Togo NARDL</w:t>
            </w:r>
          </w:p>
        </w:tc>
        <w:tc>
          <w:tcPr>
            <w:tcW w:w="0" w:type="auto"/>
          </w:tcPr>
          <w:p w:rsidR="00DD760D" w:rsidRPr="00221AAF" w:rsidRDefault="00221AAF" w:rsidP="00221AAF">
            <w:pPr>
              <w:pStyle w:val="Compact"/>
            </w:pPr>
            <w:r w:rsidRPr="00221AAF">
              <w:t>2.88(0.58)</w:t>
            </w:r>
          </w:p>
        </w:tc>
        <w:tc>
          <w:tcPr>
            <w:tcW w:w="0" w:type="auto"/>
          </w:tcPr>
          <w:p w:rsidR="00DD760D" w:rsidRPr="00221AAF" w:rsidRDefault="00221AAF" w:rsidP="00221AAF">
            <w:pPr>
              <w:pStyle w:val="Compact"/>
            </w:pPr>
            <w:r w:rsidRPr="00221AAF">
              <w:t>74.01(0.04)</w:t>
            </w:r>
          </w:p>
        </w:tc>
        <w:tc>
          <w:tcPr>
            <w:tcW w:w="0" w:type="auto"/>
          </w:tcPr>
          <w:p w:rsidR="00DD760D" w:rsidRPr="00221AAF" w:rsidRDefault="00221AAF" w:rsidP="00221AAF">
            <w:pPr>
              <w:pStyle w:val="Compact"/>
            </w:pPr>
            <w:r w:rsidRPr="00221AAF">
              <w:t>0.37(0.54)</w:t>
            </w:r>
          </w:p>
        </w:tc>
        <w:tc>
          <w:tcPr>
            <w:tcW w:w="0" w:type="auto"/>
          </w:tcPr>
          <w:p w:rsidR="00DD760D" w:rsidRPr="00221AAF" w:rsidRDefault="00221AAF" w:rsidP="00221AAF">
            <w:pPr>
              <w:pStyle w:val="Compact"/>
            </w:pPr>
            <w:r w:rsidRPr="00221AAF">
              <w:t>S</w:t>
            </w:r>
          </w:p>
        </w:tc>
        <w:tc>
          <w:tcPr>
            <w:tcW w:w="0" w:type="auto"/>
          </w:tcPr>
          <w:p w:rsidR="00DD760D" w:rsidRPr="00221AAF" w:rsidRDefault="00221AAF" w:rsidP="00221AAF">
            <w:pPr>
              <w:pStyle w:val="Compact"/>
            </w:pPr>
            <w:r w:rsidRPr="00221AAF">
              <w:t>U</w:t>
            </w:r>
          </w:p>
        </w:tc>
        <w:tc>
          <w:tcPr>
            <w:tcW w:w="0" w:type="auto"/>
          </w:tcPr>
          <w:p w:rsidR="00DD760D" w:rsidRPr="00221AAF" w:rsidRDefault="00221AAF" w:rsidP="00221AAF">
            <w:pPr>
              <w:pStyle w:val="Compact"/>
            </w:pPr>
            <w:r w:rsidRPr="00221AAF">
              <w:t>-0.0007</w:t>
            </w:r>
          </w:p>
        </w:tc>
      </w:tr>
      <w:tr w:rsidR="00DD760D" w:rsidRPr="00221AAF" w:rsidTr="00221AAF">
        <w:trPr>
          <w:jc w:val="center"/>
        </w:trPr>
        <w:tc>
          <w:tcPr>
            <w:tcW w:w="0" w:type="auto"/>
          </w:tcPr>
          <w:p w:rsidR="00DD760D" w:rsidRPr="00221AAF" w:rsidRDefault="00221AAF" w:rsidP="00221AAF">
            <w:pPr>
              <w:pStyle w:val="Compact"/>
            </w:pPr>
            <w:r w:rsidRPr="00221AAF">
              <w:t>Benin ARDL</w:t>
            </w:r>
          </w:p>
        </w:tc>
        <w:tc>
          <w:tcPr>
            <w:tcW w:w="0" w:type="auto"/>
          </w:tcPr>
          <w:p w:rsidR="00DD760D" w:rsidRPr="00221AAF" w:rsidRDefault="00221AAF" w:rsidP="00221AAF">
            <w:pPr>
              <w:pStyle w:val="Compact"/>
            </w:pPr>
            <w:r w:rsidRPr="00221AAF">
              <w:t>0.07(0.97)</w:t>
            </w:r>
          </w:p>
        </w:tc>
        <w:tc>
          <w:tcPr>
            <w:tcW w:w="0" w:type="auto"/>
          </w:tcPr>
          <w:p w:rsidR="00DD760D" w:rsidRPr="00221AAF" w:rsidRDefault="00221AAF" w:rsidP="00221AAF">
            <w:pPr>
              <w:pStyle w:val="Compact"/>
            </w:pPr>
            <w:r w:rsidRPr="00221AAF">
              <w:t>2.75(0.97)</w:t>
            </w:r>
          </w:p>
        </w:tc>
        <w:tc>
          <w:tcPr>
            <w:tcW w:w="0" w:type="auto"/>
          </w:tcPr>
          <w:p w:rsidR="00DD760D" w:rsidRPr="00221AAF" w:rsidRDefault="00221AAF" w:rsidP="00221AAF">
            <w:pPr>
              <w:pStyle w:val="Compact"/>
            </w:pPr>
            <w:r w:rsidRPr="00221AAF">
              <w:t>0.02(0.89)</w:t>
            </w:r>
          </w:p>
        </w:tc>
        <w:tc>
          <w:tcPr>
            <w:tcW w:w="0" w:type="auto"/>
          </w:tcPr>
          <w:p w:rsidR="00DD760D" w:rsidRPr="00221AAF" w:rsidRDefault="00221AAF" w:rsidP="00221AAF">
            <w:pPr>
              <w:pStyle w:val="Compact"/>
            </w:pPr>
            <w:r w:rsidRPr="00221AAF">
              <w:t>S</w:t>
            </w:r>
          </w:p>
        </w:tc>
        <w:tc>
          <w:tcPr>
            <w:tcW w:w="0" w:type="auto"/>
          </w:tcPr>
          <w:p w:rsidR="00DD760D" w:rsidRPr="00221AAF" w:rsidRDefault="00221AAF" w:rsidP="00221AAF">
            <w:pPr>
              <w:pStyle w:val="Compact"/>
            </w:pPr>
            <w:r w:rsidRPr="00221AAF">
              <w:t>S</w:t>
            </w:r>
          </w:p>
        </w:tc>
        <w:tc>
          <w:tcPr>
            <w:tcW w:w="0" w:type="auto"/>
          </w:tcPr>
          <w:p w:rsidR="00DD760D" w:rsidRPr="00221AAF" w:rsidRDefault="00221AAF" w:rsidP="00221AAF">
            <w:pPr>
              <w:pStyle w:val="Compact"/>
            </w:pPr>
            <w:r w:rsidRPr="00221AAF">
              <w:t>-0.1703</w:t>
            </w:r>
          </w:p>
        </w:tc>
      </w:tr>
      <w:tr w:rsidR="00DD760D" w:rsidRPr="00221AAF" w:rsidTr="00221AAF">
        <w:trPr>
          <w:jc w:val="center"/>
        </w:trPr>
        <w:tc>
          <w:tcPr>
            <w:tcW w:w="0" w:type="auto"/>
          </w:tcPr>
          <w:p w:rsidR="00DD760D" w:rsidRPr="00221AAF" w:rsidRDefault="00221AAF" w:rsidP="00221AAF">
            <w:pPr>
              <w:pStyle w:val="Compact"/>
            </w:pPr>
            <w:r w:rsidRPr="00221AAF">
              <w:t>Benin NARDL</w:t>
            </w:r>
          </w:p>
        </w:tc>
        <w:tc>
          <w:tcPr>
            <w:tcW w:w="0" w:type="auto"/>
          </w:tcPr>
          <w:p w:rsidR="00DD760D" w:rsidRPr="00221AAF" w:rsidRDefault="00221AAF" w:rsidP="00221AAF">
            <w:pPr>
              <w:pStyle w:val="Compact"/>
            </w:pPr>
            <w:r w:rsidRPr="00221AAF">
              <w:t>3.00(0.56)</w:t>
            </w:r>
          </w:p>
        </w:tc>
        <w:tc>
          <w:tcPr>
            <w:tcW w:w="0" w:type="auto"/>
          </w:tcPr>
          <w:p w:rsidR="00DD760D" w:rsidRPr="00221AAF" w:rsidRDefault="00221AAF" w:rsidP="00221AAF">
            <w:pPr>
              <w:pStyle w:val="Compact"/>
            </w:pPr>
            <w:r w:rsidRPr="00221AAF">
              <w:t>91.28(0.11)</w:t>
            </w:r>
          </w:p>
        </w:tc>
        <w:tc>
          <w:tcPr>
            <w:tcW w:w="0" w:type="auto"/>
          </w:tcPr>
          <w:p w:rsidR="00DD760D" w:rsidRPr="00221AAF" w:rsidRDefault="00221AAF" w:rsidP="00221AAF">
            <w:pPr>
              <w:pStyle w:val="Compact"/>
            </w:pPr>
            <w:r w:rsidRPr="00221AAF">
              <w:t>0.02(0.88)</w:t>
            </w:r>
          </w:p>
        </w:tc>
        <w:tc>
          <w:tcPr>
            <w:tcW w:w="0" w:type="auto"/>
          </w:tcPr>
          <w:p w:rsidR="00DD760D" w:rsidRPr="00221AAF" w:rsidRDefault="00221AAF" w:rsidP="00221AAF">
            <w:pPr>
              <w:pStyle w:val="Compact"/>
            </w:pPr>
            <w:r w:rsidRPr="00221AAF">
              <w:t>S</w:t>
            </w:r>
          </w:p>
        </w:tc>
        <w:tc>
          <w:tcPr>
            <w:tcW w:w="0" w:type="auto"/>
          </w:tcPr>
          <w:p w:rsidR="00DD760D" w:rsidRPr="00221AAF" w:rsidRDefault="00221AAF" w:rsidP="00221AAF">
            <w:pPr>
              <w:pStyle w:val="Compact"/>
            </w:pPr>
            <w:r w:rsidRPr="00221AAF">
              <w:t>S</w:t>
            </w:r>
          </w:p>
        </w:tc>
        <w:tc>
          <w:tcPr>
            <w:tcW w:w="0" w:type="auto"/>
          </w:tcPr>
          <w:p w:rsidR="00DD760D" w:rsidRPr="00221AAF" w:rsidRDefault="00221AAF" w:rsidP="00221AAF">
            <w:pPr>
              <w:pStyle w:val="Compact"/>
            </w:pPr>
            <w:r w:rsidRPr="00221AAF">
              <w:t>-0.2425</w:t>
            </w:r>
          </w:p>
        </w:tc>
      </w:tr>
      <w:tr w:rsidR="00DD760D" w:rsidRPr="00221AAF" w:rsidTr="00221AAF">
        <w:trPr>
          <w:jc w:val="center"/>
        </w:trPr>
        <w:tc>
          <w:tcPr>
            <w:tcW w:w="0" w:type="auto"/>
          </w:tcPr>
          <w:p w:rsidR="00DD760D" w:rsidRPr="00221AAF" w:rsidRDefault="00221AAF" w:rsidP="00221AAF">
            <w:pPr>
              <w:pStyle w:val="Compact"/>
            </w:pPr>
            <w:r w:rsidRPr="00221AAF">
              <w:t>Mali ARDL</w:t>
            </w:r>
          </w:p>
        </w:tc>
        <w:tc>
          <w:tcPr>
            <w:tcW w:w="0" w:type="auto"/>
          </w:tcPr>
          <w:p w:rsidR="00DD760D" w:rsidRPr="00221AAF" w:rsidRDefault="00221AAF" w:rsidP="00221AAF">
            <w:pPr>
              <w:pStyle w:val="Compact"/>
            </w:pPr>
            <w:r w:rsidRPr="00221AAF">
              <w:t>1.39(0.50)</w:t>
            </w:r>
          </w:p>
        </w:tc>
        <w:tc>
          <w:tcPr>
            <w:tcW w:w="0" w:type="auto"/>
          </w:tcPr>
          <w:p w:rsidR="00DD760D" w:rsidRPr="00221AAF" w:rsidRDefault="00221AAF" w:rsidP="00221AAF">
            <w:pPr>
              <w:pStyle w:val="Compact"/>
            </w:pPr>
            <w:r w:rsidRPr="00221AAF">
              <w:t>20.07(0.02)</w:t>
            </w:r>
          </w:p>
        </w:tc>
        <w:tc>
          <w:tcPr>
            <w:tcW w:w="0" w:type="auto"/>
          </w:tcPr>
          <w:p w:rsidR="00DD760D" w:rsidRPr="00221AAF" w:rsidRDefault="00221AAF" w:rsidP="00221AAF">
            <w:pPr>
              <w:pStyle w:val="Compact"/>
            </w:pPr>
            <w:r w:rsidRPr="00221AAF">
              <w:t>7.43(0.01)</w:t>
            </w:r>
          </w:p>
        </w:tc>
        <w:tc>
          <w:tcPr>
            <w:tcW w:w="0" w:type="auto"/>
          </w:tcPr>
          <w:p w:rsidR="00DD760D" w:rsidRPr="00221AAF" w:rsidRDefault="00221AAF" w:rsidP="00221AAF">
            <w:pPr>
              <w:pStyle w:val="Compact"/>
            </w:pPr>
            <w:r w:rsidRPr="00221AAF">
              <w:t>U</w:t>
            </w:r>
          </w:p>
        </w:tc>
        <w:tc>
          <w:tcPr>
            <w:tcW w:w="0" w:type="auto"/>
          </w:tcPr>
          <w:p w:rsidR="00DD760D" w:rsidRPr="00221AAF" w:rsidRDefault="00221AAF" w:rsidP="00221AAF">
            <w:pPr>
              <w:pStyle w:val="Compact"/>
            </w:pPr>
            <w:r w:rsidRPr="00221AAF">
              <w:t>S</w:t>
            </w:r>
          </w:p>
        </w:tc>
        <w:tc>
          <w:tcPr>
            <w:tcW w:w="0" w:type="auto"/>
          </w:tcPr>
          <w:p w:rsidR="00DD760D" w:rsidRPr="00221AAF" w:rsidRDefault="00221AAF" w:rsidP="00221AAF">
            <w:pPr>
              <w:pStyle w:val="Compact"/>
            </w:pPr>
            <w:r w:rsidRPr="00221AAF">
              <w:t>0.5921</w:t>
            </w:r>
          </w:p>
        </w:tc>
      </w:tr>
      <w:tr w:rsidR="00DD760D" w:rsidRPr="00221AAF" w:rsidTr="00221AAF">
        <w:trPr>
          <w:jc w:val="center"/>
        </w:trPr>
        <w:tc>
          <w:tcPr>
            <w:tcW w:w="0" w:type="auto"/>
          </w:tcPr>
          <w:p w:rsidR="00DD760D" w:rsidRPr="00221AAF" w:rsidRDefault="00221AAF" w:rsidP="00221AAF">
            <w:pPr>
              <w:pStyle w:val="Compact"/>
            </w:pPr>
            <w:r w:rsidRPr="00221AAF">
              <w:t>Mali NARDL</w:t>
            </w:r>
          </w:p>
        </w:tc>
        <w:tc>
          <w:tcPr>
            <w:tcW w:w="0" w:type="auto"/>
          </w:tcPr>
          <w:p w:rsidR="00DD760D" w:rsidRPr="00221AAF" w:rsidRDefault="00221AAF" w:rsidP="00221AAF">
            <w:pPr>
              <w:pStyle w:val="Compact"/>
            </w:pPr>
            <w:r w:rsidRPr="00221AAF">
              <w:t>11.29(0.02)</w:t>
            </w:r>
          </w:p>
        </w:tc>
        <w:tc>
          <w:tcPr>
            <w:tcW w:w="0" w:type="auto"/>
          </w:tcPr>
          <w:p w:rsidR="00DD760D" w:rsidRPr="00221AAF" w:rsidRDefault="00221AAF" w:rsidP="00221AAF">
            <w:pPr>
              <w:pStyle w:val="Compact"/>
            </w:pPr>
            <w:r w:rsidRPr="00221AAF">
              <w:t>153.27(0.00)</w:t>
            </w:r>
          </w:p>
        </w:tc>
        <w:tc>
          <w:tcPr>
            <w:tcW w:w="0" w:type="auto"/>
          </w:tcPr>
          <w:p w:rsidR="00DD760D" w:rsidRPr="00221AAF" w:rsidRDefault="00221AAF" w:rsidP="00221AAF">
            <w:pPr>
              <w:pStyle w:val="Compact"/>
            </w:pPr>
            <w:r w:rsidRPr="00221AAF">
              <w:t>18.81(0.00)</w:t>
            </w:r>
          </w:p>
        </w:tc>
        <w:tc>
          <w:tcPr>
            <w:tcW w:w="0" w:type="auto"/>
          </w:tcPr>
          <w:p w:rsidR="00DD760D" w:rsidRPr="00221AAF" w:rsidRDefault="00221AAF" w:rsidP="00221AAF">
            <w:pPr>
              <w:pStyle w:val="Compact"/>
            </w:pPr>
            <w:r w:rsidRPr="00221AAF">
              <w:t>S</w:t>
            </w:r>
          </w:p>
        </w:tc>
        <w:tc>
          <w:tcPr>
            <w:tcW w:w="0" w:type="auto"/>
          </w:tcPr>
          <w:p w:rsidR="00DD760D" w:rsidRPr="00221AAF" w:rsidRDefault="00221AAF" w:rsidP="00221AAF">
            <w:pPr>
              <w:pStyle w:val="Compact"/>
            </w:pPr>
            <w:r w:rsidRPr="00221AAF">
              <w:t>S</w:t>
            </w:r>
          </w:p>
        </w:tc>
        <w:tc>
          <w:tcPr>
            <w:tcW w:w="0" w:type="auto"/>
          </w:tcPr>
          <w:p w:rsidR="00DD760D" w:rsidRPr="00221AAF" w:rsidRDefault="00221AAF" w:rsidP="00221AAF">
            <w:pPr>
              <w:pStyle w:val="Compact"/>
            </w:pPr>
            <w:r w:rsidRPr="00221AAF">
              <w:t>0.4583</w:t>
            </w:r>
          </w:p>
        </w:tc>
      </w:tr>
      <w:tr w:rsidR="00DD760D" w:rsidRPr="00221AAF" w:rsidTr="00221AAF">
        <w:tblPrEx>
          <w:tblLook w:val="07C0" w:firstRow="0" w:lastRow="1" w:firstColumn="1" w:lastColumn="1" w:noHBand="1" w:noVBand="1"/>
        </w:tblPrEx>
        <w:trPr>
          <w:jc w:val="center"/>
        </w:trPr>
        <w:tc>
          <w:tcPr>
            <w:tcW w:w="0" w:type="auto"/>
            <w:gridSpan w:val="7"/>
          </w:tcPr>
          <w:p w:rsidR="00DD760D" w:rsidRPr="00221AAF" w:rsidRDefault="00221AAF" w:rsidP="00221AAF">
            <w:pPr>
              <w:pStyle w:val="Compact"/>
            </w:pPr>
            <w:r w:rsidRPr="00221AAF">
              <w:t>SC, H, ARCH, CQ, CS and SIC stand for Serial Correlation (LM), Heteroscedasticity (BPG), Normality, Arch, CUSUM, CUSUM of Squares test, and Schwarz Information Criterion respectively. S stands for “stable” and U for “unstable”. Probabilities are given in parenthesis.</w:t>
            </w:r>
          </w:p>
        </w:tc>
      </w:tr>
    </w:tbl>
    <w:p w:rsidR="00DD760D" w:rsidRDefault="00221AAF">
      <w:pPr>
        <w:pStyle w:val="Heading2"/>
      </w:pPr>
      <w:bookmarkStart w:id="12" w:name="estimation-results-and-discussion"/>
      <w:r>
        <w:t>Estimation results and discussion</w:t>
      </w:r>
      <w:bookmarkEnd w:id="12"/>
    </w:p>
    <w:p w:rsidR="00DD760D" w:rsidRDefault="00221AAF">
      <w:pPr>
        <w:pStyle w:val="FirstParagraph"/>
      </w:pPr>
      <w:r>
        <w:t>As mentioned earlier, the dependent variables are the real exports (and real imports), while the independent variables are the Eurozone income (for export equation only), domestic income (for import equation only), real exchange rate and volatility. For the NARDL model, the maximum lag order is determined by the number of lags that whiten the error term in the unrestricted Vector Autoregressive (VAR) model</w:t>
      </w:r>
      <w:r>
        <w:rPr>
          <w:rStyle w:val="FootnoteReference"/>
        </w:rPr>
        <w:footnoteReference w:id="11"/>
      </w:r>
      <w:r>
        <w:t>. The order of the NARDL is determined automatically by Akaike Information Criteria (AIC). Then general-to-specific method is used to drop all the insignificant stationary regressors similar to Katrakilidis &amp; Trachanas (</w:t>
      </w:r>
      <w:hyperlink w:anchor="ref-katrakilidis2012drives">
        <w:r>
          <w:rPr>
            <w:rStyle w:val="Hyperlink"/>
          </w:rPr>
          <w:t>2012</w:t>
        </w:r>
      </w:hyperlink>
      <w:r>
        <w:t>) and Cheah et al. (</w:t>
      </w:r>
      <w:hyperlink w:anchor="ref-cheah2017nonlinear">
        <w:r>
          <w:rPr>
            <w:rStyle w:val="Hyperlink"/>
          </w:rPr>
          <w:t>2017</w:t>
        </w:r>
      </w:hyperlink>
      <w:r>
        <w:t>).</w:t>
      </w:r>
    </w:p>
    <w:p w:rsidR="00DD760D" w:rsidRDefault="00221AAF">
      <w:pPr>
        <w:pStyle w:val="BodyText"/>
      </w:pPr>
      <w:r>
        <w:lastRenderedPageBreak/>
        <w:t xml:space="preserve">Table 5 reports the long run estimates of the export equation. Burkina Faso does not have significant long run coefficients. The reason for this might be the fact that Burkina Faso has low volume of export to the Eurozone (total volume over the whole sample is 18.11 billion units, and its maximum amount of export volume is 895.57 million units). Additionally, long run asymmetry of export-volatility relationship is confirmed for all the ECOWAS countries except for Burkina Faso, Cote D’Ivoire and Niger, as indicated by the values of </w:t>
      </w:r>
      <m:oMath>
        <m:sSubSup>
          <m:sSubSupPr>
            <m:ctrlPr>
              <w:rPr>
                <w:rFonts w:ascii="Cambria Math" w:hAnsi="Cambria Math"/>
              </w:rPr>
            </m:ctrlPr>
          </m:sSubSupPr>
          <m:e>
            <m:r>
              <w:rPr>
                <w:rFonts w:ascii="Cambria Math" w:hAnsi="Cambria Math"/>
              </w:rPr>
              <m:t>χ</m:t>
            </m:r>
          </m:e>
          <m:sub>
            <m:r>
              <w:rPr>
                <w:rFonts w:ascii="Cambria Math" w:hAnsi="Cambria Math"/>
              </w:rPr>
              <m:t>LR</m:t>
            </m:r>
          </m:sub>
          <m:sup>
            <m:r>
              <w:rPr>
                <w:rFonts w:ascii="Cambria Math" w:hAnsi="Cambria Math"/>
              </w:rPr>
              <m:t>2</m:t>
            </m:r>
          </m:sup>
        </m:sSubSup>
      </m:oMath>
      <w:r>
        <w:t xml:space="preserve">. The lack of long run cointegration could be due to the heavy reliance of these countries on seasonal agricultural products for exports. On the other hand, Table 6 provides the long-run estimates of the import equation. The values of </w:t>
      </w:r>
      <m:oMath>
        <m:sSubSup>
          <m:sSubSupPr>
            <m:ctrlPr>
              <w:rPr>
                <w:rFonts w:ascii="Cambria Math" w:hAnsi="Cambria Math"/>
              </w:rPr>
            </m:ctrlPr>
          </m:sSubSupPr>
          <m:e>
            <m:r>
              <w:rPr>
                <w:rFonts w:ascii="Cambria Math" w:hAnsi="Cambria Math"/>
              </w:rPr>
              <m:t>χ</m:t>
            </m:r>
          </m:e>
          <m:sub>
            <m:r>
              <w:rPr>
                <w:rFonts w:ascii="Cambria Math" w:hAnsi="Cambria Math"/>
              </w:rPr>
              <m:t>LR</m:t>
            </m:r>
          </m:sub>
          <m:sup>
            <m:r>
              <w:rPr>
                <w:rFonts w:ascii="Cambria Math" w:hAnsi="Cambria Math"/>
              </w:rPr>
              <m:t>2</m:t>
            </m:r>
          </m:sup>
        </m:sSubSup>
      </m:oMath>
      <w:r>
        <w:t xml:space="preserve"> indicate that long run asymmetry of import-volatility relationship is confirmed for all the ECOWAS countries except for Niger and Burkina Faso. Therefore long run asymmetry cannot be confirmed for Burkina Faso in both the export and import equations. Again, this might be due to the low volume of their imports from the Eurozone.</w:t>
      </w:r>
    </w:p>
    <w:p w:rsidR="00DD760D" w:rsidRDefault="00221AAF">
      <w:pPr>
        <w:pStyle w:val="TableCaption"/>
      </w:pPr>
      <w:r>
        <w:t>Table 5: Long-run estimates of the export: NARDL</w:t>
      </w:r>
    </w:p>
    <w:tbl>
      <w:tblPr>
        <w:tblStyle w:val="Table"/>
        <w:tblW w:w="0" w:type="pct"/>
        <w:jc w:val="center"/>
        <w:tblLook w:val="07E0" w:firstRow="1" w:lastRow="1" w:firstColumn="1" w:lastColumn="1" w:noHBand="1" w:noVBand="1"/>
        <w:tblCaption w:val="Table 5: Long-run estimates of the export: NARDL"/>
      </w:tblPr>
      <w:tblGrid>
        <w:gridCol w:w="1127"/>
        <w:gridCol w:w="1556"/>
        <w:gridCol w:w="1295"/>
        <w:gridCol w:w="1396"/>
        <w:gridCol w:w="1295"/>
        <w:gridCol w:w="1295"/>
        <w:gridCol w:w="1396"/>
      </w:tblGrid>
      <w:tr w:rsidR="00DD760D" w:rsidRPr="00221AAF" w:rsidTr="00221AAF">
        <w:trPr>
          <w:jc w:val="center"/>
        </w:trPr>
        <w:tc>
          <w:tcPr>
            <w:tcW w:w="0" w:type="auto"/>
            <w:tcBorders>
              <w:bottom w:val="single" w:sz="0" w:space="0" w:color="auto"/>
            </w:tcBorders>
            <w:vAlign w:val="bottom"/>
          </w:tcPr>
          <w:p w:rsidR="00DD760D" w:rsidRPr="00221AAF" w:rsidRDefault="00DD760D" w:rsidP="00221AAF">
            <w:pPr>
              <w:jc w:val="both"/>
              <w:rPr>
                <w:b/>
                <w:sz w:val="20"/>
              </w:rPr>
            </w:pPr>
          </w:p>
        </w:tc>
        <w:tc>
          <w:tcPr>
            <w:tcW w:w="0" w:type="auto"/>
            <w:tcBorders>
              <w:bottom w:val="single" w:sz="0" w:space="0" w:color="auto"/>
            </w:tcBorders>
            <w:vAlign w:val="bottom"/>
          </w:tcPr>
          <w:p w:rsidR="00DD760D" w:rsidRPr="00221AAF" w:rsidRDefault="00221AAF" w:rsidP="00221AAF">
            <w:pPr>
              <w:pStyle w:val="Compact"/>
              <w:rPr>
                <w:b/>
              </w:rPr>
            </w:pPr>
            <w:r w:rsidRPr="00221AAF">
              <w:rPr>
                <w:b/>
              </w:rPr>
              <w:t>Intercept</w:t>
            </w:r>
          </w:p>
        </w:tc>
        <w:tc>
          <w:tcPr>
            <w:tcW w:w="0" w:type="auto"/>
            <w:tcBorders>
              <w:bottom w:val="single" w:sz="0" w:space="0" w:color="auto"/>
            </w:tcBorders>
            <w:vAlign w:val="bottom"/>
          </w:tcPr>
          <w:p w:rsidR="00DD760D" w:rsidRPr="00221AAF" w:rsidRDefault="00221AAF" w:rsidP="00221AAF">
            <w:pPr>
              <w:pStyle w:val="Compact"/>
              <w:rPr>
                <w:b/>
              </w:rPr>
            </w:pPr>
            <m:oMathPara>
              <m:oMath>
                <m:r>
                  <m:rPr>
                    <m:sty m:val="bi"/>
                  </m:rPr>
                  <w:rPr>
                    <w:rFonts w:ascii="Cambria Math" w:hAnsi="Cambria Math"/>
                  </w:rPr>
                  <m:t>ln</m:t>
                </m:r>
                <m:sSubSup>
                  <m:sSubSupPr>
                    <m:ctrlPr>
                      <w:rPr>
                        <w:rFonts w:ascii="Cambria Math" w:hAnsi="Cambria Math"/>
                        <w:b/>
                      </w:rPr>
                    </m:ctrlPr>
                  </m:sSubSupPr>
                  <m:e>
                    <m:r>
                      <m:rPr>
                        <m:sty m:val="bi"/>
                      </m:rPr>
                      <w:rPr>
                        <w:rFonts w:ascii="Cambria Math" w:hAnsi="Cambria Math"/>
                      </w:rPr>
                      <m:t>Y</m:t>
                    </m:r>
                  </m:e>
                  <m:sub>
                    <m:r>
                      <m:rPr>
                        <m:sty m:val="bi"/>
                      </m:rPr>
                      <w:rPr>
                        <w:rFonts w:ascii="Cambria Math" w:hAnsi="Cambria Math"/>
                      </w:rPr>
                      <m:t>t</m:t>
                    </m:r>
                  </m:sub>
                  <m:sup>
                    <m:r>
                      <m:rPr>
                        <m:sty m:val="bi"/>
                      </m:rPr>
                      <w:rPr>
                        <w:rFonts w:ascii="Cambria Math" w:hAnsi="Cambria Math"/>
                      </w:rPr>
                      <m:t>eu</m:t>
                    </m:r>
                  </m:sup>
                </m:sSubSup>
              </m:oMath>
            </m:oMathPara>
          </w:p>
        </w:tc>
        <w:tc>
          <w:tcPr>
            <w:tcW w:w="0" w:type="auto"/>
            <w:tcBorders>
              <w:bottom w:val="single" w:sz="0" w:space="0" w:color="auto"/>
            </w:tcBorders>
            <w:vAlign w:val="bottom"/>
          </w:tcPr>
          <w:p w:rsidR="00DD760D" w:rsidRPr="00221AAF" w:rsidRDefault="00221AAF" w:rsidP="00221AAF">
            <w:pPr>
              <w:pStyle w:val="Compact"/>
              <w:rPr>
                <w:b/>
              </w:rPr>
            </w:pPr>
            <m:oMathPara>
              <m:oMath>
                <m:r>
                  <m:rPr>
                    <m:sty m:val="bi"/>
                  </m:rPr>
                  <w:rPr>
                    <w:rFonts w:ascii="Cambria Math" w:hAnsi="Cambria Math"/>
                  </w:rPr>
                  <m:t>ln</m:t>
                </m:r>
                <m:sSub>
                  <m:sSubPr>
                    <m:ctrlPr>
                      <w:rPr>
                        <w:rFonts w:ascii="Cambria Math" w:hAnsi="Cambria Math"/>
                        <w:b/>
                      </w:rPr>
                    </m:ctrlPr>
                  </m:sSubPr>
                  <m:e>
                    <m:r>
                      <m:rPr>
                        <m:sty m:val="bi"/>
                      </m:rPr>
                      <w:rPr>
                        <w:rFonts w:ascii="Cambria Math" w:hAnsi="Cambria Math"/>
                      </w:rPr>
                      <m:t>R</m:t>
                    </m:r>
                  </m:e>
                  <m:sub>
                    <m:r>
                      <m:rPr>
                        <m:sty m:val="bi"/>
                      </m:rPr>
                      <w:rPr>
                        <w:rFonts w:ascii="Cambria Math" w:hAnsi="Cambria Math"/>
                      </w:rPr>
                      <m:t>t</m:t>
                    </m:r>
                  </m:sub>
                </m:sSub>
              </m:oMath>
            </m:oMathPara>
          </w:p>
        </w:tc>
        <w:tc>
          <w:tcPr>
            <w:tcW w:w="0" w:type="auto"/>
            <w:tcBorders>
              <w:bottom w:val="single" w:sz="0" w:space="0" w:color="auto"/>
            </w:tcBorders>
            <w:vAlign w:val="bottom"/>
          </w:tcPr>
          <w:p w:rsidR="00DD760D" w:rsidRPr="00221AAF" w:rsidRDefault="00221AAF" w:rsidP="00221AAF">
            <w:pPr>
              <w:pStyle w:val="Compact"/>
              <w:rPr>
                <w:b/>
              </w:rPr>
            </w:pPr>
            <m:oMathPara>
              <m:oMath>
                <m:r>
                  <m:rPr>
                    <m:sty m:val="bi"/>
                  </m:rPr>
                  <w:rPr>
                    <w:rFonts w:ascii="Cambria Math" w:hAnsi="Cambria Math"/>
                  </w:rPr>
                  <m:t>ln</m:t>
                </m:r>
                <m:sSubSup>
                  <m:sSubSupPr>
                    <m:ctrlPr>
                      <w:rPr>
                        <w:rFonts w:ascii="Cambria Math" w:hAnsi="Cambria Math"/>
                        <w:b/>
                      </w:rPr>
                    </m:ctrlPr>
                  </m:sSubSupPr>
                  <m:e>
                    <m:r>
                      <m:rPr>
                        <m:sty m:val="bi"/>
                      </m:rPr>
                      <w:rPr>
                        <w:rFonts w:ascii="Cambria Math" w:hAnsi="Cambria Math"/>
                      </w:rPr>
                      <m:t>V</m:t>
                    </m:r>
                  </m:e>
                  <m:sub>
                    <m:r>
                      <m:rPr>
                        <m:sty m:val="bi"/>
                      </m:rPr>
                      <w:rPr>
                        <w:rFonts w:ascii="Cambria Math" w:hAnsi="Cambria Math"/>
                      </w:rPr>
                      <m:t>t</m:t>
                    </m:r>
                  </m:sub>
                  <m:sup>
                    <m:r>
                      <m:rPr>
                        <m:sty m:val="bi"/>
                      </m:rPr>
                      <w:rPr>
                        <w:rFonts w:ascii="Cambria Math" w:hAnsi="Cambria Math"/>
                      </w:rPr>
                      <m:t>+</m:t>
                    </m:r>
                  </m:sup>
                </m:sSubSup>
              </m:oMath>
            </m:oMathPara>
          </w:p>
        </w:tc>
        <w:tc>
          <w:tcPr>
            <w:tcW w:w="0" w:type="auto"/>
            <w:tcBorders>
              <w:bottom w:val="single" w:sz="0" w:space="0" w:color="auto"/>
            </w:tcBorders>
            <w:vAlign w:val="bottom"/>
          </w:tcPr>
          <w:p w:rsidR="00DD760D" w:rsidRPr="00221AAF" w:rsidRDefault="00221AAF" w:rsidP="00221AAF">
            <w:pPr>
              <w:pStyle w:val="Compact"/>
              <w:rPr>
                <w:b/>
              </w:rPr>
            </w:pPr>
            <m:oMathPara>
              <m:oMath>
                <m:r>
                  <m:rPr>
                    <m:sty m:val="bi"/>
                  </m:rPr>
                  <w:rPr>
                    <w:rFonts w:ascii="Cambria Math" w:hAnsi="Cambria Math"/>
                  </w:rPr>
                  <m:t>ln</m:t>
                </m:r>
                <m:sSubSup>
                  <m:sSubSupPr>
                    <m:ctrlPr>
                      <w:rPr>
                        <w:rFonts w:ascii="Cambria Math" w:hAnsi="Cambria Math"/>
                        <w:b/>
                      </w:rPr>
                    </m:ctrlPr>
                  </m:sSubSupPr>
                  <m:e>
                    <m:r>
                      <m:rPr>
                        <m:sty m:val="bi"/>
                      </m:rPr>
                      <w:rPr>
                        <w:rFonts w:ascii="Cambria Math" w:hAnsi="Cambria Math"/>
                      </w:rPr>
                      <m:t>V</m:t>
                    </m:r>
                  </m:e>
                  <m:sub>
                    <m:r>
                      <m:rPr>
                        <m:sty m:val="bi"/>
                      </m:rPr>
                      <w:rPr>
                        <w:rFonts w:ascii="Cambria Math" w:hAnsi="Cambria Math"/>
                      </w:rPr>
                      <m:t>t</m:t>
                    </m:r>
                  </m:sub>
                  <m:sup>
                    <m:r>
                      <m:rPr>
                        <m:sty m:val="bi"/>
                      </m:rPr>
                      <w:rPr>
                        <w:rFonts w:ascii="Cambria Math" w:hAnsi="Cambria Math"/>
                      </w:rPr>
                      <m:t>-</m:t>
                    </m:r>
                  </m:sup>
                </m:sSubSup>
              </m:oMath>
            </m:oMathPara>
          </w:p>
        </w:tc>
        <w:tc>
          <w:tcPr>
            <w:tcW w:w="0" w:type="auto"/>
            <w:tcBorders>
              <w:bottom w:val="single" w:sz="0" w:space="0" w:color="auto"/>
            </w:tcBorders>
            <w:vAlign w:val="bottom"/>
          </w:tcPr>
          <w:p w:rsidR="00DD760D" w:rsidRPr="00221AAF" w:rsidRDefault="00221AAF" w:rsidP="00221AAF">
            <w:pPr>
              <w:pStyle w:val="Compact"/>
              <w:rPr>
                <w:b/>
              </w:rPr>
            </w:pPr>
            <m:oMathPara>
              <m:oMath>
                <m:sSubSup>
                  <m:sSubSupPr>
                    <m:ctrlPr>
                      <w:rPr>
                        <w:rFonts w:ascii="Cambria Math" w:hAnsi="Cambria Math"/>
                        <w:b/>
                      </w:rPr>
                    </m:ctrlPr>
                  </m:sSubSupPr>
                  <m:e>
                    <m:r>
                      <m:rPr>
                        <m:sty m:val="bi"/>
                      </m:rPr>
                      <w:rPr>
                        <w:rFonts w:ascii="Cambria Math" w:hAnsi="Cambria Math"/>
                      </w:rPr>
                      <m:t>χ</m:t>
                    </m:r>
                  </m:e>
                  <m:sub>
                    <m:r>
                      <m:rPr>
                        <m:sty m:val="bi"/>
                      </m:rPr>
                      <w:rPr>
                        <w:rFonts w:ascii="Cambria Math" w:hAnsi="Cambria Math"/>
                      </w:rPr>
                      <m:t>LR</m:t>
                    </m:r>
                  </m:sub>
                  <m:sup>
                    <m:r>
                      <m:rPr>
                        <m:sty m:val="bi"/>
                      </m:rPr>
                      <w:rPr>
                        <w:rFonts w:ascii="Cambria Math" w:hAnsi="Cambria Math"/>
                      </w:rPr>
                      <m:t>2</m:t>
                    </m:r>
                  </m:sup>
                </m:sSubSup>
              </m:oMath>
            </m:oMathPara>
          </w:p>
        </w:tc>
      </w:tr>
      <w:tr w:rsidR="00DD760D" w:rsidRPr="00221AAF" w:rsidTr="00221AAF">
        <w:trPr>
          <w:jc w:val="center"/>
        </w:trPr>
        <w:tc>
          <w:tcPr>
            <w:tcW w:w="0" w:type="auto"/>
          </w:tcPr>
          <w:p w:rsidR="00DD760D" w:rsidRPr="00221AAF" w:rsidRDefault="00221AAF" w:rsidP="00221AAF">
            <w:pPr>
              <w:pStyle w:val="Compact"/>
            </w:pPr>
            <w:r w:rsidRPr="00221AAF">
              <w:t>Benin</w:t>
            </w:r>
          </w:p>
        </w:tc>
        <w:tc>
          <w:tcPr>
            <w:tcW w:w="0" w:type="auto"/>
          </w:tcPr>
          <w:p w:rsidR="00DD760D" w:rsidRPr="00221AAF" w:rsidRDefault="00221AAF" w:rsidP="00221AAF">
            <w:pPr>
              <w:pStyle w:val="Compact"/>
            </w:pPr>
            <w:r w:rsidRPr="00221AAF">
              <w:t>39.019</w:t>
            </w:r>
          </w:p>
        </w:tc>
        <w:tc>
          <w:tcPr>
            <w:tcW w:w="0" w:type="auto"/>
          </w:tcPr>
          <w:p w:rsidR="00DD760D" w:rsidRPr="00221AAF" w:rsidRDefault="00221AAF" w:rsidP="00221AAF">
            <w:pPr>
              <w:pStyle w:val="Compact"/>
            </w:pPr>
            <w:r w:rsidRPr="00221AAF">
              <w:t>-9.649***</w:t>
            </w:r>
          </w:p>
        </w:tc>
        <w:tc>
          <w:tcPr>
            <w:tcW w:w="0" w:type="auto"/>
          </w:tcPr>
          <w:p w:rsidR="00DD760D" w:rsidRPr="00221AAF" w:rsidRDefault="00221AAF" w:rsidP="00221AAF">
            <w:pPr>
              <w:pStyle w:val="Compact"/>
            </w:pPr>
            <w:r w:rsidRPr="00221AAF">
              <w:t>0.753</w:t>
            </w:r>
          </w:p>
        </w:tc>
        <w:tc>
          <w:tcPr>
            <w:tcW w:w="0" w:type="auto"/>
          </w:tcPr>
          <w:p w:rsidR="00DD760D" w:rsidRPr="00221AAF" w:rsidRDefault="00221AAF" w:rsidP="00221AAF">
            <w:pPr>
              <w:pStyle w:val="Compact"/>
            </w:pPr>
            <w:r w:rsidRPr="00221AAF">
              <w:t>1.525</w:t>
            </w:r>
          </w:p>
        </w:tc>
        <w:tc>
          <w:tcPr>
            <w:tcW w:w="0" w:type="auto"/>
          </w:tcPr>
          <w:p w:rsidR="00DD760D" w:rsidRPr="00221AAF" w:rsidRDefault="00221AAF" w:rsidP="00221AAF">
            <w:pPr>
              <w:pStyle w:val="Compact"/>
            </w:pPr>
            <w:r w:rsidRPr="00221AAF">
              <w:t>0.113</w:t>
            </w:r>
          </w:p>
        </w:tc>
        <w:tc>
          <w:tcPr>
            <w:tcW w:w="0" w:type="auto"/>
          </w:tcPr>
          <w:p w:rsidR="00DD760D" w:rsidRPr="00221AAF" w:rsidRDefault="00221AAF" w:rsidP="00221AAF">
            <w:pPr>
              <w:pStyle w:val="Compact"/>
            </w:pPr>
            <w:r w:rsidRPr="00221AAF">
              <w:t>19.372***</w:t>
            </w:r>
          </w:p>
        </w:tc>
      </w:tr>
      <w:tr w:rsidR="00DD760D" w:rsidRPr="00221AAF" w:rsidTr="00221AAF">
        <w:trPr>
          <w:jc w:val="center"/>
        </w:trPr>
        <w:tc>
          <w:tcPr>
            <w:tcW w:w="0" w:type="auto"/>
          </w:tcPr>
          <w:p w:rsidR="00DD760D" w:rsidRPr="00221AAF" w:rsidRDefault="00221AAF" w:rsidP="00221AAF">
            <w:pPr>
              <w:pStyle w:val="Compact"/>
            </w:pPr>
            <w:r w:rsidRPr="00221AAF">
              <w:t>Burkina</w:t>
            </w:r>
          </w:p>
        </w:tc>
        <w:tc>
          <w:tcPr>
            <w:tcW w:w="0" w:type="auto"/>
          </w:tcPr>
          <w:p w:rsidR="00DD760D" w:rsidRPr="00221AAF" w:rsidRDefault="00221AAF" w:rsidP="00221AAF">
            <w:pPr>
              <w:pStyle w:val="Compact"/>
            </w:pPr>
            <w:r w:rsidRPr="00221AAF">
              <w:t>-69.026</w:t>
            </w:r>
          </w:p>
        </w:tc>
        <w:tc>
          <w:tcPr>
            <w:tcW w:w="0" w:type="auto"/>
          </w:tcPr>
          <w:p w:rsidR="00DD760D" w:rsidRPr="00221AAF" w:rsidRDefault="00221AAF" w:rsidP="00221AAF">
            <w:pPr>
              <w:pStyle w:val="Compact"/>
            </w:pPr>
            <w:r w:rsidRPr="00221AAF">
              <w:t>3.007</w:t>
            </w:r>
          </w:p>
        </w:tc>
        <w:tc>
          <w:tcPr>
            <w:tcW w:w="0" w:type="auto"/>
          </w:tcPr>
          <w:p w:rsidR="00DD760D" w:rsidRPr="00221AAF" w:rsidRDefault="00221AAF" w:rsidP="00221AAF">
            <w:pPr>
              <w:pStyle w:val="Compact"/>
            </w:pPr>
            <w:r w:rsidRPr="00221AAF">
              <w:t>9.087</w:t>
            </w:r>
          </w:p>
        </w:tc>
        <w:tc>
          <w:tcPr>
            <w:tcW w:w="0" w:type="auto"/>
          </w:tcPr>
          <w:p w:rsidR="00DD760D" w:rsidRPr="00221AAF" w:rsidRDefault="00221AAF" w:rsidP="00221AAF">
            <w:pPr>
              <w:pStyle w:val="Compact"/>
            </w:pPr>
            <w:r w:rsidRPr="00221AAF">
              <w:t>-0.058</w:t>
            </w:r>
          </w:p>
        </w:tc>
        <w:tc>
          <w:tcPr>
            <w:tcW w:w="0" w:type="auto"/>
          </w:tcPr>
          <w:p w:rsidR="00DD760D" w:rsidRPr="00221AAF" w:rsidRDefault="00221AAF" w:rsidP="00221AAF">
            <w:pPr>
              <w:pStyle w:val="Compact"/>
            </w:pPr>
            <w:r w:rsidRPr="00221AAF">
              <w:t>-0.124</w:t>
            </w:r>
          </w:p>
        </w:tc>
        <w:tc>
          <w:tcPr>
            <w:tcW w:w="0" w:type="auto"/>
          </w:tcPr>
          <w:p w:rsidR="00DD760D" w:rsidRPr="00221AAF" w:rsidRDefault="00221AAF" w:rsidP="00221AAF">
            <w:pPr>
              <w:pStyle w:val="Compact"/>
            </w:pPr>
            <w:r w:rsidRPr="00221AAF">
              <w:t>0.002</w:t>
            </w:r>
          </w:p>
        </w:tc>
      </w:tr>
      <w:tr w:rsidR="00DD760D" w:rsidRPr="00221AAF" w:rsidTr="00221AAF">
        <w:trPr>
          <w:jc w:val="center"/>
        </w:trPr>
        <w:tc>
          <w:tcPr>
            <w:tcW w:w="0" w:type="auto"/>
          </w:tcPr>
          <w:p w:rsidR="00DD760D" w:rsidRPr="00221AAF" w:rsidRDefault="00221AAF" w:rsidP="00221AAF">
            <w:pPr>
              <w:pStyle w:val="Compact"/>
            </w:pPr>
            <w:r w:rsidRPr="00221AAF">
              <w:t>Cote</w:t>
            </w:r>
          </w:p>
        </w:tc>
        <w:tc>
          <w:tcPr>
            <w:tcW w:w="0" w:type="auto"/>
          </w:tcPr>
          <w:p w:rsidR="00DD760D" w:rsidRPr="00221AAF" w:rsidRDefault="00221AAF" w:rsidP="00221AAF">
            <w:pPr>
              <w:pStyle w:val="Compact"/>
            </w:pPr>
            <w:r w:rsidRPr="00221AAF">
              <w:t>-0.575</w:t>
            </w:r>
          </w:p>
        </w:tc>
        <w:tc>
          <w:tcPr>
            <w:tcW w:w="0" w:type="auto"/>
          </w:tcPr>
          <w:p w:rsidR="00DD760D" w:rsidRPr="00221AAF" w:rsidRDefault="00221AAF" w:rsidP="00221AAF">
            <w:pPr>
              <w:pStyle w:val="Compact"/>
            </w:pPr>
            <w:r w:rsidRPr="00221AAF">
              <w:t>0.498</w:t>
            </w:r>
          </w:p>
        </w:tc>
        <w:tc>
          <w:tcPr>
            <w:tcW w:w="0" w:type="auto"/>
          </w:tcPr>
          <w:p w:rsidR="00DD760D" w:rsidRPr="00221AAF" w:rsidRDefault="00221AAF" w:rsidP="00221AAF">
            <w:pPr>
              <w:pStyle w:val="Compact"/>
            </w:pPr>
            <w:r w:rsidRPr="00221AAF">
              <w:t>0.79</w:t>
            </w:r>
          </w:p>
        </w:tc>
        <w:tc>
          <w:tcPr>
            <w:tcW w:w="0" w:type="auto"/>
          </w:tcPr>
          <w:p w:rsidR="00DD760D" w:rsidRPr="00221AAF" w:rsidRDefault="00221AAF" w:rsidP="00221AAF">
            <w:pPr>
              <w:pStyle w:val="Compact"/>
            </w:pPr>
            <w:r w:rsidRPr="00221AAF">
              <w:t>0.405</w:t>
            </w:r>
          </w:p>
        </w:tc>
        <w:tc>
          <w:tcPr>
            <w:tcW w:w="0" w:type="auto"/>
          </w:tcPr>
          <w:p w:rsidR="00DD760D" w:rsidRPr="00221AAF" w:rsidRDefault="00221AAF" w:rsidP="00221AAF">
            <w:pPr>
              <w:pStyle w:val="Compact"/>
            </w:pPr>
            <w:r w:rsidRPr="00221AAF">
              <w:t>0.409*</w:t>
            </w:r>
          </w:p>
        </w:tc>
        <w:tc>
          <w:tcPr>
            <w:tcW w:w="0" w:type="auto"/>
          </w:tcPr>
          <w:p w:rsidR="00DD760D" w:rsidRPr="00221AAF" w:rsidRDefault="00221AAF" w:rsidP="00221AAF">
            <w:pPr>
              <w:pStyle w:val="Compact"/>
            </w:pPr>
            <w:r w:rsidRPr="00221AAF">
              <w:t>0.005</w:t>
            </w:r>
          </w:p>
        </w:tc>
      </w:tr>
      <w:tr w:rsidR="00DD760D" w:rsidRPr="00221AAF" w:rsidTr="00221AAF">
        <w:trPr>
          <w:jc w:val="center"/>
        </w:trPr>
        <w:tc>
          <w:tcPr>
            <w:tcW w:w="0" w:type="auto"/>
          </w:tcPr>
          <w:p w:rsidR="00DD760D" w:rsidRPr="00221AAF" w:rsidRDefault="00221AAF" w:rsidP="00221AAF">
            <w:pPr>
              <w:pStyle w:val="Compact"/>
            </w:pPr>
            <w:r w:rsidRPr="00221AAF">
              <w:t>Ghana</w:t>
            </w:r>
          </w:p>
        </w:tc>
        <w:tc>
          <w:tcPr>
            <w:tcW w:w="0" w:type="auto"/>
          </w:tcPr>
          <w:p w:rsidR="00DD760D" w:rsidRPr="00221AAF" w:rsidRDefault="00221AAF" w:rsidP="00221AAF">
            <w:pPr>
              <w:pStyle w:val="Compact"/>
            </w:pPr>
            <w:r w:rsidRPr="00221AAF">
              <w:t>-16.599**</w:t>
            </w:r>
          </w:p>
        </w:tc>
        <w:tc>
          <w:tcPr>
            <w:tcW w:w="0" w:type="auto"/>
          </w:tcPr>
          <w:p w:rsidR="00DD760D" w:rsidRPr="00221AAF" w:rsidRDefault="00221AAF" w:rsidP="00221AAF">
            <w:pPr>
              <w:pStyle w:val="Compact"/>
            </w:pPr>
            <w:r w:rsidRPr="00221AAF">
              <w:t>3.983**</w:t>
            </w:r>
          </w:p>
        </w:tc>
        <w:tc>
          <w:tcPr>
            <w:tcW w:w="0" w:type="auto"/>
          </w:tcPr>
          <w:p w:rsidR="00DD760D" w:rsidRPr="00221AAF" w:rsidRDefault="00221AAF" w:rsidP="00221AAF">
            <w:pPr>
              <w:pStyle w:val="Compact"/>
            </w:pPr>
            <w:r w:rsidRPr="00221AAF">
              <w:t>1.142</w:t>
            </w:r>
          </w:p>
        </w:tc>
        <w:tc>
          <w:tcPr>
            <w:tcW w:w="0" w:type="auto"/>
          </w:tcPr>
          <w:p w:rsidR="00DD760D" w:rsidRPr="00221AAF" w:rsidRDefault="00221AAF" w:rsidP="00221AAF">
            <w:pPr>
              <w:pStyle w:val="Compact"/>
            </w:pPr>
            <w:r w:rsidRPr="00221AAF">
              <w:t>0.03</w:t>
            </w:r>
          </w:p>
        </w:tc>
        <w:tc>
          <w:tcPr>
            <w:tcW w:w="0" w:type="auto"/>
          </w:tcPr>
          <w:p w:rsidR="00DD760D" w:rsidRPr="00221AAF" w:rsidRDefault="00221AAF" w:rsidP="00221AAF">
            <w:pPr>
              <w:pStyle w:val="Compact"/>
            </w:pPr>
            <w:r w:rsidRPr="00221AAF">
              <w:t>0.424</w:t>
            </w:r>
          </w:p>
        </w:tc>
        <w:tc>
          <w:tcPr>
            <w:tcW w:w="0" w:type="auto"/>
          </w:tcPr>
          <w:p w:rsidR="00DD760D" w:rsidRPr="00221AAF" w:rsidRDefault="00221AAF" w:rsidP="00221AAF">
            <w:pPr>
              <w:pStyle w:val="Compact"/>
            </w:pPr>
            <w:r w:rsidRPr="00221AAF">
              <w:t>4.478**</w:t>
            </w:r>
          </w:p>
        </w:tc>
      </w:tr>
      <w:tr w:rsidR="00DD760D" w:rsidRPr="00221AAF" w:rsidTr="00221AAF">
        <w:trPr>
          <w:jc w:val="center"/>
        </w:trPr>
        <w:tc>
          <w:tcPr>
            <w:tcW w:w="0" w:type="auto"/>
          </w:tcPr>
          <w:p w:rsidR="00DD760D" w:rsidRPr="00221AAF" w:rsidRDefault="00221AAF" w:rsidP="00221AAF">
            <w:pPr>
              <w:pStyle w:val="Compact"/>
            </w:pPr>
            <w:r w:rsidRPr="00221AAF">
              <w:t>Mali</w:t>
            </w:r>
          </w:p>
        </w:tc>
        <w:tc>
          <w:tcPr>
            <w:tcW w:w="0" w:type="auto"/>
          </w:tcPr>
          <w:p w:rsidR="00DD760D" w:rsidRPr="00221AAF" w:rsidRDefault="00221AAF" w:rsidP="00221AAF">
            <w:pPr>
              <w:pStyle w:val="Compact"/>
            </w:pPr>
            <w:r w:rsidRPr="00221AAF">
              <w:t>30.72</w:t>
            </w:r>
          </w:p>
        </w:tc>
        <w:tc>
          <w:tcPr>
            <w:tcW w:w="0" w:type="auto"/>
          </w:tcPr>
          <w:p w:rsidR="00DD760D" w:rsidRPr="00221AAF" w:rsidRDefault="00221AAF" w:rsidP="00221AAF">
            <w:pPr>
              <w:pStyle w:val="Compact"/>
            </w:pPr>
            <w:r w:rsidRPr="00221AAF">
              <w:t>7.885***</w:t>
            </w:r>
          </w:p>
        </w:tc>
        <w:tc>
          <w:tcPr>
            <w:tcW w:w="0" w:type="auto"/>
          </w:tcPr>
          <w:p w:rsidR="00DD760D" w:rsidRPr="00221AAF" w:rsidRDefault="00221AAF" w:rsidP="00221AAF">
            <w:pPr>
              <w:pStyle w:val="Compact"/>
            </w:pPr>
            <w:r w:rsidRPr="00221AAF">
              <w:t>-9.013**</w:t>
            </w:r>
          </w:p>
        </w:tc>
        <w:tc>
          <w:tcPr>
            <w:tcW w:w="0" w:type="auto"/>
          </w:tcPr>
          <w:p w:rsidR="00DD760D" w:rsidRPr="00221AAF" w:rsidRDefault="00221AAF" w:rsidP="00221AAF">
            <w:pPr>
              <w:pStyle w:val="Compact"/>
            </w:pPr>
            <w:r w:rsidRPr="00221AAF">
              <w:t>-7.539***</w:t>
            </w:r>
          </w:p>
        </w:tc>
        <w:tc>
          <w:tcPr>
            <w:tcW w:w="0" w:type="auto"/>
          </w:tcPr>
          <w:p w:rsidR="00DD760D" w:rsidRPr="00221AAF" w:rsidRDefault="00221AAF" w:rsidP="00221AAF">
            <w:pPr>
              <w:pStyle w:val="Compact"/>
            </w:pPr>
            <w:r w:rsidRPr="00221AAF">
              <w:t>1.44</w:t>
            </w:r>
          </w:p>
        </w:tc>
        <w:tc>
          <w:tcPr>
            <w:tcW w:w="0" w:type="auto"/>
          </w:tcPr>
          <w:p w:rsidR="00DD760D" w:rsidRPr="00221AAF" w:rsidRDefault="00221AAF" w:rsidP="00221AAF">
            <w:pPr>
              <w:pStyle w:val="Compact"/>
            </w:pPr>
            <w:r w:rsidRPr="00221AAF">
              <w:t>20.596***</w:t>
            </w:r>
          </w:p>
        </w:tc>
      </w:tr>
      <w:tr w:rsidR="00DD760D" w:rsidRPr="00221AAF" w:rsidTr="00221AAF">
        <w:trPr>
          <w:jc w:val="center"/>
        </w:trPr>
        <w:tc>
          <w:tcPr>
            <w:tcW w:w="0" w:type="auto"/>
          </w:tcPr>
          <w:p w:rsidR="00DD760D" w:rsidRPr="00221AAF" w:rsidRDefault="00221AAF" w:rsidP="00221AAF">
            <w:pPr>
              <w:pStyle w:val="Compact"/>
            </w:pPr>
            <w:r w:rsidRPr="00221AAF">
              <w:t>Niger</w:t>
            </w:r>
          </w:p>
        </w:tc>
        <w:tc>
          <w:tcPr>
            <w:tcW w:w="0" w:type="auto"/>
          </w:tcPr>
          <w:p w:rsidR="00DD760D" w:rsidRPr="00221AAF" w:rsidRDefault="00221AAF" w:rsidP="00221AAF">
            <w:pPr>
              <w:pStyle w:val="Compact"/>
            </w:pPr>
            <w:r w:rsidRPr="00221AAF">
              <w:t>-100.880***</w:t>
            </w:r>
          </w:p>
        </w:tc>
        <w:tc>
          <w:tcPr>
            <w:tcW w:w="0" w:type="auto"/>
          </w:tcPr>
          <w:p w:rsidR="00DD760D" w:rsidRPr="00221AAF" w:rsidRDefault="00221AAF" w:rsidP="00221AAF">
            <w:pPr>
              <w:pStyle w:val="Compact"/>
            </w:pPr>
            <w:r w:rsidRPr="00221AAF">
              <w:t>-3.109</w:t>
            </w:r>
          </w:p>
        </w:tc>
        <w:tc>
          <w:tcPr>
            <w:tcW w:w="0" w:type="auto"/>
          </w:tcPr>
          <w:p w:rsidR="00DD760D" w:rsidRPr="00221AAF" w:rsidRDefault="00221AAF" w:rsidP="00221AAF">
            <w:pPr>
              <w:pStyle w:val="Compact"/>
            </w:pPr>
            <w:r w:rsidRPr="00221AAF">
              <w:t>17.838***</w:t>
            </w:r>
          </w:p>
        </w:tc>
        <w:tc>
          <w:tcPr>
            <w:tcW w:w="0" w:type="auto"/>
          </w:tcPr>
          <w:p w:rsidR="00DD760D" w:rsidRPr="00221AAF" w:rsidRDefault="00221AAF" w:rsidP="00221AAF">
            <w:pPr>
              <w:pStyle w:val="Compact"/>
            </w:pPr>
            <w:r w:rsidRPr="00221AAF">
              <w:t>-0.167</w:t>
            </w:r>
          </w:p>
        </w:tc>
        <w:tc>
          <w:tcPr>
            <w:tcW w:w="0" w:type="auto"/>
          </w:tcPr>
          <w:p w:rsidR="00DD760D" w:rsidRPr="00221AAF" w:rsidRDefault="00221AAF" w:rsidP="00221AAF">
            <w:pPr>
              <w:pStyle w:val="Compact"/>
            </w:pPr>
            <w:r w:rsidRPr="00221AAF">
              <w:t>-0.648***</w:t>
            </w:r>
          </w:p>
        </w:tc>
        <w:tc>
          <w:tcPr>
            <w:tcW w:w="0" w:type="auto"/>
          </w:tcPr>
          <w:p w:rsidR="00DD760D" w:rsidRPr="00221AAF" w:rsidRDefault="00221AAF" w:rsidP="00221AAF">
            <w:pPr>
              <w:pStyle w:val="Compact"/>
            </w:pPr>
            <w:r w:rsidRPr="00221AAF">
              <w:t>1.377</w:t>
            </w:r>
          </w:p>
        </w:tc>
      </w:tr>
      <w:tr w:rsidR="00DD760D" w:rsidRPr="00221AAF" w:rsidTr="00221AAF">
        <w:trPr>
          <w:jc w:val="center"/>
        </w:trPr>
        <w:tc>
          <w:tcPr>
            <w:tcW w:w="0" w:type="auto"/>
          </w:tcPr>
          <w:p w:rsidR="00DD760D" w:rsidRPr="00221AAF" w:rsidRDefault="00221AAF" w:rsidP="00221AAF">
            <w:pPr>
              <w:pStyle w:val="Compact"/>
            </w:pPr>
            <w:r w:rsidRPr="00221AAF">
              <w:t>Nigeria</w:t>
            </w:r>
          </w:p>
        </w:tc>
        <w:tc>
          <w:tcPr>
            <w:tcW w:w="0" w:type="auto"/>
          </w:tcPr>
          <w:p w:rsidR="00DD760D" w:rsidRPr="00221AAF" w:rsidRDefault="00221AAF" w:rsidP="00221AAF">
            <w:pPr>
              <w:pStyle w:val="Compact"/>
            </w:pPr>
            <w:r w:rsidRPr="00221AAF">
              <w:t>-3.853</w:t>
            </w:r>
          </w:p>
        </w:tc>
        <w:tc>
          <w:tcPr>
            <w:tcW w:w="0" w:type="auto"/>
          </w:tcPr>
          <w:p w:rsidR="00DD760D" w:rsidRPr="00221AAF" w:rsidRDefault="00221AAF" w:rsidP="00221AAF">
            <w:pPr>
              <w:pStyle w:val="Compact"/>
            </w:pPr>
            <w:r w:rsidRPr="00221AAF">
              <w:t>2.119*</w:t>
            </w:r>
          </w:p>
        </w:tc>
        <w:tc>
          <w:tcPr>
            <w:tcW w:w="0" w:type="auto"/>
          </w:tcPr>
          <w:p w:rsidR="00DD760D" w:rsidRPr="00221AAF" w:rsidRDefault="00221AAF" w:rsidP="00221AAF">
            <w:pPr>
              <w:pStyle w:val="Compact"/>
            </w:pPr>
            <w:r w:rsidRPr="00221AAF">
              <w:t>0.574</w:t>
            </w:r>
          </w:p>
        </w:tc>
        <w:tc>
          <w:tcPr>
            <w:tcW w:w="0" w:type="auto"/>
          </w:tcPr>
          <w:p w:rsidR="00DD760D" w:rsidRPr="00221AAF" w:rsidRDefault="00221AAF" w:rsidP="00221AAF">
            <w:pPr>
              <w:pStyle w:val="Compact"/>
            </w:pPr>
            <w:r w:rsidRPr="00221AAF">
              <w:t>-0.244</w:t>
            </w:r>
          </w:p>
        </w:tc>
        <w:tc>
          <w:tcPr>
            <w:tcW w:w="0" w:type="auto"/>
          </w:tcPr>
          <w:p w:rsidR="00DD760D" w:rsidRPr="00221AAF" w:rsidRDefault="00221AAF" w:rsidP="00221AAF">
            <w:pPr>
              <w:pStyle w:val="Compact"/>
            </w:pPr>
            <w:r w:rsidRPr="00221AAF">
              <w:t>-0.182</w:t>
            </w:r>
          </w:p>
        </w:tc>
        <w:tc>
          <w:tcPr>
            <w:tcW w:w="0" w:type="auto"/>
          </w:tcPr>
          <w:p w:rsidR="00DD760D" w:rsidRPr="00221AAF" w:rsidRDefault="00221AAF" w:rsidP="00221AAF">
            <w:pPr>
              <w:pStyle w:val="Compact"/>
            </w:pPr>
            <w:r w:rsidRPr="00221AAF">
              <w:t>2.904*</w:t>
            </w:r>
          </w:p>
        </w:tc>
      </w:tr>
      <w:tr w:rsidR="00DD760D" w:rsidRPr="00221AAF" w:rsidTr="00221AAF">
        <w:trPr>
          <w:jc w:val="center"/>
        </w:trPr>
        <w:tc>
          <w:tcPr>
            <w:tcW w:w="0" w:type="auto"/>
          </w:tcPr>
          <w:p w:rsidR="00DD760D" w:rsidRPr="00221AAF" w:rsidRDefault="00221AAF" w:rsidP="00221AAF">
            <w:pPr>
              <w:pStyle w:val="Compact"/>
            </w:pPr>
            <w:r w:rsidRPr="00221AAF">
              <w:t>Senegal</w:t>
            </w:r>
          </w:p>
        </w:tc>
        <w:tc>
          <w:tcPr>
            <w:tcW w:w="0" w:type="auto"/>
          </w:tcPr>
          <w:p w:rsidR="00DD760D" w:rsidRPr="00221AAF" w:rsidRDefault="00221AAF" w:rsidP="00221AAF">
            <w:pPr>
              <w:pStyle w:val="Compact"/>
            </w:pPr>
            <w:r w:rsidRPr="00221AAF">
              <w:t>-29.622***</w:t>
            </w:r>
          </w:p>
        </w:tc>
        <w:tc>
          <w:tcPr>
            <w:tcW w:w="0" w:type="auto"/>
          </w:tcPr>
          <w:p w:rsidR="00DD760D" w:rsidRPr="00221AAF" w:rsidRDefault="00221AAF" w:rsidP="00221AAF">
            <w:pPr>
              <w:pStyle w:val="Compact"/>
            </w:pPr>
            <w:r w:rsidRPr="00221AAF">
              <w:t>0.83</w:t>
            </w:r>
          </w:p>
        </w:tc>
        <w:tc>
          <w:tcPr>
            <w:tcW w:w="0" w:type="auto"/>
          </w:tcPr>
          <w:p w:rsidR="00DD760D" w:rsidRPr="00221AAF" w:rsidRDefault="00221AAF" w:rsidP="00221AAF">
            <w:pPr>
              <w:pStyle w:val="Compact"/>
            </w:pPr>
            <w:r w:rsidRPr="00221AAF">
              <w:t>4.832***</w:t>
            </w:r>
          </w:p>
        </w:tc>
        <w:tc>
          <w:tcPr>
            <w:tcW w:w="0" w:type="auto"/>
          </w:tcPr>
          <w:p w:rsidR="00DD760D" w:rsidRPr="00221AAF" w:rsidRDefault="00221AAF" w:rsidP="00221AAF">
            <w:pPr>
              <w:pStyle w:val="Compact"/>
            </w:pPr>
            <w:r w:rsidRPr="00221AAF">
              <w:t>-0.163*</w:t>
            </w:r>
          </w:p>
        </w:tc>
        <w:tc>
          <w:tcPr>
            <w:tcW w:w="0" w:type="auto"/>
          </w:tcPr>
          <w:p w:rsidR="00DD760D" w:rsidRPr="00221AAF" w:rsidRDefault="00221AAF" w:rsidP="00221AAF">
            <w:pPr>
              <w:pStyle w:val="Compact"/>
            </w:pPr>
            <w:r w:rsidRPr="00221AAF">
              <w:t>-0.051</w:t>
            </w:r>
          </w:p>
        </w:tc>
        <w:tc>
          <w:tcPr>
            <w:tcW w:w="0" w:type="auto"/>
          </w:tcPr>
          <w:p w:rsidR="00DD760D" w:rsidRPr="00221AAF" w:rsidRDefault="00221AAF" w:rsidP="00221AAF">
            <w:pPr>
              <w:pStyle w:val="Compact"/>
            </w:pPr>
            <w:r w:rsidRPr="00221AAF">
              <w:t>4.224**</w:t>
            </w:r>
          </w:p>
        </w:tc>
      </w:tr>
      <w:tr w:rsidR="00DD760D" w:rsidRPr="00221AAF" w:rsidTr="00221AAF">
        <w:trPr>
          <w:jc w:val="center"/>
        </w:trPr>
        <w:tc>
          <w:tcPr>
            <w:tcW w:w="0" w:type="auto"/>
          </w:tcPr>
          <w:p w:rsidR="00DD760D" w:rsidRPr="00221AAF" w:rsidRDefault="00221AAF" w:rsidP="00221AAF">
            <w:pPr>
              <w:pStyle w:val="Compact"/>
            </w:pPr>
            <w:r w:rsidRPr="00221AAF">
              <w:t>Togo</w:t>
            </w:r>
          </w:p>
        </w:tc>
        <w:tc>
          <w:tcPr>
            <w:tcW w:w="0" w:type="auto"/>
          </w:tcPr>
          <w:p w:rsidR="00DD760D" w:rsidRPr="00221AAF" w:rsidRDefault="00221AAF" w:rsidP="00221AAF">
            <w:pPr>
              <w:pStyle w:val="Compact"/>
            </w:pPr>
            <w:r w:rsidRPr="00221AAF">
              <w:t>-4.004</w:t>
            </w:r>
          </w:p>
        </w:tc>
        <w:tc>
          <w:tcPr>
            <w:tcW w:w="0" w:type="auto"/>
          </w:tcPr>
          <w:p w:rsidR="00DD760D" w:rsidRPr="00221AAF" w:rsidRDefault="00221AAF" w:rsidP="00221AAF">
            <w:pPr>
              <w:pStyle w:val="Compact"/>
            </w:pPr>
            <w:r w:rsidRPr="00221AAF">
              <w:t>2.588</w:t>
            </w:r>
          </w:p>
        </w:tc>
        <w:tc>
          <w:tcPr>
            <w:tcW w:w="0" w:type="auto"/>
          </w:tcPr>
          <w:p w:rsidR="00DD760D" w:rsidRPr="00221AAF" w:rsidRDefault="00221AAF" w:rsidP="00221AAF">
            <w:pPr>
              <w:pStyle w:val="Compact"/>
            </w:pPr>
            <w:r w:rsidRPr="00221AAF">
              <w:t>-0.539</w:t>
            </w:r>
          </w:p>
        </w:tc>
        <w:tc>
          <w:tcPr>
            <w:tcW w:w="0" w:type="auto"/>
          </w:tcPr>
          <w:p w:rsidR="00DD760D" w:rsidRPr="00221AAF" w:rsidRDefault="00221AAF" w:rsidP="00221AAF">
            <w:pPr>
              <w:pStyle w:val="Compact"/>
            </w:pPr>
            <w:r w:rsidRPr="00221AAF">
              <w:t>-0.572**</w:t>
            </w:r>
          </w:p>
        </w:tc>
        <w:tc>
          <w:tcPr>
            <w:tcW w:w="0" w:type="auto"/>
          </w:tcPr>
          <w:p w:rsidR="00DD760D" w:rsidRPr="00221AAF" w:rsidRDefault="00221AAF" w:rsidP="00221AAF">
            <w:pPr>
              <w:pStyle w:val="Compact"/>
            </w:pPr>
            <w:r w:rsidRPr="00221AAF">
              <w:t>-0.372</w:t>
            </w:r>
          </w:p>
        </w:tc>
        <w:tc>
          <w:tcPr>
            <w:tcW w:w="0" w:type="auto"/>
          </w:tcPr>
          <w:p w:rsidR="00DD760D" w:rsidRPr="00221AAF" w:rsidRDefault="00221AAF" w:rsidP="00221AAF">
            <w:pPr>
              <w:pStyle w:val="Compact"/>
            </w:pPr>
            <w:r w:rsidRPr="00221AAF">
              <w:t>6.190**</w:t>
            </w:r>
          </w:p>
        </w:tc>
      </w:tr>
      <w:tr w:rsidR="00DD760D" w:rsidRPr="00221AAF" w:rsidTr="00221AAF">
        <w:tblPrEx>
          <w:tblLook w:val="07C0" w:firstRow="0" w:lastRow="1" w:firstColumn="1" w:lastColumn="1" w:noHBand="1" w:noVBand="1"/>
        </w:tblPrEx>
        <w:trPr>
          <w:jc w:val="center"/>
        </w:trPr>
        <w:tc>
          <w:tcPr>
            <w:tcW w:w="0" w:type="auto"/>
            <w:gridSpan w:val="7"/>
          </w:tcPr>
          <w:p w:rsidR="00DD760D" w:rsidRPr="00221AAF" w:rsidRDefault="00221AAF" w:rsidP="00221AAF">
            <w:pPr>
              <w:pStyle w:val="Compact"/>
            </w:pPr>
            <w:r w:rsidRPr="00221AAF">
              <w:t xml:space="preserve">Note that *, ** and *** indicate significance at 10%, 5% and 1% respectively. The long run coefficients are calcualated as </w:t>
            </w:r>
            <m:oMath>
              <m:r>
                <w:rPr>
                  <w:rFonts w:ascii="Cambria Math" w:hAnsi="Cambria Math"/>
                </w:rPr>
                <m:t>lnY=-</m:t>
              </m:r>
              <m:f>
                <m:fPr>
                  <m:ctrlPr>
                    <w:rPr>
                      <w:rFonts w:ascii="Cambria Math" w:hAnsi="Cambria Math"/>
                    </w:rPr>
                  </m:ctrlPr>
                </m:fPr>
                <m:num>
                  <m:sSub>
                    <m:sSubPr>
                      <m:ctrlPr>
                        <w:rPr>
                          <w:rFonts w:ascii="Cambria Math" w:hAnsi="Cambria Math"/>
                        </w:rPr>
                      </m:ctrlPr>
                    </m:sSubPr>
                    <m:e>
                      <m:r>
                        <w:rPr>
                          <w:rFonts w:ascii="Cambria Math" w:hAnsi="Cambria Math"/>
                        </w:rPr>
                        <m:t>δ</m:t>
                      </m:r>
                    </m:e>
                    <m:sub>
                      <m:r>
                        <w:rPr>
                          <w:rFonts w:ascii="Cambria Math" w:hAnsi="Cambria Math"/>
                        </w:rPr>
                        <m:t>1</m:t>
                      </m:r>
                    </m:sub>
                  </m:sSub>
                </m:num>
                <m:den>
                  <m:sSub>
                    <m:sSubPr>
                      <m:ctrlPr>
                        <w:rPr>
                          <w:rFonts w:ascii="Cambria Math" w:hAnsi="Cambria Math"/>
                        </w:rPr>
                      </m:ctrlPr>
                    </m:sSubPr>
                    <m:e>
                      <m:r>
                        <w:rPr>
                          <w:rFonts w:ascii="Cambria Math" w:hAnsi="Cambria Math"/>
                        </w:rPr>
                        <m:t>δ</m:t>
                      </m:r>
                    </m:e>
                    <m:sub>
                      <m:r>
                        <w:rPr>
                          <w:rFonts w:ascii="Cambria Math" w:hAnsi="Cambria Math"/>
                        </w:rPr>
                        <m:t>0</m:t>
                      </m:r>
                    </m:sub>
                  </m:sSub>
                </m:den>
              </m:f>
            </m:oMath>
            <w:r w:rsidRPr="00221AAF">
              <w:t xml:space="preserve"> , </w:t>
            </w:r>
            <m:oMath>
              <m:r>
                <w:rPr>
                  <w:rFonts w:ascii="Cambria Math" w:hAnsi="Cambria Math"/>
                </w:rPr>
                <m:t>lnR=-</m:t>
              </m:r>
              <m:f>
                <m:fPr>
                  <m:ctrlPr>
                    <w:rPr>
                      <w:rFonts w:ascii="Cambria Math" w:hAnsi="Cambria Math"/>
                    </w:rPr>
                  </m:ctrlPr>
                </m:fPr>
                <m:num>
                  <m:sSub>
                    <m:sSubPr>
                      <m:ctrlPr>
                        <w:rPr>
                          <w:rFonts w:ascii="Cambria Math" w:hAnsi="Cambria Math"/>
                        </w:rPr>
                      </m:ctrlPr>
                    </m:sSubPr>
                    <m:e>
                      <m:r>
                        <w:rPr>
                          <w:rFonts w:ascii="Cambria Math" w:hAnsi="Cambria Math"/>
                        </w:rPr>
                        <m:t>δ</m:t>
                      </m:r>
                    </m:e>
                    <m:sub>
                      <m:r>
                        <w:rPr>
                          <w:rFonts w:ascii="Cambria Math" w:hAnsi="Cambria Math"/>
                        </w:rPr>
                        <m:t>2</m:t>
                      </m:r>
                    </m:sub>
                  </m:sSub>
                </m:num>
                <m:den>
                  <m:sSub>
                    <m:sSubPr>
                      <m:ctrlPr>
                        <w:rPr>
                          <w:rFonts w:ascii="Cambria Math" w:hAnsi="Cambria Math"/>
                        </w:rPr>
                      </m:ctrlPr>
                    </m:sSubPr>
                    <m:e>
                      <m:r>
                        <w:rPr>
                          <w:rFonts w:ascii="Cambria Math" w:hAnsi="Cambria Math"/>
                        </w:rPr>
                        <m:t>δ</m:t>
                      </m:r>
                    </m:e>
                    <m:sub>
                      <m:r>
                        <w:rPr>
                          <w:rFonts w:ascii="Cambria Math" w:hAnsi="Cambria Math"/>
                        </w:rPr>
                        <m:t>0</m:t>
                      </m:r>
                    </m:sub>
                  </m:sSub>
                </m:den>
              </m:f>
            </m:oMath>
            <w:r w:rsidRPr="00221AAF">
              <w:t xml:space="preserve">, </w:t>
            </w:r>
            <m:oMath>
              <m:r>
                <w:rPr>
                  <w:rFonts w:ascii="Cambria Math" w:hAnsi="Cambria Math"/>
                </w:rPr>
                <m:t>ln</m:t>
              </m:r>
              <m:sSubSup>
                <m:sSubSupPr>
                  <m:ctrlPr>
                    <w:rPr>
                      <w:rFonts w:ascii="Cambria Math" w:hAnsi="Cambria Math"/>
                    </w:rPr>
                  </m:ctrlPr>
                </m:sSubSupPr>
                <m:e>
                  <m:r>
                    <w:rPr>
                      <w:rFonts w:ascii="Cambria Math" w:hAnsi="Cambria Math"/>
                    </w:rPr>
                    <m:t>V</m:t>
                  </m:r>
                </m:e>
                <m:sub>
                  <m:r>
                    <w:rPr>
                      <w:rFonts w:ascii="Cambria Math" w:hAnsi="Cambria Math"/>
                    </w:rPr>
                    <m:t>t</m:t>
                  </m:r>
                </m:sub>
                <m:sup>
                  <m:r>
                    <w:rPr>
                      <w:rFonts w:ascii="Cambria Math" w:hAnsi="Cambria Math"/>
                    </w:rPr>
                    <m:t>+</m:t>
                  </m:r>
                </m:sup>
              </m:sSubSup>
              <m: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δ</m:t>
                      </m:r>
                    </m:e>
                    <m:sup>
                      <m:r>
                        <w:rPr>
                          <w:rFonts w:ascii="Cambria Math" w:hAnsi="Cambria Math"/>
                        </w:rPr>
                        <m:t>+</m:t>
                      </m:r>
                    </m:sup>
                  </m:sSup>
                </m:num>
                <m:den>
                  <m:sSub>
                    <m:sSubPr>
                      <m:ctrlPr>
                        <w:rPr>
                          <w:rFonts w:ascii="Cambria Math" w:hAnsi="Cambria Math"/>
                        </w:rPr>
                      </m:ctrlPr>
                    </m:sSubPr>
                    <m:e>
                      <m:r>
                        <w:rPr>
                          <w:rFonts w:ascii="Cambria Math" w:hAnsi="Cambria Math"/>
                        </w:rPr>
                        <m:t>δ</m:t>
                      </m:r>
                    </m:e>
                    <m:sub>
                      <m:r>
                        <w:rPr>
                          <w:rFonts w:ascii="Cambria Math" w:hAnsi="Cambria Math"/>
                        </w:rPr>
                        <m:t>0</m:t>
                      </m:r>
                    </m:sub>
                  </m:sSub>
                </m:den>
              </m:f>
            </m:oMath>
            <w:r w:rsidRPr="00221AAF">
              <w:t xml:space="preserve"> and </w:t>
            </w:r>
            <m:oMath>
              <m:r>
                <w:rPr>
                  <w:rFonts w:ascii="Cambria Math" w:hAnsi="Cambria Math"/>
                </w:rPr>
                <m:t>ln</m:t>
              </m:r>
              <m:sSubSup>
                <m:sSubSupPr>
                  <m:ctrlPr>
                    <w:rPr>
                      <w:rFonts w:ascii="Cambria Math" w:hAnsi="Cambria Math"/>
                    </w:rPr>
                  </m:ctrlPr>
                </m:sSubSupPr>
                <m:e>
                  <m:r>
                    <w:rPr>
                      <w:rFonts w:ascii="Cambria Math" w:hAnsi="Cambria Math"/>
                    </w:rPr>
                    <m:t>V</m:t>
                  </m:r>
                </m:e>
                <m:sub>
                  <m:r>
                    <w:rPr>
                      <w:rFonts w:ascii="Cambria Math" w:hAnsi="Cambria Math"/>
                    </w:rPr>
                    <m:t>t</m:t>
                  </m:r>
                </m:sub>
                <m:sup>
                  <m:r>
                    <w:rPr>
                      <w:rFonts w:ascii="Cambria Math" w:hAnsi="Cambria Math"/>
                    </w:rPr>
                    <m:t>-</m:t>
                  </m:r>
                </m:sup>
              </m:sSubSup>
              <m: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δ</m:t>
                      </m:r>
                    </m:e>
                    <m:sup>
                      <m:r>
                        <w:rPr>
                          <w:rFonts w:ascii="Cambria Math" w:hAnsi="Cambria Math"/>
                        </w:rPr>
                        <m:t>-</m:t>
                      </m:r>
                    </m:sup>
                  </m:sSup>
                </m:num>
                <m:den>
                  <m:sSub>
                    <m:sSubPr>
                      <m:ctrlPr>
                        <w:rPr>
                          <w:rFonts w:ascii="Cambria Math" w:hAnsi="Cambria Math"/>
                        </w:rPr>
                      </m:ctrlPr>
                    </m:sSubPr>
                    <m:e>
                      <m:r>
                        <w:rPr>
                          <w:rFonts w:ascii="Cambria Math" w:hAnsi="Cambria Math"/>
                        </w:rPr>
                        <m:t>δ</m:t>
                      </m:r>
                    </m:e>
                    <m:sub>
                      <m:r>
                        <w:rPr>
                          <w:rFonts w:ascii="Cambria Math" w:hAnsi="Cambria Math"/>
                        </w:rPr>
                        <m:t>0</m:t>
                      </m:r>
                    </m:sub>
                  </m:sSub>
                </m:den>
              </m:f>
            </m:oMath>
            <w:r w:rsidRPr="00221AAF">
              <w:t xml:space="preserve">. While </w:t>
            </w:r>
            <m:oMath>
              <m:sSubSup>
                <m:sSubSupPr>
                  <m:ctrlPr>
                    <w:rPr>
                      <w:rFonts w:ascii="Cambria Math" w:hAnsi="Cambria Math"/>
                    </w:rPr>
                  </m:ctrlPr>
                </m:sSubSupPr>
                <m:e>
                  <m:r>
                    <w:rPr>
                      <w:rFonts w:ascii="Cambria Math" w:hAnsi="Cambria Math"/>
                    </w:rPr>
                    <m:t>χ</m:t>
                  </m:r>
                </m:e>
                <m:sub>
                  <m:r>
                    <w:rPr>
                      <w:rFonts w:ascii="Cambria Math" w:hAnsi="Cambria Math"/>
                    </w:rPr>
                    <m:t>LR</m:t>
                  </m:r>
                </m:sub>
                <m:sup>
                  <m:r>
                    <w:rPr>
                      <w:rFonts w:ascii="Cambria Math" w:hAnsi="Cambria Math"/>
                    </w:rPr>
                    <m:t>2</m:t>
                  </m:r>
                </m:sup>
              </m:sSubSup>
            </m:oMath>
            <w:r w:rsidRPr="00221AAF">
              <w:t xml:space="preserve"> refers to the Chi-square value for the Wald test </w:t>
            </w:r>
            <m:oMath>
              <m: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δ</m:t>
                      </m:r>
                    </m:e>
                    <m:sup>
                      <m:r>
                        <w:rPr>
                          <w:rFonts w:ascii="Cambria Math" w:hAnsi="Cambria Math"/>
                        </w:rPr>
                        <m:t>+</m:t>
                      </m:r>
                    </m:sup>
                  </m:sSup>
                </m:num>
                <m:den>
                  <m:sSub>
                    <m:sSubPr>
                      <m:ctrlPr>
                        <w:rPr>
                          <w:rFonts w:ascii="Cambria Math" w:hAnsi="Cambria Math"/>
                        </w:rPr>
                      </m:ctrlPr>
                    </m:sSubPr>
                    <m:e>
                      <m:r>
                        <w:rPr>
                          <w:rFonts w:ascii="Cambria Math" w:hAnsi="Cambria Math"/>
                        </w:rPr>
                        <m:t>δ</m:t>
                      </m:r>
                    </m:e>
                    <m:sub>
                      <m:r>
                        <w:rPr>
                          <w:rFonts w:ascii="Cambria Math" w:hAnsi="Cambria Math"/>
                        </w:rPr>
                        <m:t>0</m:t>
                      </m:r>
                    </m:sub>
                  </m:sSub>
                </m:den>
              </m:f>
              <m: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δ</m:t>
                      </m:r>
                    </m:e>
                    <m:sup>
                      <m:r>
                        <w:rPr>
                          <w:rFonts w:ascii="Cambria Math" w:hAnsi="Cambria Math"/>
                        </w:rPr>
                        <m:t>-</m:t>
                      </m:r>
                    </m:sup>
                  </m:sSup>
                </m:num>
                <m:den>
                  <m:sSub>
                    <m:sSubPr>
                      <m:ctrlPr>
                        <w:rPr>
                          <w:rFonts w:ascii="Cambria Math" w:hAnsi="Cambria Math"/>
                        </w:rPr>
                      </m:ctrlPr>
                    </m:sSubPr>
                    <m:e>
                      <m:r>
                        <w:rPr>
                          <w:rFonts w:ascii="Cambria Math" w:hAnsi="Cambria Math"/>
                        </w:rPr>
                        <m:t>δ</m:t>
                      </m:r>
                    </m:e>
                    <m:sub>
                      <m:r>
                        <w:rPr>
                          <w:rFonts w:ascii="Cambria Math" w:hAnsi="Cambria Math"/>
                        </w:rPr>
                        <m:t>0</m:t>
                      </m:r>
                    </m:sub>
                  </m:sSub>
                </m:den>
              </m:f>
            </m:oMath>
            <w:r w:rsidRPr="00221AAF">
              <w:t xml:space="preserve"> for the null hypothesis of long run symmetry.</w:t>
            </w:r>
          </w:p>
        </w:tc>
      </w:tr>
    </w:tbl>
    <w:p w:rsidR="00DD760D" w:rsidRDefault="00221AAF">
      <w:pPr>
        <w:pStyle w:val="BlockText"/>
      </w:pPr>
      <w:r>
        <w:t>yyy</w:t>
      </w:r>
    </w:p>
    <w:p w:rsidR="00DD760D" w:rsidRDefault="00221AAF">
      <w:pPr>
        <w:pStyle w:val="TableCaption"/>
      </w:pPr>
      <w:r>
        <w:t>Table 6: Long-run estimates of the import: NARDL</w:t>
      </w:r>
    </w:p>
    <w:tbl>
      <w:tblPr>
        <w:tblStyle w:val="Table"/>
        <w:tblW w:w="0" w:type="pct"/>
        <w:jc w:val="center"/>
        <w:tblLook w:val="07E0" w:firstRow="1" w:lastRow="1" w:firstColumn="1" w:lastColumn="1" w:noHBand="1" w:noVBand="1"/>
        <w:tblCaption w:val="Table 6: Long-run estimates of the import: NARDL"/>
      </w:tblPr>
      <w:tblGrid>
        <w:gridCol w:w="1167"/>
        <w:gridCol w:w="1376"/>
        <w:gridCol w:w="1343"/>
        <w:gridCol w:w="1343"/>
        <w:gridCol w:w="1343"/>
        <w:gridCol w:w="1343"/>
        <w:gridCol w:w="1445"/>
      </w:tblGrid>
      <w:tr w:rsidR="00DD760D" w:rsidRPr="00221AAF" w:rsidTr="00221AAF">
        <w:trPr>
          <w:jc w:val="center"/>
        </w:trPr>
        <w:tc>
          <w:tcPr>
            <w:tcW w:w="0" w:type="auto"/>
            <w:tcBorders>
              <w:bottom w:val="single" w:sz="0" w:space="0" w:color="auto"/>
            </w:tcBorders>
            <w:vAlign w:val="bottom"/>
          </w:tcPr>
          <w:p w:rsidR="00DD760D" w:rsidRPr="00221AAF" w:rsidRDefault="00DD760D" w:rsidP="00221AAF">
            <w:pPr>
              <w:jc w:val="both"/>
              <w:rPr>
                <w:b/>
                <w:sz w:val="20"/>
              </w:rPr>
            </w:pPr>
          </w:p>
        </w:tc>
        <w:tc>
          <w:tcPr>
            <w:tcW w:w="0" w:type="auto"/>
            <w:tcBorders>
              <w:bottom w:val="single" w:sz="0" w:space="0" w:color="auto"/>
            </w:tcBorders>
            <w:vAlign w:val="bottom"/>
          </w:tcPr>
          <w:p w:rsidR="00DD760D" w:rsidRPr="00221AAF" w:rsidRDefault="00221AAF" w:rsidP="00221AAF">
            <w:pPr>
              <w:pStyle w:val="Compact"/>
              <w:rPr>
                <w:b/>
              </w:rPr>
            </w:pPr>
            <w:r w:rsidRPr="00221AAF">
              <w:rPr>
                <w:b/>
              </w:rPr>
              <w:t>Intercept</w:t>
            </w:r>
          </w:p>
        </w:tc>
        <w:tc>
          <w:tcPr>
            <w:tcW w:w="0" w:type="auto"/>
            <w:tcBorders>
              <w:bottom w:val="single" w:sz="0" w:space="0" w:color="auto"/>
            </w:tcBorders>
            <w:vAlign w:val="bottom"/>
          </w:tcPr>
          <w:p w:rsidR="00DD760D" w:rsidRPr="00221AAF" w:rsidRDefault="00221AAF" w:rsidP="00221AAF">
            <w:pPr>
              <w:pStyle w:val="Compact"/>
              <w:rPr>
                <w:b/>
              </w:rPr>
            </w:pPr>
            <m:oMathPara>
              <m:oMath>
                <m:r>
                  <m:rPr>
                    <m:sty m:val="bi"/>
                  </m:rPr>
                  <w:rPr>
                    <w:rFonts w:ascii="Cambria Math" w:hAnsi="Cambria Math"/>
                  </w:rPr>
                  <m:t>ln</m:t>
                </m:r>
                <m:sSubSup>
                  <m:sSubSupPr>
                    <m:ctrlPr>
                      <w:rPr>
                        <w:rFonts w:ascii="Cambria Math" w:hAnsi="Cambria Math"/>
                        <w:b/>
                      </w:rPr>
                    </m:ctrlPr>
                  </m:sSubSupPr>
                  <m:e>
                    <m:r>
                      <m:rPr>
                        <m:sty m:val="bi"/>
                      </m:rPr>
                      <w:rPr>
                        <w:rFonts w:ascii="Cambria Math" w:hAnsi="Cambria Math"/>
                      </w:rPr>
                      <m:t>Y</m:t>
                    </m:r>
                  </m:e>
                  <m:sub>
                    <m:r>
                      <m:rPr>
                        <m:sty m:val="bi"/>
                      </m:rPr>
                      <w:rPr>
                        <w:rFonts w:ascii="Cambria Math" w:hAnsi="Cambria Math"/>
                      </w:rPr>
                      <m:t>t</m:t>
                    </m:r>
                  </m:sub>
                  <m:sup>
                    <m:r>
                      <m:rPr>
                        <m:sty m:val="bi"/>
                      </m:rPr>
                      <w:rPr>
                        <w:rFonts w:ascii="Cambria Math" w:hAnsi="Cambria Math"/>
                      </w:rPr>
                      <m:t>eu</m:t>
                    </m:r>
                  </m:sup>
                </m:sSubSup>
              </m:oMath>
            </m:oMathPara>
          </w:p>
        </w:tc>
        <w:tc>
          <w:tcPr>
            <w:tcW w:w="0" w:type="auto"/>
            <w:tcBorders>
              <w:bottom w:val="single" w:sz="0" w:space="0" w:color="auto"/>
            </w:tcBorders>
            <w:vAlign w:val="bottom"/>
          </w:tcPr>
          <w:p w:rsidR="00DD760D" w:rsidRPr="00221AAF" w:rsidRDefault="00221AAF" w:rsidP="00221AAF">
            <w:pPr>
              <w:pStyle w:val="Compact"/>
              <w:rPr>
                <w:b/>
              </w:rPr>
            </w:pPr>
            <m:oMathPara>
              <m:oMath>
                <m:r>
                  <m:rPr>
                    <m:sty m:val="bi"/>
                  </m:rPr>
                  <w:rPr>
                    <w:rFonts w:ascii="Cambria Math" w:hAnsi="Cambria Math"/>
                  </w:rPr>
                  <m:t>ln</m:t>
                </m:r>
                <m:sSub>
                  <m:sSubPr>
                    <m:ctrlPr>
                      <w:rPr>
                        <w:rFonts w:ascii="Cambria Math" w:hAnsi="Cambria Math"/>
                        <w:b/>
                      </w:rPr>
                    </m:ctrlPr>
                  </m:sSubPr>
                  <m:e>
                    <m:r>
                      <m:rPr>
                        <m:sty m:val="bi"/>
                      </m:rPr>
                      <w:rPr>
                        <w:rFonts w:ascii="Cambria Math" w:hAnsi="Cambria Math"/>
                      </w:rPr>
                      <m:t>R</m:t>
                    </m:r>
                  </m:e>
                  <m:sub>
                    <m:r>
                      <m:rPr>
                        <m:sty m:val="bi"/>
                      </m:rPr>
                      <w:rPr>
                        <w:rFonts w:ascii="Cambria Math" w:hAnsi="Cambria Math"/>
                      </w:rPr>
                      <m:t>t</m:t>
                    </m:r>
                  </m:sub>
                </m:sSub>
              </m:oMath>
            </m:oMathPara>
          </w:p>
        </w:tc>
        <w:tc>
          <w:tcPr>
            <w:tcW w:w="0" w:type="auto"/>
            <w:tcBorders>
              <w:bottom w:val="single" w:sz="0" w:space="0" w:color="auto"/>
            </w:tcBorders>
            <w:vAlign w:val="bottom"/>
          </w:tcPr>
          <w:p w:rsidR="00DD760D" w:rsidRPr="00221AAF" w:rsidRDefault="00221AAF" w:rsidP="00221AAF">
            <w:pPr>
              <w:pStyle w:val="Compact"/>
              <w:rPr>
                <w:b/>
              </w:rPr>
            </w:pPr>
            <m:oMathPara>
              <m:oMath>
                <m:r>
                  <m:rPr>
                    <m:sty m:val="bi"/>
                  </m:rPr>
                  <w:rPr>
                    <w:rFonts w:ascii="Cambria Math" w:hAnsi="Cambria Math"/>
                  </w:rPr>
                  <m:t>ln</m:t>
                </m:r>
                <m:sSubSup>
                  <m:sSubSupPr>
                    <m:ctrlPr>
                      <w:rPr>
                        <w:rFonts w:ascii="Cambria Math" w:hAnsi="Cambria Math"/>
                        <w:b/>
                      </w:rPr>
                    </m:ctrlPr>
                  </m:sSubSupPr>
                  <m:e>
                    <m:r>
                      <m:rPr>
                        <m:sty m:val="bi"/>
                      </m:rPr>
                      <w:rPr>
                        <w:rFonts w:ascii="Cambria Math" w:hAnsi="Cambria Math"/>
                      </w:rPr>
                      <m:t>V</m:t>
                    </m:r>
                  </m:e>
                  <m:sub>
                    <m:r>
                      <m:rPr>
                        <m:sty m:val="bi"/>
                      </m:rPr>
                      <w:rPr>
                        <w:rFonts w:ascii="Cambria Math" w:hAnsi="Cambria Math"/>
                      </w:rPr>
                      <m:t>t</m:t>
                    </m:r>
                  </m:sub>
                  <m:sup>
                    <m:r>
                      <m:rPr>
                        <m:sty m:val="bi"/>
                      </m:rPr>
                      <w:rPr>
                        <w:rFonts w:ascii="Cambria Math" w:hAnsi="Cambria Math"/>
                      </w:rPr>
                      <m:t>+</m:t>
                    </m:r>
                  </m:sup>
                </m:sSubSup>
              </m:oMath>
            </m:oMathPara>
          </w:p>
        </w:tc>
        <w:tc>
          <w:tcPr>
            <w:tcW w:w="0" w:type="auto"/>
            <w:tcBorders>
              <w:bottom w:val="single" w:sz="0" w:space="0" w:color="auto"/>
            </w:tcBorders>
            <w:vAlign w:val="bottom"/>
          </w:tcPr>
          <w:p w:rsidR="00DD760D" w:rsidRPr="00221AAF" w:rsidRDefault="00221AAF" w:rsidP="00221AAF">
            <w:pPr>
              <w:pStyle w:val="Compact"/>
              <w:rPr>
                <w:b/>
              </w:rPr>
            </w:pPr>
            <m:oMathPara>
              <m:oMath>
                <m:r>
                  <m:rPr>
                    <m:sty m:val="bi"/>
                  </m:rPr>
                  <w:rPr>
                    <w:rFonts w:ascii="Cambria Math" w:hAnsi="Cambria Math"/>
                  </w:rPr>
                  <m:t>ln</m:t>
                </m:r>
                <m:sSubSup>
                  <m:sSubSupPr>
                    <m:ctrlPr>
                      <w:rPr>
                        <w:rFonts w:ascii="Cambria Math" w:hAnsi="Cambria Math"/>
                        <w:b/>
                      </w:rPr>
                    </m:ctrlPr>
                  </m:sSubSupPr>
                  <m:e>
                    <m:r>
                      <m:rPr>
                        <m:sty m:val="bi"/>
                      </m:rPr>
                      <w:rPr>
                        <w:rFonts w:ascii="Cambria Math" w:hAnsi="Cambria Math"/>
                      </w:rPr>
                      <m:t>V</m:t>
                    </m:r>
                  </m:e>
                  <m:sub>
                    <m:r>
                      <m:rPr>
                        <m:sty m:val="bi"/>
                      </m:rPr>
                      <w:rPr>
                        <w:rFonts w:ascii="Cambria Math" w:hAnsi="Cambria Math"/>
                      </w:rPr>
                      <m:t>t</m:t>
                    </m:r>
                  </m:sub>
                  <m:sup>
                    <m:r>
                      <m:rPr>
                        <m:sty m:val="bi"/>
                      </m:rPr>
                      <w:rPr>
                        <w:rFonts w:ascii="Cambria Math" w:hAnsi="Cambria Math"/>
                      </w:rPr>
                      <m:t>-</m:t>
                    </m:r>
                  </m:sup>
                </m:sSubSup>
              </m:oMath>
            </m:oMathPara>
          </w:p>
        </w:tc>
        <w:tc>
          <w:tcPr>
            <w:tcW w:w="0" w:type="auto"/>
            <w:tcBorders>
              <w:bottom w:val="single" w:sz="0" w:space="0" w:color="auto"/>
            </w:tcBorders>
            <w:vAlign w:val="bottom"/>
          </w:tcPr>
          <w:p w:rsidR="00DD760D" w:rsidRPr="00221AAF" w:rsidRDefault="00221AAF" w:rsidP="00221AAF">
            <w:pPr>
              <w:pStyle w:val="Compact"/>
              <w:rPr>
                <w:b/>
              </w:rPr>
            </w:pPr>
            <m:oMathPara>
              <m:oMath>
                <m:sSubSup>
                  <m:sSubSupPr>
                    <m:ctrlPr>
                      <w:rPr>
                        <w:rFonts w:ascii="Cambria Math" w:hAnsi="Cambria Math"/>
                        <w:b/>
                      </w:rPr>
                    </m:ctrlPr>
                  </m:sSubSupPr>
                  <m:e>
                    <m:r>
                      <m:rPr>
                        <m:sty m:val="bi"/>
                      </m:rPr>
                      <w:rPr>
                        <w:rFonts w:ascii="Cambria Math" w:hAnsi="Cambria Math"/>
                      </w:rPr>
                      <m:t>χ</m:t>
                    </m:r>
                  </m:e>
                  <m:sub>
                    <m:r>
                      <m:rPr>
                        <m:sty m:val="bi"/>
                      </m:rPr>
                      <w:rPr>
                        <w:rFonts w:ascii="Cambria Math" w:hAnsi="Cambria Math"/>
                      </w:rPr>
                      <m:t>LR</m:t>
                    </m:r>
                  </m:sub>
                  <m:sup>
                    <m:r>
                      <m:rPr>
                        <m:sty m:val="bi"/>
                      </m:rPr>
                      <w:rPr>
                        <w:rFonts w:ascii="Cambria Math" w:hAnsi="Cambria Math"/>
                      </w:rPr>
                      <m:t>2</m:t>
                    </m:r>
                  </m:sup>
                </m:sSubSup>
              </m:oMath>
            </m:oMathPara>
          </w:p>
        </w:tc>
      </w:tr>
      <w:tr w:rsidR="00DD760D" w:rsidRPr="00221AAF" w:rsidTr="00221AAF">
        <w:trPr>
          <w:jc w:val="center"/>
        </w:trPr>
        <w:tc>
          <w:tcPr>
            <w:tcW w:w="0" w:type="auto"/>
          </w:tcPr>
          <w:p w:rsidR="00DD760D" w:rsidRPr="00221AAF" w:rsidRDefault="00221AAF" w:rsidP="00221AAF">
            <w:pPr>
              <w:pStyle w:val="Compact"/>
            </w:pPr>
            <w:r w:rsidRPr="00221AAF">
              <w:lastRenderedPageBreak/>
              <w:t>Benin</w:t>
            </w:r>
          </w:p>
        </w:tc>
        <w:tc>
          <w:tcPr>
            <w:tcW w:w="0" w:type="auto"/>
          </w:tcPr>
          <w:p w:rsidR="00DD760D" w:rsidRPr="00221AAF" w:rsidRDefault="00221AAF" w:rsidP="00221AAF">
            <w:pPr>
              <w:pStyle w:val="Compact"/>
            </w:pPr>
            <w:r w:rsidRPr="00221AAF">
              <w:t>17.288*</w:t>
            </w:r>
          </w:p>
        </w:tc>
        <w:tc>
          <w:tcPr>
            <w:tcW w:w="0" w:type="auto"/>
          </w:tcPr>
          <w:p w:rsidR="00DD760D" w:rsidRPr="00221AAF" w:rsidRDefault="00221AAF" w:rsidP="00221AAF">
            <w:pPr>
              <w:pStyle w:val="Compact"/>
            </w:pPr>
            <w:r w:rsidRPr="00221AAF">
              <w:t>-1.953***</w:t>
            </w:r>
          </w:p>
        </w:tc>
        <w:tc>
          <w:tcPr>
            <w:tcW w:w="0" w:type="auto"/>
          </w:tcPr>
          <w:p w:rsidR="00DD760D" w:rsidRPr="00221AAF" w:rsidRDefault="00221AAF" w:rsidP="00221AAF">
            <w:pPr>
              <w:pStyle w:val="Compact"/>
            </w:pPr>
            <w:r w:rsidRPr="00221AAF">
              <w:t>-0.581</w:t>
            </w:r>
          </w:p>
        </w:tc>
        <w:tc>
          <w:tcPr>
            <w:tcW w:w="0" w:type="auto"/>
          </w:tcPr>
          <w:p w:rsidR="00DD760D" w:rsidRPr="00221AAF" w:rsidRDefault="00221AAF" w:rsidP="00221AAF">
            <w:pPr>
              <w:pStyle w:val="Compact"/>
            </w:pPr>
            <w:r w:rsidRPr="00221AAF">
              <w:t>-0.388</w:t>
            </w:r>
          </w:p>
        </w:tc>
        <w:tc>
          <w:tcPr>
            <w:tcW w:w="0" w:type="auto"/>
          </w:tcPr>
          <w:p w:rsidR="00DD760D" w:rsidRPr="00221AAF" w:rsidRDefault="00221AAF" w:rsidP="00221AAF">
            <w:pPr>
              <w:pStyle w:val="Compact"/>
            </w:pPr>
            <w:r w:rsidRPr="00221AAF">
              <w:t>-0.762**</w:t>
            </w:r>
          </w:p>
        </w:tc>
        <w:tc>
          <w:tcPr>
            <w:tcW w:w="0" w:type="auto"/>
          </w:tcPr>
          <w:p w:rsidR="00DD760D" w:rsidRPr="00221AAF" w:rsidRDefault="00221AAF" w:rsidP="00221AAF">
            <w:pPr>
              <w:pStyle w:val="Compact"/>
            </w:pPr>
            <w:r w:rsidRPr="00221AAF">
              <w:t>13.811***</w:t>
            </w:r>
          </w:p>
        </w:tc>
      </w:tr>
      <w:tr w:rsidR="00DD760D" w:rsidRPr="00221AAF" w:rsidTr="00221AAF">
        <w:trPr>
          <w:jc w:val="center"/>
        </w:trPr>
        <w:tc>
          <w:tcPr>
            <w:tcW w:w="0" w:type="auto"/>
          </w:tcPr>
          <w:p w:rsidR="00DD760D" w:rsidRPr="00221AAF" w:rsidRDefault="00221AAF" w:rsidP="00221AAF">
            <w:pPr>
              <w:pStyle w:val="Compact"/>
            </w:pPr>
            <w:r w:rsidRPr="00221AAF">
              <w:t>Burkina</w:t>
            </w:r>
          </w:p>
        </w:tc>
        <w:tc>
          <w:tcPr>
            <w:tcW w:w="0" w:type="auto"/>
          </w:tcPr>
          <w:p w:rsidR="00DD760D" w:rsidRPr="00221AAF" w:rsidRDefault="00221AAF" w:rsidP="00221AAF">
            <w:pPr>
              <w:pStyle w:val="Compact"/>
            </w:pPr>
            <w:r w:rsidRPr="00221AAF">
              <w:t>12.587</w:t>
            </w:r>
          </w:p>
        </w:tc>
        <w:tc>
          <w:tcPr>
            <w:tcW w:w="0" w:type="auto"/>
          </w:tcPr>
          <w:p w:rsidR="00DD760D" w:rsidRPr="00221AAF" w:rsidRDefault="00221AAF" w:rsidP="00221AAF">
            <w:pPr>
              <w:pStyle w:val="Compact"/>
            </w:pPr>
            <w:r w:rsidRPr="00221AAF">
              <w:t>0.534</w:t>
            </w:r>
          </w:p>
        </w:tc>
        <w:tc>
          <w:tcPr>
            <w:tcW w:w="0" w:type="auto"/>
          </w:tcPr>
          <w:p w:rsidR="00DD760D" w:rsidRPr="00221AAF" w:rsidRDefault="00221AAF" w:rsidP="00221AAF">
            <w:pPr>
              <w:pStyle w:val="Compact"/>
            </w:pPr>
            <w:r w:rsidRPr="00221AAF">
              <w:t>-1.446</w:t>
            </w:r>
          </w:p>
        </w:tc>
        <w:tc>
          <w:tcPr>
            <w:tcW w:w="0" w:type="auto"/>
          </w:tcPr>
          <w:p w:rsidR="00DD760D" w:rsidRPr="00221AAF" w:rsidRDefault="00221AAF" w:rsidP="00221AAF">
            <w:pPr>
              <w:pStyle w:val="Compact"/>
            </w:pPr>
            <w:r w:rsidRPr="00221AAF">
              <w:t>-0.359**</w:t>
            </w:r>
          </w:p>
        </w:tc>
        <w:tc>
          <w:tcPr>
            <w:tcW w:w="0" w:type="auto"/>
          </w:tcPr>
          <w:p w:rsidR="00DD760D" w:rsidRPr="00221AAF" w:rsidRDefault="00221AAF" w:rsidP="00221AAF">
            <w:pPr>
              <w:pStyle w:val="Compact"/>
            </w:pPr>
            <w:r w:rsidRPr="00221AAF">
              <w:t>-0.417**</w:t>
            </w:r>
          </w:p>
        </w:tc>
        <w:tc>
          <w:tcPr>
            <w:tcW w:w="0" w:type="auto"/>
          </w:tcPr>
          <w:p w:rsidR="00DD760D" w:rsidRPr="00221AAF" w:rsidRDefault="00221AAF" w:rsidP="00221AAF">
            <w:pPr>
              <w:pStyle w:val="Compact"/>
            </w:pPr>
            <w:r w:rsidRPr="00221AAF">
              <w:t>0.102</w:t>
            </w:r>
          </w:p>
        </w:tc>
      </w:tr>
      <w:tr w:rsidR="00DD760D" w:rsidRPr="00221AAF" w:rsidTr="00221AAF">
        <w:trPr>
          <w:jc w:val="center"/>
        </w:trPr>
        <w:tc>
          <w:tcPr>
            <w:tcW w:w="0" w:type="auto"/>
          </w:tcPr>
          <w:p w:rsidR="00DD760D" w:rsidRPr="00221AAF" w:rsidRDefault="00221AAF" w:rsidP="00221AAF">
            <w:pPr>
              <w:pStyle w:val="Compact"/>
            </w:pPr>
            <w:r w:rsidRPr="00221AAF">
              <w:t>Cote</w:t>
            </w:r>
          </w:p>
        </w:tc>
        <w:tc>
          <w:tcPr>
            <w:tcW w:w="0" w:type="auto"/>
          </w:tcPr>
          <w:p w:rsidR="00DD760D" w:rsidRPr="00221AAF" w:rsidRDefault="00221AAF" w:rsidP="00221AAF">
            <w:pPr>
              <w:pStyle w:val="Compact"/>
            </w:pPr>
            <w:r w:rsidRPr="00221AAF">
              <w:t>22.847</w:t>
            </w:r>
          </w:p>
        </w:tc>
        <w:tc>
          <w:tcPr>
            <w:tcW w:w="0" w:type="auto"/>
          </w:tcPr>
          <w:p w:rsidR="00DD760D" w:rsidRPr="00221AAF" w:rsidRDefault="00221AAF" w:rsidP="00221AAF">
            <w:pPr>
              <w:pStyle w:val="Compact"/>
            </w:pPr>
            <w:r w:rsidRPr="00221AAF">
              <w:t>1.251**</w:t>
            </w:r>
          </w:p>
        </w:tc>
        <w:tc>
          <w:tcPr>
            <w:tcW w:w="0" w:type="auto"/>
          </w:tcPr>
          <w:p w:rsidR="00DD760D" w:rsidRPr="00221AAF" w:rsidRDefault="00221AAF" w:rsidP="00221AAF">
            <w:pPr>
              <w:pStyle w:val="Compact"/>
            </w:pPr>
            <w:r w:rsidRPr="00221AAF">
              <w:t>-3.268</w:t>
            </w:r>
          </w:p>
        </w:tc>
        <w:tc>
          <w:tcPr>
            <w:tcW w:w="0" w:type="auto"/>
          </w:tcPr>
          <w:p w:rsidR="00DD760D" w:rsidRPr="00221AAF" w:rsidRDefault="00221AAF" w:rsidP="00221AAF">
            <w:pPr>
              <w:pStyle w:val="Compact"/>
            </w:pPr>
            <w:r w:rsidRPr="00221AAF">
              <w:t>-0.109</w:t>
            </w:r>
          </w:p>
        </w:tc>
        <w:tc>
          <w:tcPr>
            <w:tcW w:w="0" w:type="auto"/>
          </w:tcPr>
          <w:p w:rsidR="00DD760D" w:rsidRPr="00221AAF" w:rsidRDefault="00221AAF" w:rsidP="00221AAF">
            <w:pPr>
              <w:pStyle w:val="Compact"/>
            </w:pPr>
            <w:r w:rsidRPr="00221AAF">
              <w:t>0.01</w:t>
            </w:r>
          </w:p>
        </w:tc>
        <w:tc>
          <w:tcPr>
            <w:tcW w:w="0" w:type="auto"/>
          </w:tcPr>
          <w:p w:rsidR="00DD760D" w:rsidRPr="00221AAF" w:rsidRDefault="00221AAF" w:rsidP="00221AAF">
            <w:pPr>
              <w:pStyle w:val="Compact"/>
            </w:pPr>
            <w:r w:rsidRPr="00221AAF">
              <w:t>4.856**</w:t>
            </w:r>
          </w:p>
        </w:tc>
      </w:tr>
      <w:tr w:rsidR="00DD760D" w:rsidRPr="00221AAF" w:rsidTr="00221AAF">
        <w:trPr>
          <w:jc w:val="center"/>
        </w:trPr>
        <w:tc>
          <w:tcPr>
            <w:tcW w:w="0" w:type="auto"/>
          </w:tcPr>
          <w:p w:rsidR="00DD760D" w:rsidRPr="00221AAF" w:rsidRDefault="00221AAF" w:rsidP="00221AAF">
            <w:pPr>
              <w:pStyle w:val="Compact"/>
            </w:pPr>
            <w:r w:rsidRPr="00221AAF">
              <w:t>Ghana</w:t>
            </w:r>
          </w:p>
        </w:tc>
        <w:tc>
          <w:tcPr>
            <w:tcW w:w="0" w:type="auto"/>
          </w:tcPr>
          <w:p w:rsidR="00DD760D" w:rsidRPr="00221AAF" w:rsidRDefault="00221AAF" w:rsidP="00221AAF">
            <w:pPr>
              <w:pStyle w:val="Compact"/>
            </w:pPr>
            <w:r w:rsidRPr="00221AAF">
              <w:t>-7.262***</w:t>
            </w:r>
          </w:p>
        </w:tc>
        <w:tc>
          <w:tcPr>
            <w:tcW w:w="0" w:type="auto"/>
          </w:tcPr>
          <w:p w:rsidR="00DD760D" w:rsidRPr="00221AAF" w:rsidRDefault="00221AAF" w:rsidP="00221AAF">
            <w:pPr>
              <w:pStyle w:val="Compact"/>
            </w:pPr>
            <w:r w:rsidRPr="00221AAF">
              <w:t>1.775***</w:t>
            </w:r>
          </w:p>
        </w:tc>
        <w:tc>
          <w:tcPr>
            <w:tcW w:w="0" w:type="auto"/>
          </w:tcPr>
          <w:p w:rsidR="00DD760D" w:rsidRPr="00221AAF" w:rsidRDefault="00221AAF" w:rsidP="00221AAF">
            <w:pPr>
              <w:pStyle w:val="Compact"/>
            </w:pPr>
            <w:r w:rsidRPr="00221AAF">
              <w:t>0.982***</w:t>
            </w:r>
          </w:p>
        </w:tc>
        <w:tc>
          <w:tcPr>
            <w:tcW w:w="0" w:type="auto"/>
          </w:tcPr>
          <w:p w:rsidR="00DD760D" w:rsidRPr="00221AAF" w:rsidRDefault="00221AAF" w:rsidP="00221AAF">
            <w:pPr>
              <w:pStyle w:val="Compact"/>
            </w:pPr>
            <w:r w:rsidRPr="00221AAF">
              <w:t>0.152</w:t>
            </w:r>
          </w:p>
        </w:tc>
        <w:tc>
          <w:tcPr>
            <w:tcW w:w="0" w:type="auto"/>
          </w:tcPr>
          <w:p w:rsidR="00DD760D" w:rsidRPr="00221AAF" w:rsidRDefault="00221AAF" w:rsidP="00221AAF">
            <w:pPr>
              <w:pStyle w:val="Compact"/>
            </w:pPr>
            <w:r w:rsidRPr="00221AAF">
              <w:t>0.262</w:t>
            </w:r>
          </w:p>
        </w:tc>
        <w:tc>
          <w:tcPr>
            <w:tcW w:w="0" w:type="auto"/>
          </w:tcPr>
          <w:p w:rsidR="00DD760D" w:rsidRPr="00221AAF" w:rsidRDefault="00221AAF" w:rsidP="00221AAF">
            <w:pPr>
              <w:pStyle w:val="Compact"/>
            </w:pPr>
            <w:r w:rsidRPr="00221AAF">
              <w:t>4.236**</w:t>
            </w:r>
          </w:p>
        </w:tc>
      </w:tr>
      <w:tr w:rsidR="00DD760D" w:rsidRPr="00221AAF" w:rsidTr="00221AAF">
        <w:trPr>
          <w:jc w:val="center"/>
        </w:trPr>
        <w:tc>
          <w:tcPr>
            <w:tcW w:w="0" w:type="auto"/>
          </w:tcPr>
          <w:p w:rsidR="00DD760D" w:rsidRPr="00221AAF" w:rsidRDefault="00221AAF" w:rsidP="00221AAF">
            <w:pPr>
              <w:pStyle w:val="Compact"/>
            </w:pPr>
            <w:r w:rsidRPr="00221AAF">
              <w:t>Mali</w:t>
            </w:r>
          </w:p>
        </w:tc>
        <w:tc>
          <w:tcPr>
            <w:tcW w:w="0" w:type="auto"/>
          </w:tcPr>
          <w:p w:rsidR="00DD760D" w:rsidRPr="00221AAF" w:rsidRDefault="00221AAF" w:rsidP="00221AAF">
            <w:pPr>
              <w:pStyle w:val="Compact"/>
            </w:pPr>
            <w:r w:rsidRPr="00221AAF">
              <w:t>0.426</w:t>
            </w:r>
          </w:p>
        </w:tc>
        <w:tc>
          <w:tcPr>
            <w:tcW w:w="0" w:type="auto"/>
          </w:tcPr>
          <w:p w:rsidR="00DD760D" w:rsidRPr="00221AAF" w:rsidRDefault="00221AAF" w:rsidP="00221AAF">
            <w:pPr>
              <w:pStyle w:val="Compact"/>
            </w:pPr>
            <w:r w:rsidRPr="00221AAF">
              <w:t>8.601***</w:t>
            </w:r>
          </w:p>
        </w:tc>
        <w:tc>
          <w:tcPr>
            <w:tcW w:w="0" w:type="auto"/>
          </w:tcPr>
          <w:p w:rsidR="00DD760D" w:rsidRPr="00221AAF" w:rsidRDefault="00221AAF" w:rsidP="00221AAF">
            <w:pPr>
              <w:pStyle w:val="Compact"/>
            </w:pPr>
            <w:r w:rsidRPr="00221AAF">
              <w:t>-4.706***</w:t>
            </w:r>
          </w:p>
        </w:tc>
        <w:tc>
          <w:tcPr>
            <w:tcW w:w="0" w:type="auto"/>
          </w:tcPr>
          <w:p w:rsidR="00DD760D" w:rsidRPr="00221AAF" w:rsidRDefault="00221AAF" w:rsidP="00221AAF">
            <w:pPr>
              <w:pStyle w:val="Compact"/>
            </w:pPr>
            <w:r w:rsidRPr="00221AAF">
              <w:t>-3.373***</w:t>
            </w:r>
          </w:p>
        </w:tc>
        <w:tc>
          <w:tcPr>
            <w:tcW w:w="0" w:type="auto"/>
          </w:tcPr>
          <w:p w:rsidR="00DD760D" w:rsidRPr="00221AAF" w:rsidRDefault="00221AAF" w:rsidP="00221AAF">
            <w:pPr>
              <w:pStyle w:val="Compact"/>
            </w:pPr>
            <w:r w:rsidRPr="00221AAF">
              <w:t>3.007***</w:t>
            </w:r>
          </w:p>
        </w:tc>
        <w:tc>
          <w:tcPr>
            <w:tcW w:w="0" w:type="auto"/>
          </w:tcPr>
          <w:p w:rsidR="00DD760D" w:rsidRPr="00221AAF" w:rsidRDefault="00221AAF" w:rsidP="00221AAF">
            <w:pPr>
              <w:pStyle w:val="Compact"/>
            </w:pPr>
            <w:r w:rsidRPr="00221AAF">
              <w:t>52.136***</w:t>
            </w:r>
          </w:p>
        </w:tc>
      </w:tr>
      <w:tr w:rsidR="00DD760D" w:rsidRPr="00221AAF" w:rsidTr="00221AAF">
        <w:trPr>
          <w:jc w:val="center"/>
        </w:trPr>
        <w:tc>
          <w:tcPr>
            <w:tcW w:w="0" w:type="auto"/>
          </w:tcPr>
          <w:p w:rsidR="00DD760D" w:rsidRPr="00221AAF" w:rsidRDefault="00221AAF" w:rsidP="00221AAF">
            <w:pPr>
              <w:pStyle w:val="Compact"/>
            </w:pPr>
            <w:r w:rsidRPr="00221AAF">
              <w:t>Niger</w:t>
            </w:r>
          </w:p>
        </w:tc>
        <w:tc>
          <w:tcPr>
            <w:tcW w:w="0" w:type="auto"/>
          </w:tcPr>
          <w:p w:rsidR="00DD760D" w:rsidRPr="00221AAF" w:rsidRDefault="00221AAF" w:rsidP="00221AAF">
            <w:pPr>
              <w:pStyle w:val="Compact"/>
            </w:pPr>
            <w:r w:rsidRPr="00221AAF">
              <w:t>-0.939</w:t>
            </w:r>
          </w:p>
        </w:tc>
        <w:tc>
          <w:tcPr>
            <w:tcW w:w="0" w:type="auto"/>
          </w:tcPr>
          <w:p w:rsidR="00DD760D" w:rsidRPr="00221AAF" w:rsidRDefault="00221AAF" w:rsidP="00221AAF">
            <w:pPr>
              <w:pStyle w:val="Compact"/>
            </w:pPr>
            <w:r w:rsidRPr="00221AAF">
              <w:t>0.223</w:t>
            </w:r>
          </w:p>
        </w:tc>
        <w:tc>
          <w:tcPr>
            <w:tcW w:w="0" w:type="auto"/>
          </w:tcPr>
          <w:p w:rsidR="00DD760D" w:rsidRPr="00221AAF" w:rsidRDefault="00221AAF" w:rsidP="00221AAF">
            <w:pPr>
              <w:pStyle w:val="Compact"/>
            </w:pPr>
            <w:r w:rsidRPr="00221AAF">
              <w:t>0.623</w:t>
            </w:r>
          </w:p>
        </w:tc>
        <w:tc>
          <w:tcPr>
            <w:tcW w:w="0" w:type="auto"/>
          </w:tcPr>
          <w:p w:rsidR="00DD760D" w:rsidRPr="00221AAF" w:rsidRDefault="00221AAF" w:rsidP="00221AAF">
            <w:pPr>
              <w:pStyle w:val="Compact"/>
            </w:pPr>
            <w:r w:rsidRPr="00221AAF">
              <w:t>0.042</w:t>
            </w:r>
          </w:p>
        </w:tc>
        <w:tc>
          <w:tcPr>
            <w:tcW w:w="0" w:type="auto"/>
          </w:tcPr>
          <w:p w:rsidR="00DD760D" w:rsidRPr="00221AAF" w:rsidRDefault="00221AAF" w:rsidP="00221AAF">
            <w:pPr>
              <w:pStyle w:val="Compact"/>
            </w:pPr>
            <w:r w:rsidRPr="00221AAF">
              <w:t>-0.095</w:t>
            </w:r>
          </w:p>
        </w:tc>
        <w:tc>
          <w:tcPr>
            <w:tcW w:w="0" w:type="auto"/>
          </w:tcPr>
          <w:p w:rsidR="00DD760D" w:rsidRPr="00221AAF" w:rsidRDefault="00221AAF" w:rsidP="00221AAF">
            <w:pPr>
              <w:pStyle w:val="Compact"/>
            </w:pPr>
            <w:r w:rsidRPr="00221AAF">
              <w:t>0.419</w:t>
            </w:r>
          </w:p>
        </w:tc>
      </w:tr>
      <w:tr w:rsidR="00DD760D" w:rsidRPr="00221AAF" w:rsidTr="00221AAF">
        <w:trPr>
          <w:jc w:val="center"/>
        </w:trPr>
        <w:tc>
          <w:tcPr>
            <w:tcW w:w="0" w:type="auto"/>
          </w:tcPr>
          <w:p w:rsidR="00DD760D" w:rsidRPr="00221AAF" w:rsidRDefault="00221AAF" w:rsidP="00221AAF">
            <w:pPr>
              <w:pStyle w:val="Compact"/>
            </w:pPr>
            <w:r w:rsidRPr="00221AAF">
              <w:t>Nigeria</w:t>
            </w:r>
          </w:p>
        </w:tc>
        <w:tc>
          <w:tcPr>
            <w:tcW w:w="0" w:type="auto"/>
          </w:tcPr>
          <w:p w:rsidR="00DD760D" w:rsidRPr="00221AAF" w:rsidRDefault="00221AAF" w:rsidP="00221AAF">
            <w:pPr>
              <w:pStyle w:val="Compact"/>
            </w:pPr>
            <w:r w:rsidRPr="00221AAF">
              <w:t>-5.310**</w:t>
            </w:r>
          </w:p>
        </w:tc>
        <w:tc>
          <w:tcPr>
            <w:tcW w:w="0" w:type="auto"/>
          </w:tcPr>
          <w:p w:rsidR="00DD760D" w:rsidRPr="00221AAF" w:rsidRDefault="00221AAF" w:rsidP="00221AAF">
            <w:pPr>
              <w:pStyle w:val="Compact"/>
            </w:pPr>
            <w:r w:rsidRPr="00221AAF">
              <w:t>1.605***</w:t>
            </w:r>
          </w:p>
        </w:tc>
        <w:tc>
          <w:tcPr>
            <w:tcW w:w="0" w:type="auto"/>
          </w:tcPr>
          <w:p w:rsidR="00DD760D" w:rsidRPr="00221AAF" w:rsidRDefault="00221AAF" w:rsidP="00221AAF">
            <w:pPr>
              <w:pStyle w:val="Compact"/>
            </w:pPr>
            <w:r w:rsidRPr="00221AAF">
              <w:t>1.035***</w:t>
            </w:r>
          </w:p>
        </w:tc>
        <w:tc>
          <w:tcPr>
            <w:tcW w:w="0" w:type="auto"/>
          </w:tcPr>
          <w:p w:rsidR="00DD760D" w:rsidRPr="00221AAF" w:rsidRDefault="00221AAF" w:rsidP="00221AAF">
            <w:pPr>
              <w:pStyle w:val="Compact"/>
            </w:pPr>
            <w:r w:rsidRPr="00221AAF">
              <w:t>0.099</w:t>
            </w:r>
          </w:p>
        </w:tc>
        <w:tc>
          <w:tcPr>
            <w:tcW w:w="0" w:type="auto"/>
          </w:tcPr>
          <w:p w:rsidR="00DD760D" w:rsidRPr="00221AAF" w:rsidRDefault="00221AAF" w:rsidP="00221AAF">
            <w:pPr>
              <w:pStyle w:val="Compact"/>
            </w:pPr>
            <w:r w:rsidRPr="00221AAF">
              <w:t>0.131*</w:t>
            </w:r>
          </w:p>
        </w:tc>
        <w:tc>
          <w:tcPr>
            <w:tcW w:w="0" w:type="auto"/>
          </w:tcPr>
          <w:p w:rsidR="00DD760D" w:rsidRPr="00221AAF" w:rsidRDefault="00221AAF" w:rsidP="00221AAF">
            <w:pPr>
              <w:pStyle w:val="Compact"/>
            </w:pPr>
            <w:r w:rsidRPr="00221AAF">
              <w:t>5.251**</w:t>
            </w:r>
          </w:p>
        </w:tc>
      </w:tr>
      <w:tr w:rsidR="00DD760D" w:rsidRPr="00221AAF" w:rsidTr="00221AAF">
        <w:trPr>
          <w:jc w:val="center"/>
        </w:trPr>
        <w:tc>
          <w:tcPr>
            <w:tcW w:w="0" w:type="auto"/>
          </w:tcPr>
          <w:p w:rsidR="00DD760D" w:rsidRPr="00221AAF" w:rsidRDefault="00221AAF" w:rsidP="00221AAF">
            <w:pPr>
              <w:pStyle w:val="Compact"/>
            </w:pPr>
            <w:r w:rsidRPr="00221AAF">
              <w:t>Senegal</w:t>
            </w:r>
          </w:p>
        </w:tc>
        <w:tc>
          <w:tcPr>
            <w:tcW w:w="0" w:type="auto"/>
          </w:tcPr>
          <w:p w:rsidR="00DD760D" w:rsidRPr="00221AAF" w:rsidRDefault="00221AAF" w:rsidP="00221AAF">
            <w:pPr>
              <w:pStyle w:val="Compact"/>
            </w:pPr>
            <w:r w:rsidRPr="00221AAF">
              <w:t>3.55</w:t>
            </w:r>
          </w:p>
        </w:tc>
        <w:tc>
          <w:tcPr>
            <w:tcW w:w="0" w:type="auto"/>
          </w:tcPr>
          <w:p w:rsidR="00DD760D" w:rsidRPr="00221AAF" w:rsidRDefault="00221AAF" w:rsidP="00221AAF">
            <w:pPr>
              <w:pStyle w:val="Compact"/>
            </w:pPr>
            <w:r w:rsidRPr="00221AAF">
              <w:t>-0.894*</w:t>
            </w:r>
          </w:p>
        </w:tc>
        <w:tc>
          <w:tcPr>
            <w:tcW w:w="0" w:type="auto"/>
          </w:tcPr>
          <w:p w:rsidR="00DD760D" w:rsidRPr="00221AAF" w:rsidRDefault="00221AAF" w:rsidP="00221AAF">
            <w:pPr>
              <w:pStyle w:val="Compact"/>
            </w:pPr>
            <w:r w:rsidRPr="00221AAF">
              <w:t>0.993</w:t>
            </w:r>
          </w:p>
        </w:tc>
        <w:tc>
          <w:tcPr>
            <w:tcW w:w="0" w:type="auto"/>
          </w:tcPr>
          <w:p w:rsidR="00DD760D" w:rsidRPr="00221AAF" w:rsidRDefault="00221AAF" w:rsidP="00221AAF">
            <w:pPr>
              <w:pStyle w:val="Compact"/>
            </w:pPr>
            <w:r w:rsidRPr="00221AAF">
              <w:t>0.171***</w:t>
            </w:r>
          </w:p>
        </w:tc>
        <w:tc>
          <w:tcPr>
            <w:tcW w:w="0" w:type="auto"/>
          </w:tcPr>
          <w:p w:rsidR="00DD760D" w:rsidRPr="00221AAF" w:rsidRDefault="00221AAF" w:rsidP="00221AAF">
            <w:pPr>
              <w:pStyle w:val="Compact"/>
            </w:pPr>
            <w:r w:rsidRPr="00221AAF">
              <w:t>0.055</w:t>
            </w:r>
          </w:p>
        </w:tc>
        <w:tc>
          <w:tcPr>
            <w:tcW w:w="0" w:type="auto"/>
          </w:tcPr>
          <w:p w:rsidR="00DD760D" w:rsidRPr="00221AAF" w:rsidRDefault="00221AAF" w:rsidP="00221AAF">
            <w:pPr>
              <w:pStyle w:val="Compact"/>
            </w:pPr>
            <w:r w:rsidRPr="00221AAF">
              <w:t>12.787***</w:t>
            </w:r>
          </w:p>
        </w:tc>
      </w:tr>
      <w:tr w:rsidR="00DD760D" w:rsidRPr="00221AAF" w:rsidTr="00221AAF">
        <w:trPr>
          <w:jc w:val="center"/>
        </w:trPr>
        <w:tc>
          <w:tcPr>
            <w:tcW w:w="0" w:type="auto"/>
          </w:tcPr>
          <w:p w:rsidR="00DD760D" w:rsidRPr="00221AAF" w:rsidRDefault="00221AAF" w:rsidP="00221AAF">
            <w:pPr>
              <w:pStyle w:val="Compact"/>
            </w:pPr>
            <w:r w:rsidRPr="00221AAF">
              <w:t>Togo</w:t>
            </w:r>
          </w:p>
        </w:tc>
        <w:tc>
          <w:tcPr>
            <w:tcW w:w="0" w:type="auto"/>
          </w:tcPr>
          <w:p w:rsidR="00DD760D" w:rsidRPr="00221AAF" w:rsidRDefault="00221AAF" w:rsidP="00221AAF">
            <w:pPr>
              <w:pStyle w:val="Compact"/>
            </w:pPr>
            <w:r w:rsidRPr="00221AAF">
              <w:t>0.099</w:t>
            </w:r>
          </w:p>
        </w:tc>
        <w:tc>
          <w:tcPr>
            <w:tcW w:w="0" w:type="auto"/>
          </w:tcPr>
          <w:p w:rsidR="00DD760D" w:rsidRPr="00221AAF" w:rsidRDefault="00221AAF" w:rsidP="00221AAF">
            <w:pPr>
              <w:pStyle w:val="Compact"/>
            </w:pPr>
            <w:r w:rsidRPr="00221AAF">
              <w:t>-1.005**</w:t>
            </w:r>
          </w:p>
        </w:tc>
        <w:tc>
          <w:tcPr>
            <w:tcW w:w="0" w:type="auto"/>
          </w:tcPr>
          <w:p w:rsidR="00DD760D" w:rsidRPr="00221AAF" w:rsidRDefault="00221AAF" w:rsidP="00221AAF">
            <w:pPr>
              <w:pStyle w:val="Compact"/>
            </w:pPr>
            <w:r w:rsidRPr="00221AAF">
              <w:t>1.376**</w:t>
            </w:r>
          </w:p>
        </w:tc>
        <w:tc>
          <w:tcPr>
            <w:tcW w:w="0" w:type="auto"/>
          </w:tcPr>
          <w:p w:rsidR="00DD760D" w:rsidRPr="00221AAF" w:rsidRDefault="00221AAF" w:rsidP="00221AAF">
            <w:pPr>
              <w:pStyle w:val="Compact"/>
            </w:pPr>
            <w:r w:rsidRPr="00221AAF">
              <w:t>-0.204***</w:t>
            </w:r>
          </w:p>
        </w:tc>
        <w:tc>
          <w:tcPr>
            <w:tcW w:w="0" w:type="auto"/>
          </w:tcPr>
          <w:p w:rsidR="00DD760D" w:rsidRPr="00221AAF" w:rsidRDefault="00221AAF" w:rsidP="00221AAF">
            <w:pPr>
              <w:pStyle w:val="Compact"/>
            </w:pPr>
            <w:r w:rsidRPr="00221AAF">
              <w:t>-0.278***</w:t>
            </w:r>
          </w:p>
        </w:tc>
        <w:tc>
          <w:tcPr>
            <w:tcW w:w="0" w:type="auto"/>
          </w:tcPr>
          <w:p w:rsidR="00DD760D" w:rsidRPr="00221AAF" w:rsidRDefault="00221AAF" w:rsidP="00221AAF">
            <w:pPr>
              <w:pStyle w:val="Compact"/>
            </w:pPr>
            <w:r w:rsidRPr="00221AAF">
              <w:t>14.736***</w:t>
            </w:r>
          </w:p>
        </w:tc>
      </w:tr>
      <w:tr w:rsidR="00DD760D" w:rsidRPr="00221AAF" w:rsidTr="00221AAF">
        <w:tblPrEx>
          <w:tblLook w:val="07C0" w:firstRow="0" w:lastRow="1" w:firstColumn="1" w:lastColumn="1" w:noHBand="1" w:noVBand="1"/>
        </w:tblPrEx>
        <w:trPr>
          <w:jc w:val="center"/>
        </w:trPr>
        <w:tc>
          <w:tcPr>
            <w:tcW w:w="0" w:type="auto"/>
            <w:gridSpan w:val="7"/>
          </w:tcPr>
          <w:p w:rsidR="00DD760D" w:rsidRPr="00221AAF" w:rsidRDefault="00221AAF" w:rsidP="00221AAF">
            <w:pPr>
              <w:pStyle w:val="Compact"/>
            </w:pPr>
            <w:r w:rsidRPr="00221AAF">
              <w:t xml:space="preserve">Note that *, ** and *** indicate significance at 10%, 5% and 1% respectively. The long run coefficients are calcualated as </w:t>
            </w:r>
            <m:oMath>
              <m:r>
                <w:rPr>
                  <w:rFonts w:ascii="Cambria Math" w:hAnsi="Cambria Math"/>
                </w:rPr>
                <m:t>lnY=-</m:t>
              </m:r>
              <m:f>
                <m:fPr>
                  <m:ctrlPr>
                    <w:rPr>
                      <w:rFonts w:ascii="Cambria Math" w:hAnsi="Cambria Math"/>
                    </w:rPr>
                  </m:ctrlPr>
                </m:fPr>
                <m:num>
                  <m:sSub>
                    <m:sSubPr>
                      <m:ctrlPr>
                        <w:rPr>
                          <w:rFonts w:ascii="Cambria Math" w:hAnsi="Cambria Math"/>
                        </w:rPr>
                      </m:ctrlPr>
                    </m:sSubPr>
                    <m:e>
                      <m:r>
                        <w:rPr>
                          <w:rFonts w:ascii="Cambria Math" w:hAnsi="Cambria Math"/>
                        </w:rPr>
                        <m:t>δ</m:t>
                      </m:r>
                    </m:e>
                    <m:sub>
                      <m:r>
                        <w:rPr>
                          <w:rFonts w:ascii="Cambria Math" w:hAnsi="Cambria Math"/>
                        </w:rPr>
                        <m:t>1</m:t>
                      </m:r>
                    </m:sub>
                  </m:sSub>
                </m:num>
                <m:den>
                  <m:sSub>
                    <m:sSubPr>
                      <m:ctrlPr>
                        <w:rPr>
                          <w:rFonts w:ascii="Cambria Math" w:hAnsi="Cambria Math"/>
                        </w:rPr>
                      </m:ctrlPr>
                    </m:sSubPr>
                    <m:e>
                      <m:r>
                        <w:rPr>
                          <w:rFonts w:ascii="Cambria Math" w:hAnsi="Cambria Math"/>
                        </w:rPr>
                        <m:t>δ</m:t>
                      </m:r>
                    </m:e>
                    <m:sub>
                      <m:r>
                        <w:rPr>
                          <w:rFonts w:ascii="Cambria Math" w:hAnsi="Cambria Math"/>
                        </w:rPr>
                        <m:t>0</m:t>
                      </m:r>
                    </m:sub>
                  </m:sSub>
                </m:den>
              </m:f>
            </m:oMath>
            <w:r w:rsidRPr="00221AAF">
              <w:t xml:space="preserve"> , </w:t>
            </w:r>
            <m:oMath>
              <m:r>
                <w:rPr>
                  <w:rFonts w:ascii="Cambria Math" w:hAnsi="Cambria Math"/>
                </w:rPr>
                <m:t>lnR=-</m:t>
              </m:r>
              <m:f>
                <m:fPr>
                  <m:ctrlPr>
                    <w:rPr>
                      <w:rFonts w:ascii="Cambria Math" w:hAnsi="Cambria Math"/>
                    </w:rPr>
                  </m:ctrlPr>
                </m:fPr>
                <m:num>
                  <m:sSub>
                    <m:sSubPr>
                      <m:ctrlPr>
                        <w:rPr>
                          <w:rFonts w:ascii="Cambria Math" w:hAnsi="Cambria Math"/>
                        </w:rPr>
                      </m:ctrlPr>
                    </m:sSubPr>
                    <m:e>
                      <m:r>
                        <w:rPr>
                          <w:rFonts w:ascii="Cambria Math" w:hAnsi="Cambria Math"/>
                        </w:rPr>
                        <m:t>δ</m:t>
                      </m:r>
                    </m:e>
                    <m:sub>
                      <m:r>
                        <w:rPr>
                          <w:rFonts w:ascii="Cambria Math" w:hAnsi="Cambria Math"/>
                        </w:rPr>
                        <m:t>2</m:t>
                      </m:r>
                    </m:sub>
                  </m:sSub>
                </m:num>
                <m:den>
                  <m:sSub>
                    <m:sSubPr>
                      <m:ctrlPr>
                        <w:rPr>
                          <w:rFonts w:ascii="Cambria Math" w:hAnsi="Cambria Math"/>
                        </w:rPr>
                      </m:ctrlPr>
                    </m:sSubPr>
                    <m:e>
                      <m:r>
                        <w:rPr>
                          <w:rFonts w:ascii="Cambria Math" w:hAnsi="Cambria Math"/>
                        </w:rPr>
                        <m:t>δ</m:t>
                      </m:r>
                    </m:e>
                    <m:sub>
                      <m:r>
                        <w:rPr>
                          <w:rFonts w:ascii="Cambria Math" w:hAnsi="Cambria Math"/>
                        </w:rPr>
                        <m:t>0</m:t>
                      </m:r>
                    </m:sub>
                  </m:sSub>
                </m:den>
              </m:f>
            </m:oMath>
            <w:r w:rsidRPr="00221AAF">
              <w:t xml:space="preserve">, </w:t>
            </w:r>
            <m:oMath>
              <m:r>
                <w:rPr>
                  <w:rFonts w:ascii="Cambria Math" w:hAnsi="Cambria Math"/>
                </w:rPr>
                <m:t>ln</m:t>
              </m:r>
              <m:sSubSup>
                <m:sSubSupPr>
                  <m:ctrlPr>
                    <w:rPr>
                      <w:rFonts w:ascii="Cambria Math" w:hAnsi="Cambria Math"/>
                    </w:rPr>
                  </m:ctrlPr>
                </m:sSubSupPr>
                <m:e>
                  <m:r>
                    <w:rPr>
                      <w:rFonts w:ascii="Cambria Math" w:hAnsi="Cambria Math"/>
                    </w:rPr>
                    <m:t>V</m:t>
                  </m:r>
                </m:e>
                <m:sub>
                  <m:r>
                    <w:rPr>
                      <w:rFonts w:ascii="Cambria Math" w:hAnsi="Cambria Math"/>
                    </w:rPr>
                    <m:t>t</m:t>
                  </m:r>
                </m:sub>
                <m:sup>
                  <m:r>
                    <w:rPr>
                      <w:rFonts w:ascii="Cambria Math" w:hAnsi="Cambria Math"/>
                    </w:rPr>
                    <m:t>+</m:t>
                  </m:r>
                </m:sup>
              </m:sSubSup>
              <m: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δ</m:t>
                      </m:r>
                    </m:e>
                    <m:sup>
                      <m:r>
                        <w:rPr>
                          <w:rFonts w:ascii="Cambria Math" w:hAnsi="Cambria Math"/>
                        </w:rPr>
                        <m:t>+</m:t>
                      </m:r>
                    </m:sup>
                  </m:sSup>
                </m:num>
                <m:den>
                  <m:sSub>
                    <m:sSubPr>
                      <m:ctrlPr>
                        <w:rPr>
                          <w:rFonts w:ascii="Cambria Math" w:hAnsi="Cambria Math"/>
                        </w:rPr>
                      </m:ctrlPr>
                    </m:sSubPr>
                    <m:e>
                      <m:r>
                        <w:rPr>
                          <w:rFonts w:ascii="Cambria Math" w:hAnsi="Cambria Math"/>
                        </w:rPr>
                        <m:t>δ</m:t>
                      </m:r>
                    </m:e>
                    <m:sub>
                      <m:r>
                        <w:rPr>
                          <w:rFonts w:ascii="Cambria Math" w:hAnsi="Cambria Math"/>
                        </w:rPr>
                        <m:t>0</m:t>
                      </m:r>
                    </m:sub>
                  </m:sSub>
                </m:den>
              </m:f>
            </m:oMath>
            <w:r w:rsidRPr="00221AAF">
              <w:t xml:space="preserve"> and </w:t>
            </w:r>
            <m:oMath>
              <m:r>
                <w:rPr>
                  <w:rFonts w:ascii="Cambria Math" w:hAnsi="Cambria Math"/>
                </w:rPr>
                <m:t>ln</m:t>
              </m:r>
              <m:sSubSup>
                <m:sSubSupPr>
                  <m:ctrlPr>
                    <w:rPr>
                      <w:rFonts w:ascii="Cambria Math" w:hAnsi="Cambria Math"/>
                    </w:rPr>
                  </m:ctrlPr>
                </m:sSubSupPr>
                <m:e>
                  <m:r>
                    <w:rPr>
                      <w:rFonts w:ascii="Cambria Math" w:hAnsi="Cambria Math"/>
                    </w:rPr>
                    <m:t>V</m:t>
                  </m:r>
                </m:e>
                <m:sub>
                  <m:r>
                    <w:rPr>
                      <w:rFonts w:ascii="Cambria Math" w:hAnsi="Cambria Math"/>
                    </w:rPr>
                    <m:t>t</m:t>
                  </m:r>
                </m:sub>
                <m:sup>
                  <m:r>
                    <w:rPr>
                      <w:rFonts w:ascii="Cambria Math" w:hAnsi="Cambria Math"/>
                    </w:rPr>
                    <m:t>-</m:t>
                  </m:r>
                </m:sup>
              </m:sSubSup>
              <m: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δ</m:t>
                      </m:r>
                    </m:e>
                    <m:sup>
                      <m:r>
                        <w:rPr>
                          <w:rFonts w:ascii="Cambria Math" w:hAnsi="Cambria Math"/>
                        </w:rPr>
                        <m:t>-</m:t>
                      </m:r>
                    </m:sup>
                  </m:sSup>
                </m:num>
                <m:den>
                  <m:sSub>
                    <m:sSubPr>
                      <m:ctrlPr>
                        <w:rPr>
                          <w:rFonts w:ascii="Cambria Math" w:hAnsi="Cambria Math"/>
                        </w:rPr>
                      </m:ctrlPr>
                    </m:sSubPr>
                    <m:e>
                      <m:r>
                        <w:rPr>
                          <w:rFonts w:ascii="Cambria Math" w:hAnsi="Cambria Math"/>
                        </w:rPr>
                        <m:t>δ</m:t>
                      </m:r>
                    </m:e>
                    <m:sub>
                      <m:r>
                        <w:rPr>
                          <w:rFonts w:ascii="Cambria Math" w:hAnsi="Cambria Math"/>
                        </w:rPr>
                        <m:t>0</m:t>
                      </m:r>
                    </m:sub>
                  </m:sSub>
                </m:den>
              </m:f>
            </m:oMath>
            <w:r w:rsidRPr="00221AAF">
              <w:t xml:space="preserve">. While </w:t>
            </w:r>
            <m:oMath>
              <m:sSubSup>
                <m:sSubSupPr>
                  <m:ctrlPr>
                    <w:rPr>
                      <w:rFonts w:ascii="Cambria Math" w:hAnsi="Cambria Math"/>
                    </w:rPr>
                  </m:ctrlPr>
                </m:sSubSupPr>
                <m:e>
                  <m:r>
                    <w:rPr>
                      <w:rFonts w:ascii="Cambria Math" w:hAnsi="Cambria Math"/>
                    </w:rPr>
                    <m:t>χ</m:t>
                  </m:r>
                </m:e>
                <m:sub>
                  <m:r>
                    <w:rPr>
                      <w:rFonts w:ascii="Cambria Math" w:hAnsi="Cambria Math"/>
                    </w:rPr>
                    <m:t>LR</m:t>
                  </m:r>
                </m:sub>
                <m:sup>
                  <m:r>
                    <w:rPr>
                      <w:rFonts w:ascii="Cambria Math" w:hAnsi="Cambria Math"/>
                    </w:rPr>
                    <m:t>2</m:t>
                  </m:r>
                </m:sup>
              </m:sSubSup>
            </m:oMath>
            <w:r w:rsidRPr="00221AAF">
              <w:t xml:space="preserve"> refers to the Chi-square value for the Wald test </w:t>
            </w:r>
            <m:oMath>
              <m: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δ</m:t>
                      </m:r>
                    </m:e>
                    <m:sup>
                      <m:r>
                        <w:rPr>
                          <w:rFonts w:ascii="Cambria Math" w:hAnsi="Cambria Math"/>
                        </w:rPr>
                        <m:t>+</m:t>
                      </m:r>
                    </m:sup>
                  </m:sSup>
                </m:num>
                <m:den>
                  <m:sSub>
                    <m:sSubPr>
                      <m:ctrlPr>
                        <w:rPr>
                          <w:rFonts w:ascii="Cambria Math" w:hAnsi="Cambria Math"/>
                        </w:rPr>
                      </m:ctrlPr>
                    </m:sSubPr>
                    <m:e>
                      <m:r>
                        <w:rPr>
                          <w:rFonts w:ascii="Cambria Math" w:hAnsi="Cambria Math"/>
                        </w:rPr>
                        <m:t>δ</m:t>
                      </m:r>
                    </m:e>
                    <m:sub>
                      <m:r>
                        <w:rPr>
                          <w:rFonts w:ascii="Cambria Math" w:hAnsi="Cambria Math"/>
                        </w:rPr>
                        <m:t>0</m:t>
                      </m:r>
                    </m:sub>
                  </m:sSub>
                </m:den>
              </m:f>
              <m: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δ</m:t>
                      </m:r>
                    </m:e>
                    <m:sup>
                      <m:r>
                        <w:rPr>
                          <w:rFonts w:ascii="Cambria Math" w:hAnsi="Cambria Math"/>
                        </w:rPr>
                        <m:t>-</m:t>
                      </m:r>
                    </m:sup>
                  </m:sSup>
                </m:num>
                <m:den>
                  <m:sSub>
                    <m:sSubPr>
                      <m:ctrlPr>
                        <w:rPr>
                          <w:rFonts w:ascii="Cambria Math" w:hAnsi="Cambria Math"/>
                        </w:rPr>
                      </m:ctrlPr>
                    </m:sSubPr>
                    <m:e>
                      <m:r>
                        <w:rPr>
                          <w:rFonts w:ascii="Cambria Math" w:hAnsi="Cambria Math"/>
                        </w:rPr>
                        <m:t>δ</m:t>
                      </m:r>
                    </m:e>
                    <m:sub>
                      <m:r>
                        <w:rPr>
                          <w:rFonts w:ascii="Cambria Math" w:hAnsi="Cambria Math"/>
                        </w:rPr>
                        <m:t>0</m:t>
                      </m:r>
                    </m:sub>
                  </m:sSub>
                </m:den>
              </m:f>
            </m:oMath>
            <w:r w:rsidRPr="00221AAF">
              <w:t xml:space="preserve"> for the null hypothesis of long run symmetry.</w:t>
            </w:r>
          </w:p>
        </w:tc>
      </w:tr>
    </w:tbl>
    <w:p w:rsidR="00DD760D" w:rsidRDefault="00221AAF">
      <w:pPr>
        <w:pStyle w:val="BodyText"/>
      </w:pPr>
      <w:r>
        <w:t>Looking at the short run coefficients for the export equation from Table 7, it is clear that both negative and positive volatility coefficients exert influence on Ghana, Senegal and Benin only. Based on this, exchange rate volatility does not affect the export of most ECOWAS countries in the short run.</w:t>
      </w:r>
    </w:p>
    <w:p w:rsidR="00DD760D" w:rsidRDefault="00221AAF">
      <w:pPr>
        <w:pStyle w:val="TableCaption"/>
      </w:pPr>
      <w:r>
        <w:t>Table 7: Short run estimates of the export equation: NARDL</w:t>
      </w:r>
    </w:p>
    <w:tbl>
      <w:tblPr>
        <w:tblStyle w:val="Table"/>
        <w:tblW w:w="0" w:type="pct"/>
        <w:jc w:val="center"/>
        <w:tblLook w:val="07E0" w:firstRow="1" w:lastRow="1" w:firstColumn="1" w:lastColumn="1" w:noHBand="1" w:noVBand="1"/>
        <w:tblCaption w:val="Table 7: Short run estimates of the export equation: NARDL"/>
      </w:tblPr>
      <w:tblGrid>
        <w:gridCol w:w="876"/>
        <w:gridCol w:w="850"/>
        <w:gridCol w:w="933"/>
        <w:gridCol w:w="733"/>
        <w:gridCol w:w="872"/>
        <w:gridCol w:w="733"/>
        <w:gridCol w:w="733"/>
        <w:gridCol w:w="1033"/>
        <w:gridCol w:w="928"/>
        <w:gridCol w:w="733"/>
      </w:tblGrid>
      <w:tr w:rsidR="00DD760D" w:rsidRPr="00221AAF" w:rsidTr="00221AAF">
        <w:trPr>
          <w:jc w:val="center"/>
        </w:trPr>
        <w:tc>
          <w:tcPr>
            <w:tcW w:w="0" w:type="auto"/>
            <w:tcBorders>
              <w:bottom w:val="single" w:sz="0" w:space="0" w:color="auto"/>
            </w:tcBorders>
            <w:vAlign w:val="bottom"/>
          </w:tcPr>
          <w:p w:rsidR="00DD760D" w:rsidRPr="00221AAF" w:rsidRDefault="00DD760D" w:rsidP="00221AAF">
            <w:pPr>
              <w:jc w:val="both"/>
              <w:rPr>
                <w:b/>
                <w:sz w:val="20"/>
              </w:rPr>
            </w:pPr>
          </w:p>
        </w:tc>
        <w:tc>
          <w:tcPr>
            <w:tcW w:w="0" w:type="auto"/>
            <w:tcBorders>
              <w:bottom w:val="single" w:sz="0" w:space="0" w:color="auto"/>
            </w:tcBorders>
            <w:vAlign w:val="bottom"/>
          </w:tcPr>
          <w:p w:rsidR="00DD760D" w:rsidRPr="00221AAF" w:rsidRDefault="00221AAF" w:rsidP="00221AAF">
            <w:pPr>
              <w:pStyle w:val="Compact"/>
              <w:rPr>
                <w:b/>
              </w:rPr>
            </w:pPr>
            <w:r w:rsidRPr="00221AAF">
              <w:rPr>
                <w:b/>
              </w:rPr>
              <w:t>Nigeria</w:t>
            </w:r>
          </w:p>
        </w:tc>
        <w:tc>
          <w:tcPr>
            <w:tcW w:w="0" w:type="auto"/>
            <w:tcBorders>
              <w:bottom w:val="single" w:sz="0" w:space="0" w:color="auto"/>
            </w:tcBorders>
            <w:vAlign w:val="bottom"/>
          </w:tcPr>
          <w:p w:rsidR="00DD760D" w:rsidRPr="00221AAF" w:rsidRDefault="00221AAF" w:rsidP="00221AAF">
            <w:pPr>
              <w:pStyle w:val="Compact"/>
              <w:rPr>
                <w:b/>
              </w:rPr>
            </w:pPr>
            <w:r w:rsidRPr="00221AAF">
              <w:rPr>
                <w:b/>
              </w:rPr>
              <w:t>Ghana</w:t>
            </w:r>
          </w:p>
        </w:tc>
        <w:tc>
          <w:tcPr>
            <w:tcW w:w="0" w:type="auto"/>
            <w:tcBorders>
              <w:bottom w:val="single" w:sz="0" w:space="0" w:color="auto"/>
            </w:tcBorders>
            <w:vAlign w:val="bottom"/>
          </w:tcPr>
          <w:p w:rsidR="00DD760D" w:rsidRPr="00221AAF" w:rsidRDefault="00221AAF" w:rsidP="00221AAF">
            <w:pPr>
              <w:pStyle w:val="Compact"/>
              <w:rPr>
                <w:b/>
              </w:rPr>
            </w:pPr>
            <w:r w:rsidRPr="00221AAF">
              <w:rPr>
                <w:b/>
              </w:rPr>
              <w:t>Mali</w:t>
            </w:r>
          </w:p>
        </w:tc>
        <w:tc>
          <w:tcPr>
            <w:tcW w:w="0" w:type="auto"/>
            <w:tcBorders>
              <w:bottom w:val="single" w:sz="0" w:space="0" w:color="auto"/>
            </w:tcBorders>
            <w:vAlign w:val="bottom"/>
          </w:tcPr>
          <w:p w:rsidR="00DD760D" w:rsidRPr="00221AAF" w:rsidRDefault="00221AAF" w:rsidP="00221AAF">
            <w:pPr>
              <w:pStyle w:val="Compact"/>
              <w:rPr>
                <w:b/>
              </w:rPr>
            </w:pPr>
            <w:r w:rsidRPr="00221AAF">
              <w:rPr>
                <w:b/>
              </w:rPr>
              <w:t>Senegal</w:t>
            </w:r>
          </w:p>
        </w:tc>
        <w:tc>
          <w:tcPr>
            <w:tcW w:w="0" w:type="auto"/>
            <w:tcBorders>
              <w:bottom w:val="single" w:sz="0" w:space="0" w:color="auto"/>
            </w:tcBorders>
            <w:vAlign w:val="bottom"/>
          </w:tcPr>
          <w:p w:rsidR="00DD760D" w:rsidRPr="00221AAF" w:rsidRDefault="00221AAF" w:rsidP="00221AAF">
            <w:pPr>
              <w:pStyle w:val="Compact"/>
              <w:rPr>
                <w:b/>
              </w:rPr>
            </w:pPr>
            <w:r w:rsidRPr="00221AAF">
              <w:rPr>
                <w:b/>
              </w:rPr>
              <w:t>Niger</w:t>
            </w:r>
          </w:p>
        </w:tc>
        <w:tc>
          <w:tcPr>
            <w:tcW w:w="0" w:type="auto"/>
            <w:tcBorders>
              <w:bottom w:val="single" w:sz="0" w:space="0" w:color="auto"/>
            </w:tcBorders>
            <w:vAlign w:val="bottom"/>
          </w:tcPr>
          <w:p w:rsidR="00DD760D" w:rsidRPr="00221AAF" w:rsidRDefault="00221AAF" w:rsidP="00221AAF">
            <w:pPr>
              <w:pStyle w:val="Compact"/>
              <w:rPr>
                <w:b/>
              </w:rPr>
            </w:pPr>
            <w:r w:rsidRPr="00221AAF">
              <w:rPr>
                <w:b/>
              </w:rPr>
              <w:t>Togo</w:t>
            </w:r>
          </w:p>
        </w:tc>
        <w:tc>
          <w:tcPr>
            <w:tcW w:w="0" w:type="auto"/>
            <w:tcBorders>
              <w:bottom w:val="single" w:sz="0" w:space="0" w:color="auto"/>
            </w:tcBorders>
            <w:vAlign w:val="bottom"/>
          </w:tcPr>
          <w:p w:rsidR="00DD760D" w:rsidRPr="00221AAF" w:rsidRDefault="00221AAF" w:rsidP="00221AAF">
            <w:pPr>
              <w:pStyle w:val="Compact"/>
              <w:rPr>
                <w:b/>
              </w:rPr>
            </w:pPr>
            <w:r w:rsidRPr="00221AAF">
              <w:rPr>
                <w:b/>
              </w:rPr>
              <w:t>Benin</w:t>
            </w:r>
          </w:p>
        </w:tc>
        <w:tc>
          <w:tcPr>
            <w:tcW w:w="0" w:type="auto"/>
            <w:tcBorders>
              <w:bottom w:val="single" w:sz="0" w:space="0" w:color="auto"/>
            </w:tcBorders>
            <w:vAlign w:val="bottom"/>
          </w:tcPr>
          <w:p w:rsidR="00DD760D" w:rsidRPr="00221AAF" w:rsidRDefault="00221AAF" w:rsidP="00221AAF">
            <w:pPr>
              <w:pStyle w:val="Compact"/>
              <w:rPr>
                <w:b/>
              </w:rPr>
            </w:pPr>
            <w:r w:rsidRPr="00221AAF">
              <w:rPr>
                <w:b/>
              </w:rPr>
              <w:t>Burkina</w:t>
            </w:r>
          </w:p>
        </w:tc>
        <w:tc>
          <w:tcPr>
            <w:tcW w:w="0" w:type="auto"/>
            <w:tcBorders>
              <w:bottom w:val="single" w:sz="0" w:space="0" w:color="auto"/>
            </w:tcBorders>
            <w:vAlign w:val="bottom"/>
          </w:tcPr>
          <w:p w:rsidR="00DD760D" w:rsidRPr="00221AAF" w:rsidRDefault="00221AAF" w:rsidP="00221AAF">
            <w:pPr>
              <w:pStyle w:val="Compact"/>
              <w:rPr>
                <w:b/>
              </w:rPr>
            </w:pPr>
            <w:r w:rsidRPr="00221AAF">
              <w:rPr>
                <w:b/>
              </w:rPr>
              <w:t>Cote</w:t>
            </w:r>
          </w:p>
        </w:tc>
      </w:tr>
      <w:tr w:rsidR="00DD760D" w:rsidRPr="00221AAF" w:rsidTr="00221AAF">
        <w:trPr>
          <w:jc w:val="center"/>
        </w:trPr>
        <w:tc>
          <w:tcPr>
            <w:tcW w:w="0" w:type="auto"/>
          </w:tcPr>
          <w:p w:rsidR="00DD760D" w:rsidRPr="00221AAF" w:rsidRDefault="00221AAF" w:rsidP="00221AAF">
            <w:pPr>
              <w:pStyle w:val="Compact"/>
            </w:pPr>
            <m:oMathPara>
              <m:oMath>
                <m:r>
                  <w:rPr>
                    <w:rFonts w:ascii="Cambria Math" w:hAnsi="Cambria Math"/>
                  </w:rPr>
                  <m:t>Δln</m:t>
                </m:r>
                <m:sSubSup>
                  <m:sSubSupPr>
                    <m:ctrlPr>
                      <w:rPr>
                        <w:rFonts w:ascii="Cambria Math" w:hAnsi="Cambria Math"/>
                      </w:rPr>
                    </m:ctrlPr>
                  </m:sSubSupPr>
                  <m:e>
                    <m:r>
                      <w:rPr>
                        <w:rFonts w:ascii="Cambria Math" w:hAnsi="Cambria Math"/>
                      </w:rPr>
                      <m:t>V</m:t>
                    </m:r>
                  </m:e>
                  <m:sub>
                    <m:r>
                      <w:rPr>
                        <w:rFonts w:ascii="Cambria Math" w:hAnsi="Cambria Math"/>
                      </w:rPr>
                      <m:t>t</m:t>
                    </m:r>
                  </m:sub>
                  <m:sup>
                    <m:r>
                      <w:rPr>
                        <w:rFonts w:ascii="Cambria Math" w:hAnsi="Cambria Math"/>
                      </w:rPr>
                      <m:t>+</m:t>
                    </m:r>
                  </m:sup>
                </m:sSubSup>
              </m:oMath>
            </m:oMathPara>
          </w:p>
        </w:tc>
        <w:tc>
          <w:tcPr>
            <w:tcW w:w="0" w:type="auto"/>
          </w:tcPr>
          <w:p w:rsidR="00DD760D" w:rsidRPr="00221AAF" w:rsidRDefault="00221AAF" w:rsidP="00221AAF">
            <w:pPr>
              <w:pStyle w:val="Compact"/>
            </w:pPr>
            <w:r w:rsidRPr="00221AAF">
              <w:t>-0.078</w:t>
            </w:r>
          </w:p>
        </w:tc>
        <w:tc>
          <w:tcPr>
            <w:tcW w:w="0" w:type="auto"/>
          </w:tcPr>
          <w:p w:rsidR="00DD760D" w:rsidRPr="00221AAF" w:rsidRDefault="00221AAF" w:rsidP="00221AAF">
            <w:pPr>
              <w:pStyle w:val="Compact"/>
            </w:pPr>
            <w:r w:rsidRPr="00221AAF">
              <w:t>-0.211</w:t>
            </w:r>
          </w:p>
        </w:tc>
        <w:tc>
          <w:tcPr>
            <w:tcW w:w="0" w:type="auto"/>
          </w:tcPr>
          <w:p w:rsidR="00DD760D" w:rsidRPr="00221AAF" w:rsidRDefault="00221AAF" w:rsidP="00221AAF">
            <w:pPr>
              <w:pStyle w:val="Compact"/>
            </w:pPr>
            <w:r w:rsidRPr="00221AAF">
              <w:t>-1.215</w:t>
            </w:r>
          </w:p>
        </w:tc>
        <w:tc>
          <w:tcPr>
            <w:tcW w:w="0" w:type="auto"/>
          </w:tcPr>
          <w:p w:rsidR="00DD760D" w:rsidRPr="00221AAF" w:rsidRDefault="00221AAF" w:rsidP="00221AAF">
            <w:pPr>
              <w:pStyle w:val="Compact"/>
            </w:pPr>
            <w:r w:rsidRPr="00221AAF">
              <w:t>0.294</w:t>
            </w:r>
          </w:p>
        </w:tc>
        <w:tc>
          <w:tcPr>
            <w:tcW w:w="0" w:type="auto"/>
          </w:tcPr>
          <w:p w:rsidR="00DD760D" w:rsidRPr="00221AAF" w:rsidRDefault="00221AAF" w:rsidP="00221AAF">
            <w:pPr>
              <w:pStyle w:val="Compact"/>
            </w:pPr>
            <w:r w:rsidRPr="00221AAF">
              <w:t>-1.905</w:t>
            </w:r>
          </w:p>
        </w:tc>
        <w:tc>
          <w:tcPr>
            <w:tcW w:w="0" w:type="auto"/>
          </w:tcPr>
          <w:p w:rsidR="00DD760D" w:rsidRPr="00221AAF" w:rsidRDefault="00221AAF" w:rsidP="00221AAF">
            <w:pPr>
              <w:pStyle w:val="Compact"/>
            </w:pPr>
            <w:r w:rsidRPr="00221AAF">
              <w:t>-0.357</w:t>
            </w:r>
          </w:p>
        </w:tc>
        <w:tc>
          <w:tcPr>
            <w:tcW w:w="0" w:type="auto"/>
          </w:tcPr>
          <w:p w:rsidR="00DD760D" w:rsidRPr="00221AAF" w:rsidRDefault="00221AAF" w:rsidP="00221AAF">
            <w:pPr>
              <w:pStyle w:val="Compact"/>
            </w:pPr>
            <w:r w:rsidRPr="00221AAF">
              <w:t>-0.477</w:t>
            </w:r>
          </w:p>
        </w:tc>
        <w:tc>
          <w:tcPr>
            <w:tcW w:w="0" w:type="auto"/>
          </w:tcPr>
          <w:p w:rsidR="00DD760D" w:rsidRPr="00221AAF" w:rsidRDefault="00221AAF" w:rsidP="00221AAF">
            <w:pPr>
              <w:pStyle w:val="Compact"/>
            </w:pPr>
            <w:r w:rsidRPr="00221AAF">
              <w:t>-0.155</w:t>
            </w:r>
          </w:p>
        </w:tc>
        <w:tc>
          <w:tcPr>
            <w:tcW w:w="0" w:type="auto"/>
          </w:tcPr>
          <w:p w:rsidR="00DD760D" w:rsidRPr="00221AAF" w:rsidRDefault="00221AAF" w:rsidP="00221AAF">
            <w:pPr>
              <w:pStyle w:val="Compact"/>
            </w:pPr>
            <w:r w:rsidRPr="00221AAF">
              <w:t>0.464</w:t>
            </w:r>
          </w:p>
        </w:tc>
      </w:tr>
      <w:tr w:rsidR="00DD760D" w:rsidRPr="00221AAF" w:rsidTr="00221AAF">
        <w:trPr>
          <w:jc w:val="center"/>
        </w:trPr>
        <w:tc>
          <w:tcPr>
            <w:tcW w:w="0" w:type="auto"/>
          </w:tcPr>
          <w:p w:rsidR="00DD760D" w:rsidRPr="00221AAF" w:rsidRDefault="00221AAF" w:rsidP="00221AAF">
            <w:pPr>
              <w:pStyle w:val="Compact"/>
            </w:pPr>
            <m:oMathPara>
              <m:oMath>
                <m:r>
                  <w:rPr>
                    <w:rFonts w:ascii="Cambria Math" w:hAnsi="Cambria Math"/>
                  </w:rPr>
                  <m:t>Δln</m:t>
                </m:r>
                <m:sSubSup>
                  <m:sSubSupPr>
                    <m:ctrlPr>
                      <w:rPr>
                        <w:rFonts w:ascii="Cambria Math" w:hAnsi="Cambria Math"/>
                      </w:rPr>
                    </m:ctrlPr>
                  </m:sSubSupPr>
                  <m:e>
                    <m:r>
                      <w:rPr>
                        <w:rFonts w:ascii="Cambria Math" w:hAnsi="Cambria Math"/>
                      </w:rPr>
                      <m:t>V</m:t>
                    </m:r>
                  </m:e>
                  <m:sub>
                    <m:r>
                      <w:rPr>
                        <w:rFonts w:ascii="Cambria Math" w:hAnsi="Cambria Math"/>
                      </w:rPr>
                      <m:t>t-3</m:t>
                    </m:r>
                  </m:sub>
                  <m:sup>
                    <m:r>
                      <w:rPr>
                        <w:rFonts w:ascii="Cambria Math" w:hAnsi="Cambria Math"/>
                      </w:rPr>
                      <m:t>+</m:t>
                    </m:r>
                  </m:sup>
                </m:sSubSup>
              </m:oMath>
            </m:oMathPara>
          </w:p>
        </w:tc>
        <w:tc>
          <w:tcPr>
            <w:tcW w:w="0" w:type="auto"/>
          </w:tcPr>
          <w:p w:rsidR="00DD760D" w:rsidRPr="00221AAF" w:rsidRDefault="00DD760D" w:rsidP="00221AAF">
            <w:pPr>
              <w:jc w:val="both"/>
              <w:rPr>
                <w:sz w:val="20"/>
              </w:rPr>
            </w:pPr>
          </w:p>
        </w:tc>
        <w:tc>
          <w:tcPr>
            <w:tcW w:w="0" w:type="auto"/>
          </w:tcPr>
          <w:p w:rsidR="00DD760D" w:rsidRPr="00221AAF" w:rsidRDefault="00DD760D" w:rsidP="00221AAF">
            <w:pPr>
              <w:jc w:val="both"/>
              <w:rPr>
                <w:sz w:val="20"/>
              </w:rPr>
            </w:pPr>
          </w:p>
        </w:tc>
        <w:tc>
          <w:tcPr>
            <w:tcW w:w="0" w:type="auto"/>
          </w:tcPr>
          <w:p w:rsidR="00DD760D" w:rsidRPr="00221AAF" w:rsidRDefault="00DD760D" w:rsidP="00221AAF">
            <w:pPr>
              <w:jc w:val="both"/>
              <w:rPr>
                <w:sz w:val="20"/>
              </w:rPr>
            </w:pPr>
          </w:p>
        </w:tc>
        <w:tc>
          <w:tcPr>
            <w:tcW w:w="0" w:type="auto"/>
          </w:tcPr>
          <w:p w:rsidR="00DD760D" w:rsidRPr="00221AAF" w:rsidRDefault="00221AAF" w:rsidP="00221AAF">
            <w:pPr>
              <w:pStyle w:val="Compact"/>
            </w:pPr>
            <w:r w:rsidRPr="00221AAF">
              <w:t>0.818**</w:t>
            </w:r>
          </w:p>
        </w:tc>
        <w:tc>
          <w:tcPr>
            <w:tcW w:w="0" w:type="auto"/>
          </w:tcPr>
          <w:p w:rsidR="00DD760D" w:rsidRPr="00221AAF" w:rsidRDefault="00DD760D" w:rsidP="00221AAF">
            <w:pPr>
              <w:jc w:val="both"/>
              <w:rPr>
                <w:sz w:val="20"/>
              </w:rPr>
            </w:pPr>
          </w:p>
        </w:tc>
        <w:tc>
          <w:tcPr>
            <w:tcW w:w="0" w:type="auto"/>
          </w:tcPr>
          <w:p w:rsidR="00DD760D" w:rsidRPr="00221AAF" w:rsidRDefault="00DD760D" w:rsidP="00221AAF">
            <w:pPr>
              <w:jc w:val="both"/>
              <w:rPr>
                <w:sz w:val="20"/>
              </w:rPr>
            </w:pPr>
          </w:p>
        </w:tc>
        <w:tc>
          <w:tcPr>
            <w:tcW w:w="0" w:type="auto"/>
          </w:tcPr>
          <w:p w:rsidR="00DD760D" w:rsidRPr="00221AAF" w:rsidRDefault="00221AAF" w:rsidP="00221AAF">
            <w:pPr>
              <w:pStyle w:val="Compact"/>
            </w:pPr>
            <w:r w:rsidRPr="00221AAF">
              <w:t>5.018*</w:t>
            </w:r>
          </w:p>
        </w:tc>
        <w:tc>
          <w:tcPr>
            <w:tcW w:w="0" w:type="auto"/>
          </w:tcPr>
          <w:p w:rsidR="00DD760D" w:rsidRPr="00221AAF" w:rsidRDefault="00DD760D" w:rsidP="00221AAF">
            <w:pPr>
              <w:jc w:val="both"/>
              <w:rPr>
                <w:sz w:val="20"/>
              </w:rPr>
            </w:pPr>
          </w:p>
        </w:tc>
        <w:tc>
          <w:tcPr>
            <w:tcW w:w="0" w:type="auto"/>
          </w:tcPr>
          <w:p w:rsidR="00DD760D" w:rsidRPr="00221AAF" w:rsidRDefault="00DD760D" w:rsidP="00221AAF">
            <w:pPr>
              <w:jc w:val="both"/>
              <w:rPr>
                <w:sz w:val="20"/>
              </w:rPr>
            </w:pPr>
          </w:p>
        </w:tc>
      </w:tr>
      <w:tr w:rsidR="00DD760D" w:rsidRPr="00221AAF" w:rsidTr="00221AAF">
        <w:trPr>
          <w:jc w:val="center"/>
        </w:trPr>
        <w:tc>
          <w:tcPr>
            <w:tcW w:w="0" w:type="auto"/>
          </w:tcPr>
          <w:p w:rsidR="00DD760D" w:rsidRPr="00221AAF" w:rsidRDefault="00221AAF" w:rsidP="00221AAF">
            <w:pPr>
              <w:pStyle w:val="Compact"/>
            </w:pPr>
            <m:oMathPara>
              <m:oMath>
                <m:r>
                  <w:rPr>
                    <w:rFonts w:ascii="Cambria Math" w:hAnsi="Cambria Math"/>
                  </w:rPr>
                  <m:t>Δln</m:t>
                </m:r>
                <m:sSubSup>
                  <m:sSubSupPr>
                    <m:ctrlPr>
                      <w:rPr>
                        <w:rFonts w:ascii="Cambria Math" w:hAnsi="Cambria Math"/>
                      </w:rPr>
                    </m:ctrlPr>
                  </m:sSubSupPr>
                  <m:e>
                    <m:r>
                      <w:rPr>
                        <w:rFonts w:ascii="Cambria Math" w:hAnsi="Cambria Math"/>
                      </w:rPr>
                      <m:t>V</m:t>
                    </m:r>
                  </m:e>
                  <m:sub>
                    <m:r>
                      <w:rPr>
                        <w:rFonts w:ascii="Cambria Math" w:hAnsi="Cambria Math"/>
                      </w:rPr>
                      <m:t>t-7</m:t>
                    </m:r>
                  </m:sub>
                  <m:sup>
                    <m:r>
                      <w:rPr>
                        <w:rFonts w:ascii="Cambria Math" w:hAnsi="Cambria Math"/>
                      </w:rPr>
                      <m:t>+</m:t>
                    </m:r>
                  </m:sup>
                </m:sSubSup>
              </m:oMath>
            </m:oMathPara>
          </w:p>
        </w:tc>
        <w:tc>
          <w:tcPr>
            <w:tcW w:w="0" w:type="auto"/>
          </w:tcPr>
          <w:p w:rsidR="00DD760D" w:rsidRPr="00221AAF" w:rsidRDefault="00DD760D" w:rsidP="00221AAF">
            <w:pPr>
              <w:jc w:val="both"/>
              <w:rPr>
                <w:sz w:val="20"/>
              </w:rPr>
            </w:pPr>
          </w:p>
        </w:tc>
        <w:tc>
          <w:tcPr>
            <w:tcW w:w="0" w:type="auto"/>
          </w:tcPr>
          <w:p w:rsidR="00DD760D" w:rsidRPr="00221AAF" w:rsidRDefault="00DD760D" w:rsidP="00221AAF">
            <w:pPr>
              <w:jc w:val="both"/>
              <w:rPr>
                <w:sz w:val="20"/>
              </w:rPr>
            </w:pPr>
          </w:p>
        </w:tc>
        <w:tc>
          <w:tcPr>
            <w:tcW w:w="0" w:type="auto"/>
          </w:tcPr>
          <w:p w:rsidR="00DD760D" w:rsidRPr="00221AAF" w:rsidRDefault="00DD760D" w:rsidP="00221AAF">
            <w:pPr>
              <w:jc w:val="both"/>
              <w:rPr>
                <w:sz w:val="20"/>
              </w:rPr>
            </w:pPr>
          </w:p>
        </w:tc>
        <w:tc>
          <w:tcPr>
            <w:tcW w:w="0" w:type="auto"/>
          </w:tcPr>
          <w:p w:rsidR="00DD760D" w:rsidRPr="00221AAF" w:rsidRDefault="00DD760D" w:rsidP="00221AAF">
            <w:pPr>
              <w:jc w:val="both"/>
              <w:rPr>
                <w:sz w:val="20"/>
              </w:rPr>
            </w:pPr>
          </w:p>
        </w:tc>
        <w:tc>
          <w:tcPr>
            <w:tcW w:w="0" w:type="auto"/>
          </w:tcPr>
          <w:p w:rsidR="00DD760D" w:rsidRPr="00221AAF" w:rsidRDefault="00DD760D" w:rsidP="00221AAF">
            <w:pPr>
              <w:jc w:val="both"/>
              <w:rPr>
                <w:sz w:val="20"/>
              </w:rPr>
            </w:pPr>
          </w:p>
        </w:tc>
        <w:tc>
          <w:tcPr>
            <w:tcW w:w="0" w:type="auto"/>
          </w:tcPr>
          <w:p w:rsidR="00DD760D" w:rsidRPr="00221AAF" w:rsidRDefault="00DD760D" w:rsidP="00221AAF">
            <w:pPr>
              <w:jc w:val="both"/>
              <w:rPr>
                <w:sz w:val="20"/>
              </w:rPr>
            </w:pPr>
          </w:p>
        </w:tc>
        <w:tc>
          <w:tcPr>
            <w:tcW w:w="0" w:type="auto"/>
          </w:tcPr>
          <w:p w:rsidR="00DD760D" w:rsidRPr="00221AAF" w:rsidRDefault="00221AAF" w:rsidP="00221AAF">
            <w:pPr>
              <w:pStyle w:val="Compact"/>
            </w:pPr>
            <w:r w:rsidRPr="00221AAF">
              <w:t>-6.943***</w:t>
            </w:r>
          </w:p>
        </w:tc>
        <w:tc>
          <w:tcPr>
            <w:tcW w:w="0" w:type="auto"/>
          </w:tcPr>
          <w:p w:rsidR="00DD760D" w:rsidRPr="00221AAF" w:rsidRDefault="00DD760D" w:rsidP="00221AAF">
            <w:pPr>
              <w:jc w:val="both"/>
              <w:rPr>
                <w:sz w:val="20"/>
              </w:rPr>
            </w:pPr>
          </w:p>
        </w:tc>
        <w:tc>
          <w:tcPr>
            <w:tcW w:w="0" w:type="auto"/>
          </w:tcPr>
          <w:p w:rsidR="00DD760D" w:rsidRPr="00221AAF" w:rsidRDefault="00DD760D" w:rsidP="00221AAF">
            <w:pPr>
              <w:jc w:val="both"/>
              <w:rPr>
                <w:sz w:val="20"/>
              </w:rPr>
            </w:pPr>
          </w:p>
        </w:tc>
      </w:tr>
      <w:tr w:rsidR="00DD760D" w:rsidRPr="00221AAF" w:rsidTr="00221AAF">
        <w:trPr>
          <w:jc w:val="center"/>
        </w:trPr>
        <w:tc>
          <w:tcPr>
            <w:tcW w:w="0" w:type="auto"/>
          </w:tcPr>
          <w:p w:rsidR="00DD760D" w:rsidRPr="00221AAF" w:rsidRDefault="00221AAF" w:rsidP="00221AAF">
            <w:pPr>
              <w:pStyle w:val="Compact"/>
            </w:pPr>
            <m:oMathPara>
              <m:oMath>
                <m:r>
                  <w:rPr>
                    <w:rFonts w:ascii="Cambria Math" w:hAnsi="Cambria Math"/>
                  </w:rPr>
                  <m:t>Δln</m:t>
                </m:r>
                <m:sSubSup>
                  <m:sSubSupPr>
                    <m:ctrlPr>
                      <w:rPr>
                        <w:rFonts w:ascii="Cambria Math" w:hAnsi="Cambria Math"/>
                      </w:rPr>
                    </m:ctrlPr>
                  </m:sSubSupPr>
                  <m:e>
                    <m:r>
                      <w:rPr>
                        <w:rFonts w:ascii="Cambria Math" w:hAnsi="Cambria Math"/>
                      </w:rPr>
                      <m:t>V</m:t>
                    </m:r>
                  </m:e>
                  <m:sub>
                    <m:r>
                      <w:rPr>
                        <w:rFonts w:ascii="Cambria Math" w:hAnsi="Cambria Math"/>
                      </w:rPr>
                      <m:t>t</m:t>
                    </m:r>
                  </m:sub>
                  <m:sup>
                    <m:r>
                      <w:rPr>
                        <w:rFonts w:ascii="Cambria Math" w:hAnsi="Cambria Math"/>
                      </w:rPr>
                      <m:t>-</m:t>
                    </m:r>
                  </m:sup>
                </m:sSubSup>
              </m:oMath>
            </m:oMathPara>
          </w:p>
        </w:tc>
        <w:tc>
          <w:tcPr>
            <w:tcW w:w="0" w:type="auto"/>
          </w:tcPr>
          <w:p w:rsidR="00DD760D" w:rsidRPr="00221AAF" w:rsidRDefault="00221AAF" w:rsidP="00221AAF">
            <w:pPr>
              <w:pStyle w:val="Compact"/>
            </w:pPr>
            <w:r w:rsidRPr="00221AAF">
              <w:t>-0.023</w:t>
            </w:r>
          </w:p>
        </w:tc>
        <w:tc>
          <w:tcPr>
            <w:tcW w:w="0" w:type="auto"/>
          </w:tcPr>
          <w:p w:rsidR="00DD760D" w:rsidRPr="00221AAF" w:rsidRDefault="00221AAF" w:rsidP="00221AAF">
            <w:pPr>
              <w:pStyle w:val="Compact"/>
            </w:pPr>
            <w:r w:rsidRPr="00221AAF">
              <w:t>0.832*</w:t>
            </w:r>
          </w:p>
        </w:tc>
        <w:tc>
          <w:tcPr>
            <w:tcW w:w="0" w:type="auto"/>
          </w:tcPr>
          <w:p w:rsidR="00DD760D" w:rsidRPr="00221AAF" w:rsidRDefault="00221AAF" w:rsidP="00221AAF">
            <w:pPr>
              <w:pStyle w:val="Compact"/>
            </w:pPr>
            <w:r w:rsidRPr="00221AAF">
              <w:t>0.85</w:t>
            </w:r>
          </w:p>
        </w:tc>
        <w:tc>
          <w:tcPr>
            <w:tcW w:w="0" w:type="auto"/>
          </w:tcPr>
          <w:p w:rsidR="00DD760D" w:rsidRPr="00221AAF" w:rsidRDefault="00221AAF" w:rsidP="00221AAF">
            <w:pPr>
              <w:pStyle w:val="Compact"/>
            </w:pPr>
            <w:r w:rsidRPr="00221AAF">
              <w:t>-0.237</w:t>
            </w:r>
          </w:p>
        </w:tc>
        <w:tc>
          <w:tcPr>
            <w:tcW w:w="0" w:type="auto"/>
          </w:tcPr>
          <w:p w:rsidR="00DD760D" w:rsidRPr="00221AAF" w:rsidRDefault="00221AAF" w:rsidP="00221AAF">
            <w:pPr>
              <w:pStyle w:val="Compact"/>
            </w:pPr>
            <w:r w:rsidRPr="00221AAF">
              <w:t>-0.752</w:t>
            </w:r>
          </w:p>
        </w:tc>
        <w:tc>
          <w:tcPr>
            <w:tcW w:w="0" w:type="auto"/>
          </w:tcPr>
          <w:p w:rsidR="00DD760D" w:rsidRPr="00221AAF" w:rsidRDefault="00221AAF" w:rsidP="00221AAF">
            <w:pPr>
              <w:pStyle w:val="Compact"/>
            </w:pPr>
            <w:r w:rsidRPr="00221AAF">
              <w:t>-1.31</w:t>
            </w:r>
          </w:p>
        </w:tc>
        <w:tc>
          <w:tcPr>
            <w:tcW w:w="0" w:type="auto"/>
          </w:tcPr>
          <w:p w:rsidR="00DD760D" w:rsidRPr="00221AAF" w:rsidRDefault="00221AAF" w:rsidP="00221AAF">
            <w:pPr>
              <w:pStyle w:val="Compact"/>
            </w:pPr>
            <w:r w:rsidRPr="00221AAF">
              <w:t>-0.507</w:t>
            </w:r>
          </w:p>
        </w:tc>
        <w:tc>
          <w:tcPr>
            <w:tcW w:w="0" w:type="auto"/>
          </w:tcPr>
          <w:p w:rsidR="00DD760D" w:rsidRPr="00221AAF" w:rsidRDefault="00221AAF" w:rsidP="00221AAF">
            <w:pPr>
              <w:pStyle w:val="Compact"/>
            </w:pPr>
            <w:r w:rsidRPr="00221AAF">
              <w:t>0.644</w:t>
            </w:r>
          </w:p>
        </w:tc>
        <w:tc>
          <w:tcPr>
            <w:tcW w:w="0" w:type="auto"/>
          </w:tcPr>
          <w:p w:rsidR="00DD760D" w:rsidRPr="00221AAF" w:rsidRDefault="00221AAF" w:rsidP="00221AAF">
            <w:pPr>
              <w:pStyle w:val="Compact"/>
            </w:pPr>
            <w:r w:rsidRPr="00221AAF">
              <w:t>-0.276</w:t>
            </w:r>
          </w:p>
        </w:tc>
      </w:tr>
      <w:tr w:rsidR="00DD760D" w:rsidRPr="00221AAF" w:rsidTr="00221AAF">
        <w:trPr>
          <w:jc w:val="center"/>
        </w:trPr>
        <w:tc>
          <w:tcPr>
            <w:tcW w:w="0" w:type="auto"/>
          </w:tcPr>
          <w:p w:rsidR="00DD760D" w:rsidRPr="00221AAF" w:rsidRDefault="00221AAF" w:rsidP="00221AAF">
            <w:pPr>
              <w:pStyle w:val="Compact"/>
            </w:pPr>
            <m:oMathPara>
              <m:oMath>
                <m:r>
                  <w:rPr>
                    <w:rFonts w:ascii="Cambria Math" w:hAnsi="Cambria Math"/>
                  </w:rPr>
                  <m:t>Δln</m:t>
                </m:r>
                <m:sSubSup>
                  <m:sSubSupPr>
                    <m:ctrlPr>
                      <w:rPr>
                        <w:rFonts w:ascii="Cambria Math" w:hAnsi="Cambria Math"/>
                      </w:rPr>
                    </m:ctrlPr>
                  </m:sSubSupPr>
                  <m:e>
                    <m:r>
                      <w:rPr>
                        <w:rFonts w:ascii="Cambria Math" w:hAnsi="Cambria Math"/>
                      </w:rPr>
                      <m:t>V</m:t>
                    </m:r>
                  </m:e>
                  <m:sub>
                    <m:r>
                      <w:rPr>
                        <w:rFonts w:ascii="Cambria Math" w:hAnsi="Cambria Math"/>
                      </w:rPr>
                      <m:t>t-4</m:t>
                    </m:r>
                  </m:sub>
                  <m:sup>
                    <m:r>
                      <w:rPr>
                        <w:rFonts w:ascii="Cambria Math" w:hAnsi="Cambria Math"/>
                      </w:rPr>
                      <m:t>-</m:t>
                    </m:r>
                  </m:sup>
                </m:sSubSup>
              </m:oMath>
            </m:oMathPara>
          </w:p>
        </w:tc>
        <w:tc>
          <w:tcPr>
            <w:tcW w:w="0" w:type="auto"/>
          </w:tcPr>
          <w:p w:rsidR="00DD760D" w:rsidRPr="00221AAF" w:rsidRDefault="00DD760D" w:rsidP="00221AAF">
            <w:pPr>
              <w:jc w:val="both"/>
              <w:rPr>
                <w:sz w:val="20"/>
              </w:rPr>
            </w:pPr>
          </w:p>
        </w:tc>
        <w:tc>
          <w:tcPr>
            <w:tcW w:w="0" w:type="auto"/>
          </w:tcPr>
          <w:p w:rsidR="00DD760D" w:rsidRPr="00221AAF" w:rsidRDefault="00DD760D" w:rsidP="00221AAF">
            <w:pPr>
              <w:jc w:val="both"/>
              <w:rPr>
                <w:sz w:val="20"/>
              </w:rPr>
            </w:pPr>
          </w:p>
        </w:tc>
        <w:tc>
          <w:tcPr>
            <w:tcW w:w="0" w:type="auto"/>
          </w:tcPr>
          <w:p w:rsidR="00DD760D" w:rsidRPr="00221AAF" w:rsidRDefault="00DD760D" w:rsidP="00221AAF">
            <w:pPr>
              <w:jc w:val="both"/>
              <w:rPr>
                <w:sz w:val="20"/>
              </w:rPr>
            </w:pPr>
          </w:p>
        </w:tc>
        <w:tc>
          <w:tcPr>
            <w:tcW w:w="0" w:type="auto"/>
          </w:tcPr>
          <w:p w:rsidR="00DD760D" w:rsidRPr="00221AAF" w:rsidRDefault="00DD760D" w:rsidP="00221AAF">
            <w:pPr>
              <w:jc w:val="both"/>
              <w:rPr>
                <w:sz w:val="20"/>
              </w:rPr>
            </w:pPr>
          </w:p>
        </w:tc>
        <w:tc>
          <w:tcPr>
            <w:tcW w:w="0" w:type="auto"/>
          </w:tcPr>
          <w:p w:rsidR="00DD760D" w:rsidRPr="00221AAF" w:rsidRDefault="00DD760D" w:rsidP="00221AAF">
            <w:pPr>
              <w:jc w:val="both"/>
              <w:rPr>
                <w:sz w:val="20"/>
              </w:rPr>
            </w:pPr>
          </w:p>
        </w:tc>
        <w:tc>
          <w:tcPr>
            <w:tcW w:w="0" w:type="auto"/>
          </w:tcPr>
          <w:p w:rsidR="00DD760D" w:rsidRPr="00221AAF" w:rsidRDefault="00DD760D" w:rsidP="00221AAF">
            <w:pPr>
              <w:jc w:val="both"/>
              <w:rPr>
                <w:sz w:val="20"/>
              </w:rPr>
            </w:pPr>
          </w:p>
        </w:tc>
        <w:tc>
          <w:tcPr>
            <w:tcW w:w="0" w:type="auto"/>
          </w:tcPr>
          <w:p w:rsidR="00DD760D" w:rsidRPr="00221AAF" w:rsidRDefault="00221AAF" w:rsidP="00221AAF">
            <w:pPr>
              <w:pStyle w:val="Compact"/>
            </w:pPr>
            <w:r w:rsidRPr="00221AAF">
              <w:t>1.627**</w:t>
            </w:r>
          </w:p>
        </w:tc>
        <w:tc>
          <w:tcPr>
            <w:tcW w:w="0" w:type="auto"/>
          </w:tcPr>
          <w:p w:rsidR="00DD760D" w:rsidRPr="00221AAF" w:rsidRDefault="00DD760D" w:rsidP="00221AAF">
            <w:pPr>
              <w:jc w:val="both"/>
              <w:rPr>
                <w:sz w:val="20"/>
              </w:rPr>
            </w:pPr>
          </w:p>
        </w:tc>
        <w:tc>
          <w:tcPr>
            <w:tcW w:w="0" w:type="auto"/>
          </w:tcPr>
          <w:p w:rsidR="00DD760D" w:rsidRPr="00221AAF" w:rsidRDefault="00DD760D" w:rsidP="00221AAF">
            <w:pPr>
              <w:jc w:val="both"/>
              <w:rPr>
                <w:sz w:val="20"/>
              </w:rPr>
            </w:pPr>
          </w:p>
        </w:tc>
      </w:tr>
      <w:tr w:rsidR="00DD760D" w:rsidRPr="00221AAF" w:rsidTr="00221AAF">
        <w:trPr>
          <w:jc w:val="center"/>
        </w:trPr>
        <w:tc>
          <w:tcPr>
            <w:tcW w:w="0" w:type="auto"/>
          </w:tcPr>
          <w:p w:rsidR="00DD760D" w:rsidRPr="00221AAF" w:rsidRDefault="00221AAF" w:rsidP="00221AAF">
            <w:pPr>
              <w:pStyle w:val="Compact"/>
            </w:pPr>
            <m:oMathPara>
              <m:oMath>
                <m:r>
                  <w:rPr>
                    <w:rFonts w:ascii="Cambria Math" w:hAnsi="Cambria Math"/>
                  </w:rPr>
                  <m:t>Δln</m:t>
                </m:r>
                <m:sSubSup>
                  <m:sSubSupPr>
                    <m:ctrlPr>
                      <w:rPr>
                        <w:rFonts w:ascii="Cambria Math" w:hAnsi="Cambria Math"/>
                      </w:rPr>
                    </m:ctrlPr>
                  </m:sSubSupPr>
                  <m:e>
                    <m:r>
                      <w:rPr>
                        <w:rFonts w:ascii="Cambria Math" w:hAnsi="Cambria Math"/>
                      </w:rPr>
                      <m:t>V</m:t>
                    </m:r>
                  </m:e>
                  <m:sub>
                    <m:r>
                      <w:rPr>
                        <w:rFonts w:ascii="Cambria Math" w:hAnsi="Cambria Math"/>
                      </w:rPr>
                      <m:t>t-5</m:t>
                    </m:r>
                  </m:sub>
                  <m:sup>
                    <m:r>
                      <w:rPr>
                        <w:rFonts w:ascii="Cambria Math" w:hAnsi="Cambria Math"/>
                      </w:rPr>
                      <m:t>-</m:t>
                    </m:r>
                  </m:sup>
                </m:sSubSup>
              </m:oMath>
            </m:oMathPara>
          </w:p>
        </w:tc>
        <w:tc>
          <w:tcPr>
            <w:tcW w:w="0" w:type="auto"/>
          </w:tcPr>
          <w:p w:rsidR="00DD760D" w:rsidRPr="00221AAF" w:rsidRDefault="00DD760D" w:rsidP="00221AAF">
            <w:pPr>
              <w:jc w:val="both"/>
              <w:rPr>
                <w:sz w:val="20"/>
              </w:rPr>
            </w:pPr>
          </w:p>
        </w:tc>
        <w:tc>
          <w:tcPr>
            <w:tcW w:w="0" w:type="auto"/>
          </w:tcPr>
          <w:p w:rsidR="00DD760D" w:rsidRPr="00221AAF" w:rsidRDefault="00221AAF" w:rsidP="00221AAF">
            <w:pPr>
              <w:pStyle w:val="Compact"/>
            </w:pPr>
            <w:r w:rsidRPr="00221AAF">
              <w:t>-0.836**</w:t>
            </w:r>
          </w:p>
        </w:tc>
        <w:tc>
          <w:tcPr>
            <w:tcW w:w="0" w:type="auto"/>
          </w:tcPr>
          <w:p w:rsidR="00DD760D" w:rsidRPr="00221AAF" w:rsidRDefault="00DD760D" w:rsidP="00221AAF">
            <w:pPr>
              <w:jc w:val="both"/>
              <w:rPr>
                <w:sz w:val="20"/>
              </w:rPr>
            </w:pPr>
          </w:p>
        </w:tc>
        <w:tc>
          <w:tcPr>
            <w:tcW w:w="0" w:type="auto"/>
          </w:tcPr>
          <w:p w:rsidR="00DD760D" w:rsidRPr="00221AAF" w:rsidRDefault="00DD760D" w:rsidP="00221AAF">
            <w:pPr>
              <w:jc w:val="both"/>
              <w:rPr>
                <w:sz w:val="20"/>
              </w:rPr>
            </w:pPr>
          </w:p>
        </w:tc>
        <w:tc>
          <w:tcPr>
            <w:tcW w:w="0" w:type="auto"/>
          </w:tcPr>
          <w:p w:rsidR="00DD760D" w:rsidRPr="00221AAF" w:rsidRDefault="00DD760D" w:rsidP="00221AAF">
            <w:pPr>
              <w:jc w:val="both"/>
              <w:rPr>
                <w:sz w:val="20"/>
              </w:rPr>
            </w:pPr>
          </w:p>
        </w:tc>
        <w:tc>
          <w:tcPr>
            <w:tcW w:w="0" w:type="auto"/>
          </w:tcPr>
          <w:p w:rsidR="00DD760D" w:rsidRPr="00221AAF" w:rsidRDefault="00DD760D" w:rsidP="00221AAF">
            <w:pPr>
              <w:jc w:val="both"/>
              <w:rPr>
                <w:sz w:val="20"/>
              </w:rPr>
            </w:pPr>
          </w:p>
        </w:tc>
        <w:tc>
          <w:tcPr>
            <w:tcW w:w="0" w:type="auto"/>
          </w:tcPr>
          <w:p w:rsidR="00DD760D" w:rsidRPr="00221AAF" w:rsidRDefault="00221AAF" w:rsidP="00221AAF">
            <w:pPr>
              <w:pStyle w:val="Compact"/>
            </w:pPr>
            <w:r w:rsidRPr="00221AAF">
              <w:t>1.473**</w:t>
            </w:r>
          </w:p>
        </w:tc>
        <w:tc>
          <w:tcPr>
            <w:tcW w:w="0" w:type="auto"/>
          </w:tcPr>
          <w:p w:rsidR="00DD760D" w:rsidRPr="00221AAF" w:rsidRDefault="00DD760D" w:rsidP="00221AAF">
            <w:pPr>
              <w:jc w:val="both"/>
              <w:rPr>
                <w:sz w:val="20"/>
              </w:rPr>
            </w:pPr>
          </w:p>
        </w:tc>
        <w:tc>
          <w:tcPr>
            <w:tcW w:w="0" w:type="auto"/>
          </w:tcPr>
          <w:p w:rsidR="00DD760D" w:rsidRPr="00221AAF" w:rsidRDefault="00DD760D" w:rsidP="00221AAF">
            <w:pPr>
              <w:jc w:val="both"/>
              <w:rPr>
                <w:sz w:val="20"/>
              </w:rPr>
            </w:pPr>
          </w:p>
        </w:tc>
      </w:tr>
      <w:tr w:rsidR="00DD760D" w:rsidRPr="00221AAF" w:rsidTr="00221AAF">
        <w:trPr>
          <w:jc w:val="center"/>
        </w:trPr>
        <w:tc>
          <w:tcPr>
            <w:tcW w:w="0" w:type="auto"/>
          </w:tcPr>
          <w:p w:rsidR="00DD760D" w:rsidRPr="00221AAF" w:rsidRDefault="00221AAF" w:rsidP="00221AAF">
            <w:pPr>
              <w:pStyle w:val="Compact"/>
            </w:pPr>
            <m:oMathPara>
              <m:oMath>
                <m:r>
                  <w:rPr>
                    <w:rFonts w:ascii="Cambria Math" w:hAnsi="Cambria Math"/>
                  </w:rPr>
                  <m:t>Δln</m:t>
                </m:r>
                <m:sSubSup>
                  <m:sSubSupPr>
                    <m:ctrlPr>
                      <w:rPr>
                        <w:rFonts w:ascii="Cambria Math" w:hAnsi="Cambria Math"/>
                      </w:rPr>
                    </m:ctrlPr>
                  </m:sSubSupPr>
                  <m:e>
                    <m:r>
                      <w:rPr>
                        <w:rFonts w:ascii="Cambria Math" w:hAnsi="Cambria Math"/>
                      </w:rPr>
                      <m:t>V</m:t>
                    </m:r>
                  </m:e>
                  <m:sub>
                    <m:r>
                      <w:rPr>
                        <w:rFonts w:ascii="Cambria Math" w:hAnsi="Cambria Math"/>
                      </w:rPr>
                      <m:t>t-6</m:t>
                    </m:r>
                  </m:sub>
                  <m:sup>
                    <m:r>
                      <w:rPr>
                        <w:rFonts w:ascii="Cambria Math" w:hAnsi="Cambria Math"/>
                      </w:rPr>
                      <m:t>-</m:t>
                    </m:r>
                  </m:sup>
                </m:sSubSup>
              </m:oMath>
            </m:oMathPara>
          </w:p>
        </w:tc>
        <w:tc>
          <w:tcPr>
            <w:tcW w:w="0" w:type="auto"/>
          </w:tcPr>
          <w:p w:rsidR="00DD760D" w:rsidRPr="00221AAF" w:rsidRDefault="00DD760D" w:rsidP="00221AAF">
            <w:pPr>
              <w:jc w:val="both"/>
              <w:rPr>
                <w:sz w:val="20"/>
              </w:rPr>
            </w:pPr>
          </w:p>
        </w:tc>
        <w:tc>
          <w:tcPr>
            <w:tcW w:w="0" w:type="auto"/>
          </w:tcPr>
          <w:p w:rsidR="00DD760D" w:rsidRPr="00221AAF" w:rsidRDefault="00DD760D" w:rsidP="00221AAF">
            <w:pPr>
              <w:jc w:val="both"/>
              <w:rPr>
                <w:sz w:val="20"/>
              </w:rPr>
            </w:pPr>
          </w:p>
        </w:tc>
        <w:tc>
          <w:tcPr>
            <w:tcW w:w="0" w:type="auto"/>
          </w:tcPr>
          <w:p w:rsidR="00DD760D" w:rsidRPr="00221AAF" w:rsidRDefault="00DD760D" w:rsidP="00221AAF">
            <w:pPr>
              <w:jc w:val="both"/>
              <w:rPr>
                <w:sz w:val="20"/>
              </w:rPr>
            </w:pPr>
          </w:p>
        </w:tc>
        <w:tc>
          <w:tcPr>
            <w:tcW w:w="0" w:type="auto"/>
          </w:tcPr>
          <w:p w:rsidR="00DD760D" w:rsidRPr="00221AAF" w:rsidRDefault="00DD760D" w:rsidP="00221AAF">
            <w:pPr>
              <w:jc w:val="both"/>
              <w:rPr>
                <w:sz w:val="20"/>
              </w:rPr>
            </w:pPr>
          </w:p>
        </w:tc>
        <w:tc>
          <w:tcPr>
            <w:tcW w:w="0" w:type="auto"/>
          </w:tcPr>
          <w:p w:rsidR="00DD760D" w:rsidRPr="00221AAF" w:rsidRDefault="00DD760D" w:rsidP="00221AAF">
            <w:pPr>
              <w:jc w:val="both"/>
              <w:rPr>
                <w:sz w:val="20"/>
              </w:rPr>
            </w:pPr>
          </w:p>
        </w:tc>
        <w:tc>
          <w:tcPr>
            <w:tcW w:w="0" w:type="auto"/>
          </w:tcPr>
          <w:p w:rsidR="00DD760D" w:rsidRPr="00221AAF" w:rsidRDefault="00DD760D" w:rsidP="00221AAF">
            <w:pPr>
              <w:jc w:val="both"/>
              <w:rPr>
                <w:sz w:val="20"/>
              </w:rPr>
            </w:pPr>
          </w:p>
        </w:tc>
        <w:tc>
          <w:tcPr>
            <w:tcW w:w="0" w:type="auto"/>
          </w:tcPr>
          <w:p w:rsidR="00DD760D" w:rsidRPr="00221AAF" w:rsidRDefault="00221AAF" w:rsidP="00221AAF">
            <w:pPr>
              <w:pStyle w:val="Compact"/>
            </w:pPr>
            <w:r w:rsidRPr="00221AAF">
              <w:t>1.188**</w:t>
            </w:r>
          </w:p>
        </w:tc>
        <w:tc>
          <w:tcPr>
            <w:tcW w:w="0" w:type="auto"/>
          </w:tcPr>
          <w:p w:rsidR="00DD760D" w:rsidRPr="00221AAF" w:rsidRDefault="00DD760D" w:rsidP="00221AAF">
            <w:pPr>
              <w:jc w:val="both"/>
              <w:rPr>
                <w:sz w:val="20"/>
              </w:rPr>
            </w:pPr>
          </w:p>
        </w:tc>
        <w:tc>
          <w:tcPr>
            <w:tcW w:w="0" w:type="auto"/>
          </w:tcPr>
          <w:p w:rsidR="00DD760D" w:rsidRPr="00221AAF" w:rsidRDefault="00DD760D" w:rsidP="00221AAF">
            <w:pPr>
              <w:jc w:val="both"/>
              <w:rPr>
                <w:sz w:val="20"/>
              </w:rPr>
            </w:pPr>
          </w:p>
        </w:tc>
      </w:tr>
      <w:tr w:rsidR="00DD760D" w:rsidRPr="00221AAF" w:rsidTr="00221AAF">
        <w:tblPrEx>
          <w:tblLook w:val="07C0" w:firstRow="0" w:lastRow="1" w:firstColumn="1" w:lastColumn="1" w:noHBand="1" w:noVBand="1"/>
        </w:tblPrEx>
        <w:trPr>
          <w:jc w:val="center"/>
        </w:trPr>
        <w:tc>
          <w:tcPr>
            <w:tcW w:w="0" w:type="auto"/>
            <w:gridSpan w:val="10"/>
          </w:tcPr>
          <w:p w:rsidR="00DD760D" w:rsidRPr="00221AAF" w:rsidRDefault="00221AAF" w:rsidP="00221AAF">
            <w:pPr>
              <w:pStyle w:val="Compact"/>
            </w:pPr>
            <w:r w:rsidRPr="00221AAF">
              <w:t>Note that *, ** and *** indicate significance at 10%, 5% and 1% respectively.</w:t>
            </w:r>
          </w:p>
        </w:tc>
      </w:tr>
    </w:tbl>
    <w:p w:rsidR="00DD760D" w:rsidRDefault="00221AAF">
      <w:pPr>
        <w:pStyle w:val="BodyText"/>
      </w:pPr>
      <w:r>
        <w:t xml:space="preserve">As shown in Table 8, Nigeria, Senegal, Benin and Burkina Faso have significant coefficients for the positive volatility measure, while significance is confirmed for the negative volatility measure for Nigeria, Mali, Burkina Faso and Cote D’Ivoire. In short, six countries are affected by at least one of the volatility measures, three of which are affected by both the positive and negative </w:t>
      </w:r>
      <w:r>
        <w:lastRenderedPageBreak/>
        <w:t>volatility measures. In other words, exchange rate volatility affect the import of most ECOWAS countries in the short run.</w:t>
      </w:r>
    </w:p>
    <w:p w:rsidR="00DD760D" w:rsidRDefault="00221AAF">
      <w:pPr>
        <w:pStyle w:val="TableCaption"/>
      </w:pPr>
      <w:r>
        <w:t>Table 8: Short run estimates of the import equation: NARDL</w:t>
      </w:r>
    </w:p>
    <w:tbl>
      <w:tblPr>
        <w:tblStyle w:val="Table"/>
        <w:tblW w:w="0" w:type="auto"/>
        <w:jc w:val="center"/>
        <w:tblLook w:val="07E0" w:firstRow="1" w:lastRow="1" w:firstColumn="1" w:lastColumn="1" w:noHBand="1" w:noVBand="1"/>
        <w:tblCaption w:val="Table 8: Short run estimates of the import equation: NARDL"/>
      </w:tblPr>
      <w:tblGrid>
        <w:gridCol w:w="876"/>
        <w:gridCol w:w="933"/>
        <w:gridCol w:w="795"/>
        <w:gridCol w:w="1033"/>
        <w:gridCol w:w="1033"/>
        <w:gridCol w:w="733"/>
        <w:gridCol w:w="733"/>
        <w:gridCol w:w="933"/>
        <w:gridCol w:w="928"/>
        <w:gridCol w:w="933"/>
      </w:tblGrid>
      <w:tr w:rsidR="00DD760D" w:rsidRPr="00221AAF" w:rsidTr="00221AAF">
        <w:trPr>
          <w:jc w:val="center"/>
        </w:trPr>
        <w:tc>
          <w:tcPr>
            <w:tcW w:w="0" w:type="auto"/>
            <w:tcBorders>
              <w:bottom w:val="single" w:sz="0" w:space="0" w:color="auto"/>
            </w:tcBorders>
            <w:vAlign w:val="bottom"/>
          </w:tcPr>
          <w:p w:rsidR="00DD760D" w:rsidRPr="00221AAF" w:rsidRDefault="00DD760D" w:rsidP="00221AAF">
            <w:pPr>
              <w:jc w:val="both"/>
              <w:rPr>
                <w:b/>
                <w:sz w:val="20"/>
              </w:rPr>
            </w:pPr>
          </w:p>
        </w:tc>
        <w:tc>
          <w:tcPr>
            <w:tcW w:w="0" w:type="auto"/>
            <w:tcBorders>
              <w:bottom w:val="single" w:sz="0" w:space="0" w:color="auto"/>
            </w:tcBorders>
            <w:vAlign w:val="bottom"/>
          </w:tcPr>
          <w:p w:rsidR="00DD760D" w:rsidRPr="00221AAF" w:rsidRDefault="00221AAF" w:rsidP="00221AAF">
            <w:pPr>
              <w:pStyle w:val="Compact"/>
              <w:rPr>
                <w:b/>
              </w:rPr>
            </w:pPr>
            <w:r w:rsidRPr="00221AAF">
              <w:rPr>
                <w:b/>
              </w:rPr>
              <w:t>Nigeria</w:t>
            </w:r>
          </w:p>
        </w:tc>
        <w:tc>
          <w:tcPr>
            <w:tcW w:w="0" w:type="auto"/>
            <w:tcBorders>
              <w:bottom w:val="single" w:sz="0" w:space="0" w:color="auto"/>
            </w:tcBorders>
            <w:vAlign w:val="bottom"/>
          </w:tcPr>
          <w:p w:rsidR="00DD760D" w:rsidRPr="00221AAF" w:rsidRDefault="00221AAF" w:rsidP="00221AAF">
            <w:pPr>
              <w:pStyle w:val="Compact"/>
              <w:rPr>
                <w:b/>
              </w:rPr>
            </w:pPr>
            <w:r w:rsidRPr="00221AAF">
              <w:rPr>
                <w:b/>
              </w:rPr>
              <w:t>Ghana</w:t>
            </w:r>
          </w:p>
        </w:tc>
        <w:tc>
          <w:tcPr>
            <w:tcW w:w="0" w:type="auto"/>
            <w:tcBorders>
              <w:bottom w:val="single" w:sz="0" w:space="0" w:color="auto"/>
            </w:tcBorders>
            <w:vAlign w:val="bottom"/>
          </w:tcPr>
          <w:p w:rsidR="00DD760D" w:rsidRPr="00221AAF" w:rsidRDefault="00221AAF" w:rsidP="00221AAF">
            <w:pPr>
              <w:pStyle w:val="Compact"/>
              <w:rPr>
                <w:b/>
              </w:rPr>
            </w:pPr>
            <w:r w:rsidRPr="00221AAF">
              <w:rPr>
                <w:b/>
              </w:rPr>
              <w:t>Mali</w:t>
            </w:r>
          </w:p>
        </w:tc>
        <w:tc>
          <w:tcPr>
            <w:tcW w:w="0" w:type="auto"/>
            <w:tcBorders>
              <w:bottom w:val="single" w:sz="0" w:space="0" w:color="auto"/>
            </w:tcBorders>
            <w:vAlign w:val="bottom"/>
          </w:tcPr>
          <w:p w:rsidR="00DD760D" w:rsidRPr="00221AAF" w:rsidRDefault="00221AAF" w:rsidP="00221AAF">
            <w:pPr>
              <w:pStyle w:val="Compact"/>
              <w:rPr>
                <w:b/>
              </w:rPr>
            </w:pPr>
            <w:r w:rsidRPr="00221AAF">
              <w:rPr>
                <w:b/>
              </w:rPr>
              <w:t>Senegal</w:t>
            </w:r>
          </w:p>
        </w:tc>
        <w:tc>
          <w:tcPr>
            <w:tcW w:w="0" w:type="auto"/>
            <w:tcBorders>
              <w:bottom w:val="single" w:sz="0" w:space="0" w:color="auto"/>
            </w:tcBorders>
            <w:vAlign w:val="bottom"/>
          </w:tcPr>
          <w:p w:rsidR="00DD760D" w:rsidRPr="00221AAF" w:rsidRDefault="00221AAF" w:rsidP="00221AAF">
            <w:pPr>
              <w:pStyle w:val="Compact"/>
              <w:rPr>
                <w:b/>
              </w:rPr>
            </w:pPr>
            <w:r w:rsidRPr="00221AAF">
              <w:rPr>
                <w:b/>
              </w:rPr>
              <w:t>Niger</w:t>
            </w:r>
          </w:p>
        </w:tc>
        <w:tc>
          <w:tcPr>
            <w:tcW w:w="0" w:type="auto"/>
            <w:tcBorders>
              <w:bottom w:val="single" w:sz="0" w:space="0" w:color="auto"/>
            </w:tcBorders>
            <w:vAlign w:val="bottom"/>
          </w:tcPr>
          <w:p w:rsidR="00DD760D" w:rsidRPr="00221AAF" w:rsidRDefault="00221AAF" w:rsidP="00221AAF">
            <w:pPr>
              <w:pStyle w:val="Compact"/>
              <w:rPr>
                <w:b/>
              </w:rPr>
            </w:pPr>
            <w:r w:rsidRPr="00221AAF">
              <w:rPr>
                <w:b/>
              </w:rPr>
              <w:t>Togo</w:t>
            </w:r>
          </w:p>
        </w:tc>
        <w:tc>
          <w:tcPr>
            <w:tcW w:w="0" w:type="auto"/>
            <w:tcBorders>
              <w:bottom w:val="single" w:sz="0" w:space="0" w:color="auto"/>
            </w:tcBorders>
            <w:vAlign w:val="bottom"/>
          </w:tcPr>
          <w:p w:rsidR="00DD760D" w:rsidRPr="00221AAF" w:rsidRDefault="00221AAF" w:rsidP="00221AAF">
            <w:pPr>
              <w:pStyle w:val="Compact"/>
              <w:rPr>
                <w:b/>
              </w:rPr>
            </w:pPr>
            <w:r w:rsidRPr="00221AAF">
              <w:rPr>
                <w:b/>
              </w:rPr>
              <w:t>Benin</w:t>
            </w:r>
          </w:p>
        </w:tc>
        <w:tc>
          <w:tcPr>
            <w:tcW w:w="0" w:type="auto"/>
            <w:tcBorders>
              <w:bottom w:val="single" w:sz="0" w:space="0" w:color="auto"/>
            </w:tcBorders>
            <w:vAlign w:val="bottom"/>
          </w:tcPr>
          <w:p w:rsidR="00DD760D" w:rsidRPr="00221AAF" w:rsidRDefault="00221AAF" w:rsidP="00221AAF">
            <w:pPr>
              <w:pStyle w:val="Compact"/>
              <w:rPr>
                <w:b/>
              </w:rPr>
            </w:pPr>
            <w:r w:rsidRPr="00221AAF">
              <w:rPr>
                <w:b/>
              </w:rPr>
              <w:t>Burkina</w:t>
            </w:r>
          </w:p>
        </w:tc>
        <w:tc>
          <w:tcPr>
            <w:tcW w:w="0" w:type="auto"/>
            <w:tcBorders>
              <w:bottom w:val="single" w:sz="0" w:space="0" w:color="auto"/>
            </w:tcBorders>
            <w:vAlign w:val="bottom"/>
          </w:tcPr>
          <w:p w:rsidR="00DD760D" w:rsidRPr="00221AAF" w:rsidRDefault="00221AAF" w:rsidP="00221AAF">
            <w:pPr>
              <w:pStyle w:val="Compact"/>
              <w:rPr>
                <w:b/>
              </w:rPr>
            </w:pPr>
            <w:r w:rsidRPr="00221AAF">
              <w:rPr>
                <w:b/>
              </w:rPr>
              <w:t>Cote</w:t>
            </w:r>
          </w:p>
        </w:tc>
      </w:tr>
      <w:tr w:rsidR="00DD760D" w:rsidRPr="00221AAF" w:rsidTr="00221AAF">
        <w:trPr>
          <w:jc w:val="center"/>
        </w:trPr>
        <w:tc>
          <w:tcPr>
            <w:tcW w:w="0" w:type="auto"/>
          </w:tcPr>
          <w:p w:rsidR="00DD760D" w:rsidRPr="00221AAF" w:rsidRDefault="00221AAF" w:rsidP="00221AAF">
            <w:pPr>
              <w:pStyle w:val="Compact"/>
            </w:pPr>
            <m:oMathPara>
              <m:oMath>
                <m:r>
                  <w:rPr>
                    <w:rFonts w:ascii="Cambria Math" w:hAnsi="Cambria Math"/>
                  </w:rPr>
                  <m:t>Δln</m:t>
                </m:r>
                <m:sSubSup>
                  <m:sSubSupPr>
                    <m:ctrlPr>
                      <w:rPr>
                        <w:rFonts w:ascii="Cambria Math" w:hAnsi="Cambria Math"/>
                      </w:rPr>
                    </m:ctrlPr>
                  </m:sSubSupPr>
                  <m:e>
                    <m:r>
                      <w:rPr>
                        <w:rFonts w:ascii="Cambria Math" w:hAnsi="Cambria Math"/>
                      </w:rPr>
                      <m:t>V</m:t>
                    </m:r>
                  </m:e>
                  <m:sub>
                    <m:r>
                      <w:rPr>
                        <w:rFonts w:ascii="Cambria Math" w:hAnsi="Cambria Math"/>
                      </w:rPr>
                      <m:t>t</m:t>
                    </m:r>
                  </m:sub>
                  <m:sup>
                    <m:r>
                      <w:rPr>
                        <w:rFonts w:ascii="Cambria Math" w:hAnsi="Cambria Math"/>
                      </w:rPr>
                      <m:t>+</m:t>
                    </m:r>
                  </m:sup>
                </m:sSubSup>
              </m:oMath>
            </m:oMathPara>
          </w:p>
        </w:tc>
        <w:tc>
          <w:tcPr>
            <w:tcW w:w="0" w:type="auto"/>
          </w:tcPr>
          <w:p w:rsidR="00DD760D" w:rsidRPr="00221AAF" w:rsidRDefault="00221AAF" w:rsidP="00221AAF">
            <w:pPr>
              <w:pStyle w:val="Compact"/>
            </w:pPr>
            <w:r w:rsidRPr="00221AAF">
              <w:t>-0.097**</w:t>
            </w:r>
          </w:p>
        </w:tc>
        <w:tc>
          <w:tcPr>
            <w:tcW w:w="0" w:type="auto"/>
          </w:tcPr>
          <w:p w:rsidR="00DD760D" w:rsidRPr="00221AAF" w:rsidRDefault="00221AAF" w:rsidP="00221AAF">
            <w:pPr>
              <w:pStyle w:val="Compact"/>
            </w:pPr>
            <w:r w:rsidRPr="00221AAF">
              <w:t>-0.029</w:t>
            </w:r>
          </w:p>
        </w:tc>
        <w:tc>
          <w:tcPr>
            <w:tcW w:w="0" w:type="auto"/>
          </w:tcPr>
          <w:p w:rsidR="00DD760D" w:rsidRPr="00221AAF" w:rsidRDefault="00221AAF" w:rsidP="00221AAF">
            <w:pPr>
              <w:pStyle w:val="Compact"/>
            </w:pPr>
            <w:r w:rsidRPr="00221AAF">
              <w:t>-1.937</w:t>
            </w:r>
          </w:p>
        </w:tc>
        <w:tc>
          <w:tcPr>
            <w:tcW w:w="0" w:type="auto"/>
          </w:tcPr>
          <w:p w:rsidR="00DD760D" w:rsidRPr="00221AAF" w:rsidRDefault="00221AAF" w:rsidP="00221AAF">
            <w:pPr>
              <w:pStyle w:val="Compact"/>
            </w:pPr>
            <w:r w:rsidRPr="00221AAF">
              <w:t>-0.007</w:t>
            </w:r>
          </w:p>
        </w:tc>
        <w:tc>
          <w:tcPr>
            <w:tcW w:w="0" w:type="auto"/>
          </w:tcPr>
          <w:p w:rsidR="00DD760D" w:rsidRPr="00221AAF" w:rsidRDefault="00221AAF" w:rsidP="00221AAF">
            <w:pPr>
              <w:pStyle w:val="Compact"/>
            </w:pPr>
            <w:r w:rsidRPr="00221AAF">
              <w:t>-0.321</w:t>
            </w:r>
          </w:p>
        </w:tc>
        <w:tc>
          <w:tcPr>
            <w:tcW w:w="0" w:type="auto"/>
          </w:tcPr>
          <w:p w:rsidR="00DD760D" w:rsidRPr="00221AAF" w:rsidRDefault="00221AAF" w:rsidP="00221AAF">
            <w:pPr>
              <w:pStyle w:val="Compact"/>
            </w:pPr>
            <w:r w:rsidRPr="00221AAF">
              <w:t>-0.125</w:t>
            </w:r>
          </w:p>
        </w:tc>
        <w:tc>
          <w:tcPr>
            <w:tcW w:w="0" w:type="auto"/>
          </w:tcPr>
          <w:p w:rsidR="00DD760D" w:rsidRPr="00221AAF" w:rsidRDefault="00221AAF" w:rsidP="00221AAF">
            <w:pPr>
              <w:pStyle w:val="Compact"/>
            </w:pPr>
            <w:r w:rsidRPr="00221AAF">
              <w:t>-2.335**</w:t>
            </w:r>
          </w:p>
        </w:tc>
        <w:tc>
          <w:tcPr>
            <w:tcW w:w="0" w:type="auto"/>
          </w:tcPr>
          <w:p w:rsidR="00DD760D" w:rsidRPr="00221AAF" w:rsidRDefault="00221AAF" w:rsidP="00221AAF">
            <w:pPr>
              <w:pStyle w:val="Compact"/>
            </w:pPr>
            <w:r w:rsidRPr="00221AAF">
              <w:t>-0.114</w:t>
            </w:r>
          </w:p>
        </w:tc>
        <w:tc>
          <w:tcPr>
            <w:tcW w:w="0" w:type="auto"/>
          </w:tcPr>
          <w:p w:rsidR="00DD760D" w:rsidRPr="00221AAF" w:rsidRDefault="00221AAF" w:rsidP="00221AAF">
            <w:pPr>
              <w:pStyle w:val="Compact"/>
            </w:pPr>
            <w:r w:rsidRPr="00221AAF">
              <w:t>0.116</w:t>
            </w:r>
          </w:p>
        </w:tc>
      </w:tr>
      <w:tr w:rsidR="00DD760D" w:rsidRPr="00221AAF" w:rsidTr="00221AAF">
        <w:trPr>
          <w:jc w:val="center"/>
        </w:trPr>
        <w:tc>
          <w:tcPr>
            <w:tcW w:w="0" w:type="auto"/>
          </w:tcPr>
          <w:p w:rsidR="00DD760D" w:rsidRPr="00221AAF" w:rsidRDefault="00221AAF" w:rsidP="00221AAF">
            <w:pPr>
              <w:pStyle w:val="Compact"/>
            </w:pPr>
            <m:oMathPara>
              <m:oMath>
                <m:r>
                  <w:rPr>
                    <w:rFonts w:ascii="Cambria Math" w:hAnsi="Cambria Math"/>
                  </w:rPr>
                  <m:t>Δln</m:t>
                </m:r>
                <m:sSubSup>
                  <m:sSubSupPr>
                    <m:ctrlPr>
                      <w:rPr>
                        <w:rFonts w:ascii="Cambria Math" w:hAnsi="Cambria Math"/>
                      </w:rPr>
                    </m:ctrlPr>
                  </m:sSubSupPr>
                  <m:e>
                    <m:r>
                      <w:rPr>
                        <w:rFonts w:ascii="Cambria Math" w:hAnsi="Cambria Math"/>
                      </w:rPr>
                      <m:t>V</m:t>
                    </m:r>
                  </m:e>
                  <m:sub>
                    <m:r>
                      <w:rPr>
                        <w:rFonts w:ascii="Cambria Math" w:hAnsi="Cambria Math"/>
                      </w:rPr>
                      <m:t>t-3</m:t>
                    </m:r>
                  </m:sub>
                  <m:sup>
                    <m:r>
                      <w:rPr>
                        <w:rFonts w:ascii="Cambria Math" w:hAnsi="Cambria Math"/>
                      </w:rPr>
                      <m:t>+</m:t>
                    </m:r>
                  </m:sup>
                </m:sSubSup>
              </m:oMath>
            </m:oMathPara>
          </w:p>
        </w:tc>
        <w:tc>
          <w:tcPr>
            <w:tcW w:w="0" w:type="auto"/>
          </w:tcPr>
          <w:p w:rsidR="00DD760D" w:rsidRPr="00221AAF" w:rsidRDefault="00DD760D" w:rsidP="00221AAF">
            <w:pPr>
              <w:jc w:val="both"/>
              <w:rPr>
                <w:sz w:val="20"/>
              </w:rPr>
            </w:pPr>
          </w:p>
        </w:tc>
        <w:tc>
          <w:tcPr>
            <w:tcW w:w="0" w:type="auto"/>
          </w:tcPr>
          <w:p w:rsidR="00DD760D" w:rsidRPr="00221AAF" w:rsidRDefault="00DD760D" w:rsidP="00221AAF">
            <w:pPr>
              <w:jc w:val="both"/>
              <w:rPr>
                <w:sz w:val="20"/>
              </w:rPr>
            </w:pPr>
          </w:p>
        </w:tc>
        <w:tc>
          <w:tcPr>
            <w:tcW w:w="0" w:type="auto"/>
          </w:tcPr>
          <w:p w:rsidR="00DD760D" w:rsidRPr="00221AAF" w:rsidRDefault="00DD760D" w:rsidP="00221AAF">
            <w:pPr>
              <w:jc w:val="both"/>
              <w:rPr>
                <w:sz w:val="20"/>
              </w:rPr>
            </w:pPr>
          </w:p>
        </w:tc>
        <w:tc>
          <w:tcPr>
            <w:tcW w:w="0" w:type="auto"/>
          </w:tcPr>
          <w:p w:rsidR="00DD760D" w:rsidRPr="00221AAF" w:rsidRDefault="00221AAF" w:rsidP="00221AAF">
            <w:pPr>
              <w:pStyle w:val="Compact"/>
            </w:pPr>
            <w:r w:rsidRPr="00221AAF">
              <w:t>-0.559**</w:t>
            </w:r>
          </w:p>
        </w:tc>
        <w:tc>
          <w:tcPr>
            <w:tcW w:w="0" w:type="auto"/>
          </w:tcPr>
          <w:p w:rsidR="00DD760D" w:rsidRPr="00221AAF" w:rsidRDefault="00DD760D" w:rsidP="00221AAF">
            <w:pPr>
              <w:jc w:val="both"/>
              <w:rPr>
                <w:sz w:val="20"/>
              </w:rPr>
            </w:pPr>
          </w:p>
        </w:tc>
        <w:tc>
          <w:tcPr>
            <w:tcW w:w="0" w:type="auto"/>
          </w:tcPr>
          <w:p w:rsidR="00DD760D" w:rsidRPr="00221AAF" w:rsidRDefault="00DD760D" w:rsidP="00221AAF">
            <w:pPr>
              <w:jc w:val="both"/>
              <w:rPr>
                <w:sz w:val="20"/>
              </w:rPr>
            </w:pPr>
          </w:p>
        </w:tc>
        <w:tc>
          <w:tcPr>
            <w:tcW w:w="0" w:type="auto"/>
          </w:tcPr>
          <w:p w:rsidR="00DD760D" w:rsidRPr="00221AAF" w:rsidRDefault="00DD760D" w:rsidP="00221AAF">
            <w:pPr>
              <w:jc w:val="both"/>
              <w:rPr>
                <w:sz w:val="20"/>
              </w:rPr>
            </w:pPr>
          </w:p>
        </w:tc>
        <w:tc>
          <w:tcPr>
            <w:tcW w:w="0" w:type="auto"/>
          </w:tcPr>
          <w:p w:rsidR="00DD760D" w:rsidRPr="00221AAF" w:rsidRDefault="00DD760D" w:rsidP="00221AAF">
            <w:pPr>
              <w:jc w:val="both"/>
              <w:rPr>
                <w:sz w:val="20"/>
              </w:rPr>
            </w:pPr>
          </w:p>
        </w:tc>
        <w:tc>
          <w:tcPr>
            <w:tcW w:w="0" w:type="auto"/>
          </w:tcPr>
          <w:p w:rsidR="00DD760D" w:rsidRPr="00221AAF" w:rsidRDefault="00DD760D" w:rsidP="00221AAF">
            <w:pPr>
              <w:jc w:val="both"/>
              <w:rPr>
                <w:sz w:val="20"/>
              </w:rPr>
            </w:pPr>
          </w:p>
        </w:tc>
      </w:tr>
      <w:tr w:rsidR="00DD760D" w:rsidRPr="00221AAF" w:rsidTr="00221AAF">
        <w:trPr>
          <w:jc w:val="center"/>
        </w:trPr>
        <w:tc>
          <w:tcPr>
            <w:tcW w:w="0" w:type="auto"/>
          </w:tcPr>
          <w:p w:rsidR="00DD760D" w:rsidRPr="00221AAF" w:rsidRDefault="00221AAF" w:rsidP="00221AAF">
            <w:pPr>
              <w:pStyle w:val="Compact"/>
            </w:pPr>
            <m:oMathPara>
              <m:oMath>
                <m:r>
                  <w:rPr>
                    <w:rFonts w:ascii="Cambria Math" w:hAnsi="Cambria Math"/>
                  </w:rPr>
                  <m:t>Δln</m:t>
                </m:r>
                <m:sSubSup>
                  <m:sSubSupPr>
                    <m:ctrlPr>
                      <w:rPr>
                        <w:rFonts w:ascii="Cambria Math" w:hAnsi="Cambria Math"/>
                      </w:rPr>
                    </m:ctrlPr>
                  </m:sSubSupPr>
                  <m:e>
                    <m:r>
                      <w:rPr>
                        <w:rFonts w:ascii="Cambria Math" w:hAnsi="Cambria Math"/>
                      </w:rPr>
                      <m:t>V</m:t>
                    </m:r>
                  </m:e>
                  <m:sub>
                    <m:r>
                      <w:rPr>
                        <w:rFonts w:ascii="Cambria Math" w:hAnsi="Cambria Math"/>
                      </w:rPr>
                      <m:t>t-4</m:t>
                    </m:r>
                  </m:sub>
                  <m:sup>
                    <m:r>
                      <w:rPr>
                        <w:rFonts w:ascii="Cambria Math" w:hAnsi="Cambria Math"/>
                      </w:rPr>
                      <m:t>+</m:t>
                    </m:r>
                  </m:sup>
                </m:sSubSup>
              </m:oMath>
            </m:oMathPara>
          </w:p>
        </w:tc>
        <w:tc>
          <w:tcPr>
            <w:tcW w:w="0" w:type="auto"/>
          </w:tcPr>
          <w:p w:rsidR="00DD760D" w:rsidRPr="00221AAF" w:rsidRDefault="00DD760D" w:rsidP="00221AAF">
            <w:pPr>
              <w:jc w:val="both"/>
              <w:rPr>
                <w:sz w:val="20"/>
              </w:rPr>
            </w:pPr>
          </w:p>
        </w:tc>
        <w:tc>
          <w:tcPr>
            <w:tcW w:w="0" w:type="auto"/>
          </w:tcPr>
          <w:p w:rsidR="00DD760D" w:rsidRPr="00221AAF" w:rsidRDefault="00DD760D" w:rsidP="00221AAF">
            <w:pPr>
              <w:jc w:val="both"/>
              <w:rPr>
                <w:sz w:val="20"/>
              </w:rPr>
            </w:pPr>
          </w:p>
        </w:tc>
        <w:tc>
          <w:tcPr>
            <w:tcW w:w="0" w:type="auto"/>
          </w:tcPr>
          <w:p w:rsidR="00DD760D" w:rsidRPr="00221AAF" w:rsidRDefault="00DD760D" w:rsidP="00221AAF">
            <w:pPr>
              <w:jc w:val="both"/>
              <w:rPr>
                <w:sz w:val="20"/>
              </w:rPr>
            </w:pPr>
          </w:p>
        </w:tc>
        <w:tc>
          <w:tcPr>
            <w:tcW w:w="0" w:type="auto"/>
          </w:tcPr>
          <w:p w:rsidR="00DD760D" w:rsidRPr="00221AAF" w:rsidRDefault="00221AAF" w:rsidP="00221AAF">
            <w:pPr>
              <w:pStyle w:val="Compact"/>
            </w:pPr>
            <w:r w:rsidRPr="00221AAF">
              <w:t>-0.954***</w:t>
            </w:r>
          </w:p>
        </w:tc>
        <w:tc>
          <w:tcPr>
            <w:tcW w:w="0" w:type="auto"/>
          </w:tcPr>
          <w:p w:rsidR="00DD760D" w:rsidRPr="00221AAF" w:rsidRDefault="00DD760D" w:rsidP="00221AAF">
            <w:pPr>
              <w:jc w:val="both"/>
              <w:rPr>
                <w:sz w:val="20"/>
              </w:rPr>
            </w:pPr>
          </w:p>
        </w:tc>
        <w:tc>
          <w:tcPr>
            <w:tcW w:w="0" w:type="auto"/>
          </w:tcPr>
          <w:p w:rsidR="00DD760D" w:rsidRPr="00221AAF" w:rsidRDefault="00DD760D" w:rsidP="00221AAF">
            <w:pPr>
              <w:jc w:val="both"/>
              <w:rPr>
                <w:sz w:val="20"/>
              </w:rPr>
            </w:pPr>
          </w:p>
        </w:tc>
        <w:tc>
          <w:tcPr>
            <w:tcW w:w="0" w:type="auto"/>
          </w:tcPr>
          <w:p w:rsidR="00DD760D" w:rsidRPr="00221AAF" w:rsidRDefault="00221AAF" w:rsidP="00221AAF">
            <w:pPr>
              <w:pStyle w:val="Compact"/>
            </w:pPr>
            <w:r w:rsidRPr="00221AAF">
              <w:t>0.387**</w:t>
            </w:r>
          </w:p>
        </w:tc>
        <w:tc>
          <w:tcPr>
            <w:tcW w:w="0" w:type="auto"/>
          </w:tcPr>
          <w:p w:rsidR="00DD760D" w:rsidRPr="00221AAF" w:rsidRDefault="00DD760D" w:rsidP="00221AAF">
            <w:pPr>
              <w:jc w:val="both"/>
              <w:rPr>
                <w:sz w:val="20"/>
              </w:rPr>
            </w:pPr>
          </w:p>
        </w:tc>
        <w:tc>
          <w:tcPr>
            <w:tcW w:w="0" w:type="auto"/>
          </w:tcPr>
          <w:p w:rsidR="00DD760D" w:rsidRPr="00221AAF" w:rsidRDefault="00DD760D" w:rsidP="00221AAF">
            <w:pPr>
              <w:jc w:val="both"/>
              <w:rPr>
                <w:sz w:val="20"/>
              </w:rPr>
            </w:pPr>
          </w:p>
        </w:tc>
      </w:tr>
      <w:tr w:rsidR="00DD760D" w:rsidRPr="00221AAF" w:rsidTr="00221AAF">
        <w:trPr>
          <w:jc w:val="center"/>
        </w:trPr>
        <w:tc>
          <w:tcPr>
            <w:tcW w:w="0" w:type="auto"/>
          </w:tcPr>
          <w:p w:rsidR="00DD760D" w:rsidRPr="00221AAF" w:rsidRDefault="00221AAF" w:rsidP="00221AAF">
            <w:pPr>
              <w:pStyle w:val="Compact"/>
            </w:pPr>
            <m:oMathPara>
              <m:oMath>
                <m:r>
                  <w:rPr>
                    <w:rFonts w:ascii="Cambria Math" w:hAnsi="Cambria Math"/>
                  </w:rPr>
                  <m:t>Δln</m:t>
                </m:r>
                <m:sSubSup>
                  <m:sSubSupPr>
                    <m:ctrlPr>
                      <w:rPr>
                        <w:rFonts w:ascii="Cambria Math" w:hAnsi="Cambria Math"/>
                      </w:rPr>
                    </m:ctrlPr>
                  </m:sSubSupPr>
                  <m:e>
                    <m:r>
                      <w:rPr>
                        <w:rFonts w:ascii="Cambria Math" w:hAnsi="Cambria Math"/>
                      </w:rPr>
                      <m:t>V</m:t>
                    </m:r>
                  </m:e>
                  <m:sub>
                    <m:r>
                      <w:rPr>
                        <w:rFonts w:ascii="Cambria Math" w:hAnsi="Cambria Math"/>
                      </w:rPr>
                      <m:t>t-7</m:t>
                    </m:r>
                  </m:sub>
                  <m:sup>
                    <m:r>
                      <w:rPr>
                        <w:rFonts w:ascii="Cambria Math" w:hAnsi="Cambria Math"/>
                      </w:rPr>
                      <m:t>+</m:t>
                    </m:r>
                  </m:sup>
                </m:sSubSup>
              </m:oMath>
            </m:oMathPara>
          </w:p>
        </w:tc>
        <w:tc>
          <w:tcPr>
            <w:tcW w:w="0" w:type="auto"/>
          </w:tcPr>
          <w:p w:rsidR="00DD760D" w:rsidRPr="00221AAF" w:rsidRDefault="00DD760D" w:rsidP="00221AAF">
            <w:pPr>
              <w:jc w:val="both"/>
              <w:rPr>
                <w:sz w:val="20"/>
              </w:rPr>
            </w:pPr>
          </w:p>
        </w:tc>
        <w:tc>
          <w:tcPr>
            <w:tcW w:w="0" w:type="auto"/>
          </w:tcPr>
          <w:p w:rsidR="00DD760D" w:rsidRPr="00221AAF" w:rsidRDefault="00DD760D" w:rsidP="00221AAF">
            <w:pPr>
              <w:jc w:val="both"/>
              <w:rPr>
                <w:sz w:val="20"/>
              </w:rPr>
            </w:pPr>
          </w:p>
        </w:tc>
        <w:tc>
          <w:tcPr>
            <w:tcW w:w="0" w:type="auto"/>
          </w:tcPr>
          <w:p w:rsidR="00DD760D" w:rsidRPr="00221AAF" w:rsidRDefault="00DD760D" w:rsidP="00221AAF">
            <w:pPr>
              <w:jc w:val="both"/>
              <w:rPr>
                <w:sz w:val="20"/>
              </w:rPr>
            </w:pPr>
          </w:p>
        </w:tc>
        <w:tc>
          <w:tcPr>
            <w:tcW w:w="0" w:type="auto"/>
          </w:tcPr>
          <w:p w:rsidR="00DD760D" w:rsidRPr="00221AAF" w:rsidRDefault="00221AAF" w:rsidP="00221AAF">
            <w:pPr>
              <w:pStyle w:val="Compact"/>
            </w:pPr>
            <w:r w:rsidRPr="00221AAF">
              <w:t>-0.480**</w:t>
            </w:r>
          </w:p>
        </w:tc>
        <w:tc>
          <w:tcPr>
            <w:tcW w:w="0" w:type="auto"/>
          </w:tcPr>
          <w:p w:rsidR="00DD760D" w:rsidRPr="00221AAF" w:rsidRDefault="00DD760D" w:rsidP="00221AAF">
            <w:pPr>
              <w:jc w:val="both"/>
              <w:rPr>
                <w:sz w:val="20"/>
              </w:rPr>
            </w:pPr>
          </w:p>
        </w:tc>
        <w:tc>
          <w:tcPr>
            <w:tcW w:w="0" w:type="auto"/>
          </w:tcPr>
          <w:p w:rsidR="00DD760D" w:rsidRPr="00221AAF" w:rsidRDefault="00DD760D" w:rsidP="00221AAF">
            <w:pPr>
              <w:jc w:val="both"/>
              <w:rPr>
                <w:sz w:val="20"/>
              </w:rPr>
            </w:pPr>
          </w:p>
        </w:tc>
        <w:tc>
          <w:tcPr>
            <w:tcW w:w="0" w:type="auto"/>
          </w:tcPr>
          <w:p w:rsidR="00DD760D" w:rsidRPr="00221AAF" w:rsidRDefault="00DD760D" w:rsidP="00221AAF">
            <w:pPr>
              <w:jc w:val="both"/>
              <w:rPr>
                <w:sz w:val="20"/>
              </w:rPr>
            </w:pPr>
          </w:p>
        </w:tc>
        <w:tc>
          <w:tcPr>
            <w:tcW w:w="0" w:type="auto"/>
          </w:tcPr>
          <w:p w:rsidR="00DD760D" w:rsidRPr="00221AAF" w:rsidRDefault="00221AAF" w:rsidP="00221AAF">
            <w:pPr>
              <w:pStyle w:val="Compact"/>
            </w:pPr>
            <w:r w:rsidRPr="00221AAF">
              <w:t>0.426**</w:t>
            </w:r>
          </w:p>
        </w:tc>
        <w:tc>
          <w:tcPr>
            <w:tcW w:w="0" w:type="auto"/>
          </w:tcPr>
          <w:p w:rsidR="00DD760D" w:rsidRPr="00221AAF" w:rsidRDefault="00DD760D" w:rsidP="00221AAF">
            <w:pPr>
              <w:jc w:val="both"/>
              <w:rPr>
                <w:sz w:val="20"/>
              </w:rPr>
            </w:pPr>
          </w:p>
        </w:tc>
      </w:tr>
      <w:tr w:rsidR="00DD760D" w:rsidRPr="00221AAF" w:rsidTr="00221AAF">
        <w:trPr>
          <w:jc w:val="center"/>
        </w:trPr>
        <w:tc>
          <w:tcPr>
            <w:tcW w:w="0" w:type="auto"/>
          </w:tcPr>
          <w:p w:rsidR="00DD760D" w:rsidRPr="00221AAF" w:rsidRDefault="00221AAF" w:rsidP="00221AAF">
            <w:pPr>
              <w:pStyle w:val="Compact"/>
            </w:pPr>
            <m:oMathPara>
              <m:oMath>
                <m:r>
                  <w:rPr>
                    <w:rFonts w:ascii="Cambria Math" w:hAnsi="Cambria Math"/>
                  </w:rPr>
                  <m:t>Δln</m:t>
                </m:r>
                <m:sSubSup>
                  <m:sSubSupPr>
                    <m:ctrlPr>
                      <w:rPr>
                        <w:rFonts w:ascii="Cambria Math" w:hAnsi="Cambria Math"/>
                      </w:rPr>
                    </m:ctrlPr>
                  </m:sSubSupPr>
                  <m:e>
                    <m:r>
                      <w:rPr>
                        <w:rFonts w:ascii="Cambria Math" w:hAnsi="Cambria Math"/>
                      </w:rPr>
                      <m:t>V</m:t>
                    </m:r>
                  </m:e>
                  <m:sub>
                    <m:r>
                      <w:rPr>
                        <w:rFonts w:ascii="Cambria Math" w:hAnsi="Cambria Math"/>
                      </w:rPr>
                      <m:t>t</m:t>
                    </m:r>
                  </m:sub>
                  <m:sup>
                    <m:r>
                      <w:rPr>
                        <w:rFonts w:ascii="Cambria Math" w:hAnsi="Cambria Math"/>
                      </w:rPr>
                      <m:t>-</m:t>
                    </m:r>
                  </m:sup>
                </m:sSubSup>
              </m:oMath>
            </m:oMathPara>
          </w:p>
        </w:tc>
        <w:tc>
          <w:tcPr>
            <w:tcW w:w="0" w:type="auto"/>
          </w:tcPr>
          <w:p w:rsidR="00DD760D" w:rsidRPr="00221AAF" w:rsidRDefault="00221AAF" w:rsidP="00221AAF">
            <w:pPr>
              <w:pStyle w:val="Compact"/>
            </w:pPr>
            <w:r w:rsidRPr="00221AAF">
              <w:t>0.106</w:t>
            </w:r>
          </w:p>
        </w:tc>
        <w:tc>
          <w:tcPr>
            <w:tcW w:w="0" w:type="auto"/>
          </w:tcPr>
          <w:p w:rsidR="00DD760D" w:rsidRPr="00221AAF" w:rsidRDefault="00221AAF" w:rsidP="00221AAF">
            <w:pPr>
              <w:pStyle w:val="Compact"/>
            </w:pPr>
            <w:r w:rsidRPr="00221AAF">
              <w:t>0.214</w:t>
            </w:r>
          </w:p>
        </w:tc>
        <w:tc>
          <w:tcPr>
            <w:tcW w:w="0" w:type="auto"/>
          </w:tcPr>
          <w:p w:rsidR="00DD760D" w:rsidRPr="00221AAF" w:rsidRDefault="00221AAF" w:rsidP="00221AAF">
            <w:pPr>
              <w:pStyle w:val="Compact"/>
            </w:pPr>
            <w:r w:rsidRPr="00221AAF">
              <w:t>-2.072312</w:t>
            </w:r>
          </w:p>
        </w:tc>
        <w:tc>
          <w:tcPr>
            <w:tcW w:w="0" w:type="auto"/>
          </w:tcPr>
          <w:p w:rsidR="00DD760D" w:rsidRPr="00221AAF" w:rsidRDefault="00221AAF" w:rsidP="00221AAF">
            <w:pPr>
              <w:pStyle w:val="Compact"/>
            </w:pPr>
            <w:r w:rsidRPr="00221AAF">
              <w:t>0.085</w:t>
            </w:r>
          </w:p>
        </w:tc>
        <w:tc>
          <w:tcPr>
            <w:tcW w:w="0" w:type="auto"/>
          </w:tcPr>
          <w:p w:rsidR="00DD760D" w:rsidRPr="00221AAF" w:rsidRDefault="00221AAF" w:rsidP="00221AAF">
            <w:pPr>
              <w:pStyle w:val="Compact"/>
            </w:pPr>
            <w:r w:rsidRPr="00221AAF">
              <w:t>0.059</w:t>
            </w:r>
          </w:p>
        </w:tc>
        <w:tc>
          <w:tcPr>
            <w:tcW w:w="0" w:type="auto"/>
          </w:tcPr>
          <w:p w:rsidR="00DD760D" w:rsidRPr="00221AAF" w:rsidRDefault="00221AAF" w:rsidP="00221AAF">
            <w:pPr>
              <w:pStyle w:val="Compact"/>
            </w:pPr>
            <w:r w:rsidRPr="00221AAF">
              <w:t>-0.155</w:t>
            </w:r>
          </w:p>
        </w:tc>
        <w:tc>
          <w:tcPr>
            <w:tcW w:w="0" w:type="auto"/>
          </w:tcPr>
          <w:p w:rsidR="00DD760D" w:rsidRPr="00221AAF" w:rsidRDefault="00221AAF" w:rsidP="00221AAF">
            <w:pPr>
              <w:pStyle w:val="Compact"/>
            </w:pPr>
            <w:r w:rsidRPr="00221AAF">
              <w:t>-0.202</w:t>
            </w:r>
          </w:p>
        </w:tc>
        <w:tc>
          <w:tcPr>
            <w:tcW w:w="0" w:type="auto"/>
          </w:tcPr>
          <w:p w:rsidR="00DD760D" w:rsidRPr="00221AAF" w:rsidRDefault="00221AAF" w:rsidP="00221AAF">
            <w:pPr>
              <w:pStyle w:val="Compact"/>
            </w:pPr>
            <w:r w:rsidRPr="00221AAF">
              <w:t>0.823</w:t>
            </w:r>
          </w:p>
        </w:tc>
        <w:tc>
          <w:tcPr>
            <w:tcW w:w="0" w:type="auto"/>
          </w:tcPr>
          <w:p w:rsidR="00DD760D" w:rsidRPr="00221AAF" w:rsidRDefault="00221AAF" w:rsidP="00221AAF">
            <w:pPr>
              <w:pStyle w:val="Compact"/>
            </w:pPr>
            <w:r w:rsidRPr="00221AAF">
              <w:t>-0.107</w:t>
            </w:r>
          </w:p>
        </w:tc>
      </w:tr>
      <w:tr w:rsidR="00DD760D" w:rsidRPr="00221AAF" w:rsidTr="00221AAF">
        <w:trPr>
          <w:jc w:val="center"/>
        </w:trPr>
        <w:tc>
          <w:tcPr>
            <w:tcW w:w="0" w:type="auto"/>
          </w:tcPr>
          <w:p w:rsidR="00DD760D" w:rsidRPr="00221AAF" w:rsidRDefault="00221AAF" w:rsidP="00221AAF">
            <w:pPr>
              <w:pStyle w:val="Compact"/>
            </w:pPr>
            <m:oMathPara>
              <m:oMath>
                <m:r>
                  <w:rPr>
                    <w:rFonts w:ascii="Cambria Math" w:hAnsi="Cambria Math"/>
                  </w:rPr>
                  <m:t>Δln</m:t>
                </m:r>
                <m:sSubSup>
                  <m:sSubSupPr>
                    <m:ctrlPr>
                      <w:rPr>
                        <w:rFonts w:ascii="Cambria Math" w:hAnsi="Cambria Math"/>
                      </w:rPr>
                    </m:ctrlPr>
                  </m:sSubSupPr>
                  <m:e>
                    <m:r>
                      <w:rPr>
                        <w:rFonts w:ascii="Cambria Math" w:hAnsi="Cambria Math"/>
                      </w:rPr>
                      <m:t>V</m:t>
                    </m:r>
                  </m:e>
                  <m:sub>
                    <m:r>
                      <w:rPr>
                        <w:rFonts w:ascii="Cambria Math" w:hAnsi="Cambria Math"/>
                      </w:rPr>
                      <m:t>t-2</m:t>
                    </m:r>
                  </m:sub>
                  <m:sup>
                    <m:r>
                      <w:rPr>
                        <w:rFonts w:ascii="Cambria Math" w:hAnsi="Cambria Math"/>
                      </w:rPr>
                      <m:t>-</m:t>
                    </m:r>
                  </m:sup>
                </m:sSubSup>
              </m:oMath>
            </m:oMathPara>
          </w:p>
        </w:tc>
        <w:tc>
          <w:tcPr>
            <w:tcW w:w="0" w:type="auto"/>
          </w:tcPr>
          <w:p w:rsidR="00DD760D" w:rsidRPr="00221AAF" w:rsidRDefault="00221AAF" w:rsidP="00221AAF">
            <w:pPr>
              <w:pStyle w:val="Compact"/>
            </w:pPr>
            <w:r w:rsidRPr="00221AAF">
              <w:t>-0.116**</w:t>
            </w:r>
          </w:p>
        </w:tc>
        <w:tc>
          <w:tcPr>
            <w:tcW w:w="0" w:type="auto"/>
          </w:tcPr>
          <w:p w:rsidR="00DD760D" w:rsidRPr="00221AAF" w:rsidRDefault="00DD760D" w:rsidP="00221AAF">
            <w:pPr>
              <w:jc w:val="both"/>
              <w:rPr>
                <w:sz w:val="20"/>
              </w:rPr>
            </w:pPr>
          </w:p>
        </w:tc>
        <w:tc>
          <w:tcPr>
            <w:tcW w:w="0" w:type="auto"/>
          </w:tcPr>
          <w:p w:rsidR="00DD760D" w:rsidRPr="00221AAF" w:rsidRDefault="00DD760D" w:rsidP="00221AAF">
            <w:pPr>
              <w:jc w:val="both"/>
              <w:rPr>
                <w:sz w:val="20"/>
              </w:rPr>
            </w:pPr>
          </w:p>
        </w:tc>
        <w:tc>
          <w:tcPr>
            <w:tcW w:w="0" w:type="auto"/>
          </w:tcPr>
          <w:p w:rsidR="00DD760D" w:rsidRPr="00221AAF" w:rsidRDefault="00DD760D" w:rsidP="00221AAF">
            <w:pPr>
              <w:jc w:val="both"/>
              <w:rPr>
                <w:sz w:val="20"/>
              </w:rPr>
            </w:pPr>
          </w:p>
        </w:tc>
        <w:tc>
          <w:tcPr>
            <w:tcW w:w="0" w:type="auto"/>
          </w:tcPr>
          <w:p w:rsidR="00DD760D" w:rsidRPr="00221AAF" w:rsidRDefault="00DD760D" w:rsidP="00221AAF">
            <w:pPr>
              <w:jc w:val="both"/>
              <w:rPr>
                <w:sz w:val="20"/>
              </w:rPr>
            </w:pPr>
          </w:p>
        </w:tc>
        <w:tc>
          <w:tcPr>
            <w:tcW w:w="0" w:type="auto"/>
          </w:tcPr>
          <w:p w:rsidR="00DD760D" w:rsidRPr="00221AAF" w:rsidRDefault="00DD760D" w:rsidP="00221AAF">
            <w:pPr>
              <w:jc w:val="both"/>
              <w:rPr>
                <w:sz w:val="20"/>
              </w:rPr>
            </w:pPr>
          </w:p>
        </w:tc>
        <w:tc>
          <w:tcPr>
            <w:tcW w:w="0" w:type="auto"/>
          </w:tcPr>
          <w:p w:rsidR="00DD760D" w:rsidRPr="00221AAF" w:rsidRDefault="00DD760D" w:rsidP="00221AAF">
            <w:pPr>
              <w:jc w:val="both"/>
              <w:rPr>
                <w:sz w:val="20"/>
              </w:rPr>
            </w:pPr>
          </w:p>
        </w:tc>
        <w:tc>
          <w:tcPr>
            <w:tcW w:w="0" w:type="auto"/>
          </w:tcPr>
          <w:p w:rsidR="00DD760D" w:rsidRPr="00221AAF" w:rsidRDefault="00221AAF" w:rsidP="00221AAF">
            <w:pPr>
              <w:pStyle w:val="Compact"/>
            </w:pPr>
            <w:r w:rsidRPr="00221AAF">
              <w:t>1.135**</w:t>
            </w:r>
          </w:p>
        </w:tc>
        <w:tc>
          <w:tcPr>
            <w:tcW w:w="0" w:type="auto"/>
          </w:tcPr>
          <w:p w:rsidR="00DD760D" w:rsidRPr="00221AAF" w:rsidRDefault="00221AAF" w:rsidP="00221AAF">
            <w:pPr>
              <w:pStyle w:val="Compact"/>
            </w:pPr>
            <w:r w:rsidRPr="00221AAF">
              <w:t>-0.301**</w:t>
            </w:r>
          </w:p>
        </w:tc>
      </w:tr>
      <w:tr w:rsidR="00DD760D" w:rsidRPr="00221AAF" w:rsidTr="00221AAF">
        <w:trPr>
          <w:jc w:val="center"/>
        </w:trPr>
        <w:tc>
          <w:tcPr>
            <w:tcW w:w="0" w:type="auto"/>
          </w:tcPr>
          <w:p w:rsidR="00DD760D" w:rsidRPr="00221AAF" w:rsidRDefault="00221AAF" w:rsidP="00221AAF">
            <w:pPr>
              <w:pStyle w:val="Compact"/>
            </w:pPr>
            <m:oMathPara>
              <m:oMath>
                <m:r>
                  <w:rPr>
                    <w:rFonts w:ascii="Cambria Math" w:hAnsi="Cambria Math"/>
                  </w:rPr>
                  <m:t>Δln</m:t>
                </m:r>
                <m:sSubSup>
                  <m:sSubSupPr>
                    <m:ctrlPr>
                      <w:rPr>
                        <w:rFonts w:ascii="Cambria Math" w:hAnsi="Cambria Math"/>
                      </w:rPr>
                    </m:ctrlPr>
                  </m:sSubSupPr>
                  <m:e>
                    <m:r>
                      <w:rPr>
                        <w:rFonts w:ascii="Cambria Math" w:hAnsi="Cambria Math"/>
                      </w:rPr>
                      <m:t>V</m:t>
                    </m:r>
                  </m:e>
                  <m:sub>
                    <m:r>
                      <w:rPr>
                        <w:rFonts w:ascii="Cambria Math" w:hAnsi="Cambria Math"/>
                      </w:rPr>
                      <m:t>t-7</m:t>
                    </m:r>
                  </m:sub>
                  <m:sup>
                    <m:r>
                      <w:rPr>
                        <w:rFonts w:ascii="Cambria Math" w:hAnsi="Cambria Math"/>
                      </w:rPr>
                      <m:t>-</m:t>
                    </m:r>
                  </m:sup>
                </m:sSubSup>
              </m:oMath>
            </m:oMathPara>
          </w:p>
        </w:tc>
        <w:tc>
          <w:tcPr>
            <w:tcW w:w="0" w:type="auto"/>
          </w:tcPr>
          <w:p w:rsidR="00DD760D" w:rsidRPr="00221AAF" w:rsidRDefault="00DD760D" w:rsidP="00221AAF">
            <w:pPr>
              <w:jc w:val="both"/>
              <w:rPr>
                <w:sz w:val="20"/>
              </w:rPr>
            </w:pPr>
          </w:p>
        </w:tc>
        <w:tc>
          <w:tcPr>
            <w:tcW w:w="0" w:type="auto"/>
          </w:tcPr>
          <w:p w:rsidR="00DD760D" w:rsidRPr="00221AAF" w:rsidRDefault="00DD760D" w:rsidP="00221AAF">
            <w:pPr>
              <w:jc w:val="both"/>
              <w:rPr>
                <w:sz w:val="20"/>
              </w:rPr>
            </w:pPr>
          </w:p>
        </w:tc>
        <w:tc>
          <w:tcPr>
            <w:tcW w:w="0" w:type="auto"/>
          </w:tcPr>
          <w:p w:rsidR="00DD760D" w:rsidRPr="00221AAF" w:rsidRDefault="00221AAF" w:rsidP="00221AAF">
            <w:pPr>
              <w:pStyle w:val="Compact"/>
            </w:pPr>
            <w:r w:rsidRPr="00221AAF">
              <w:t>-9.854**</w:t>
            </w:r>
          </w:p>
        </w:tc>
        <w:tc>
          <w:tcPr>
            <w:tcW w:w="0" w:type="auto"/>
          </w:tcPr>
          <w:p w:rsidR="00DD760D" w:rsidRPr="00221AAF" w:rsidRDefault="00DD760D" w:rsidP="00221AAF">
            <w:pPr>
              <w:jc w:val="both"/>
              <w:rPr>
                <w:sz w:val="20"/>
              </w:rPr>
            </w:pPr>
          </w:p>
        </w:tc>
        <w:tc>
          <w:tcPr>
            <w:tcW w:w="0" w:type="auto"/>
          </w:tcPr>
          <w:p w:rsidR="00DD760D" w:rsidRPr="00221AAF" w:rsidRDefault="00DD760D" w:rsidP="00221AAF">
            <w:pPr>
              <w:jc w:val="both"/>
              <w:rPr>
                <w:sz w:val="20"/>
              </w:rPr>
            </w:pPr>
          </w:p>
        </w:tc>
        <w:tc>
          <w:tcPr>
            <w:tcW w:w="0" w:type="auto"/>
          </w:tcPr>
          <w:p w:rsidR="00DD760D" w:rsidRPr="00221AAF" w:rsidRDefault="00DD760D" w:rsidP="00221AAF">
            <w:pPr>
              <w:jc w:val="both"/>
              <w:rPr>
                <w:sz w:val="20"/>
              </w:rPr>
            </w:pPr>
          </w:p>
        </w:tc>
        <w:tc>
          <w:tcPr>
            <w:tcW w:w="0" w:type="auto"/>
          </w:tcPr>
          <w:p w:rsidR="00DD760D" w:rsidRPr="00221AAF" w:rsidRDefault="00DD760D" w:rsidP="00221AAF">
            <w:pPr>
              <w:jc w:val="both"/>
              <w:rPr>
                <w:sz w:val="20"/>
              </w:rPr>
            </w:pPr>
          </w:p>
        </w:tc>
        <w:tc>
          <w:tcPr>
            <w:tcW w:w="0" w:type="auto"/>
          </w:tcPr>
          <w:p w:rsidR="00DD760D" w:rsidRPr="00221AAF" w:rsidRDefault="00DD760D" w:rsidP="00221AAF">
            <w:pPr>
              <w:jc w:val="both"/>
              <w:rPr>
                <w:sz w:val="20"/>
              </w:rPr>
            </w:pPr>
          </w:p>
        </w:tc>
        <w:tc>
          <w:tcPr>
            <w:tcW w:w="0" w:type="auto"/>
          </w:tcPr>
          <w:p w:rsidR="00DD760D" w:rsidRPr="00221AAF" w:rsidRDefault="00DD760D" w:rsidP="00221AAF">
            <w:pPr>
              <w:jc w:val="both"/>
              <w:rPr>
                <w:sz w:val="20"/>
              </w:rPr>
            </w:pPr>
          </w:p>
        </w:tc>
      </w:tr>
      <w:tr w:rsidR="00DD760D" w:rsidRPr="00221AAF" w:rsidTr="00221AAF">
        <w:tblPrEx>
          <w:tblLook w:val="07C0" w:firstRow="0" w:lastRow="1" w:firstColumn="1" w:lastColumn="1" w:noHBand="1" w:noVBand="1"/>
        </w:tblPrEx>
        <w:trPr>
          <w:jc w:val="center"/>
        </w:trPr>
        <w:tc>
          <w:tcPr>
            <w:tcW w:w="0" w:type="auto"/>
            <w:gridSpan w:val="10"/>
          </w:tcPr>
          <w:p w:rsidR="00DD760D" w:rsidRPr="00221AAF" w:rsidRDefault="00221AAF" w:rsidP="00221AAF">
            <w:pPr>
              <w:pStyle w:val="Compact"/>
            </w:pPr>
            <w:r w:rsidRPr="00221AAF">
              <w:t>Note that *, ** and *** indicate significance at 10%, 5% and 1% respectively.</w:t>
            </w:r>
          </w:p>
        </w:tc>
      </w:tr>
    </w:tbl>
    <w:p w:rsidR="00DD760D" w:rsidRDefault="00221AAF">
      <w:pPr>
        <w:pStyle w:val="BodyText"/>
      </w:pPr>
      <w:r>
        <w:t>The foregoing analysis indicates the suitability of modelling the export-volatility and import-volatility relationships as asymmetric rather than symmetric, thereby addressing the first research question, which attempts to establish whether trade-volatility relationship is symmetric or asymmetric. Table 5 shows that asymmetry of volatility effect on the ECOWAS export in the long run is confirmed for six of the ECOWAS countries, while Table 6 indicates that seven countries have asymmetric import-volatility relationship. The next task is to identify the countries with short-run asymmetry of trade-volatility relationship. As shown in Table 7, Ghana, Senegal and Benin have at least one significant coefficient of the volatility measure in the export equation. On the other hand, Table 8 indicates that Nigeria, Mali, Senegal, Benin, Burkina Faso and Cote D’Ivoire have at least one significant coefficient of the volatility measure in the import equation. In other words, six countries have asymmetric export-volatility relationship and seven countries face import-volatility relationship.</w:t>
      </w:r>
    </w:p>
    <w:p w:rsidR="00DD760D" w:rsidRDefault="00221AAF">
      <w:pPr>
        <w:pStyle w:val="BodyText"/>
      </w:pPr>
      <w:r>
        <w:t xml:space="preserve">The second research question is about the factors that really determine the EET. If an independent variable is statistically significant, it implies that it is an important factor in determining the EET </w:t>
      </w:r>
      <w:r>
        <w:lastRenderedPageBreak/>
        <w:t>for that country, and vice versa. According to Table 5, in the long run, the factors that affect exports from the ECOWAS countries to Eurozone are Eurozone income for Benin, Nigeria and Ghana; Eurozone income, real exchange rate and positive volatility for Mali; real exchange rate and positive volatility for Senegal; real exchange rate and negative volatility for Niger; positive volatility for Togo; negative volatility for Cote D’Ivoire. No factor affects the exports of Burkina Faso in the long run. On the other hand, the factors determining imports in the long run, as shown in Table 6, are domestic income, real exchange rate and negative volatility for Nigeria; domestic income and real exchange rate for Ghana; domestic income, real exchange rate, positive volatility and negative volatility for Mali and Togo; domestic income and positive volatility for Senegal; domestic income and negative volatility for Benin; positive volatility and negative volatility for Burkina Faso; domestic income for Cote D’Ivoire. Niger’s exports are affected by no factor in the long run. If we consider the number of countries with significant coefficient of a particular variable as a measure of influence, we can say that Eurozone income is the most influential factor of ECOWAS exports, followed by real exchange rate and increased volatility. Similarly, domestic income is the most influential factor of ECOWAS imports, followed by real exchange rate and decreased volatility.</w:t>
      </w:r>
    </w:p>
    <w:p w:rsidR="00DD760D" w:rsidRDefault="00221AAF">
      <w:pPr>
        <w:pStyle w:val="BodyText"/>
      </w:pPr>
      <w:r>
        <w:t xml:space="preserve">As mentioned earlier, the expected signs, in the export equation, of foreign income (Y), real exchange rate (R) are positive and that of volatility measures (V) is negative or positive . For the import equation, the expected sign of foreign income is positive, real exchange rate is negative, volatility is negative or positive. As shown in Table 5, the long run coefficients of Eurozone income, in the export equations, has the expected sign for all the countries except for Niger and </w:t>
      </w:r>
      <w:r>
        <w:lastRenderedPageBreak/>
        <w:t>Benin, indicating that inferior goods dominate the exports of these countries</w:t>
      </w:r>
      <w:r>
        <w:rPr>
          <w:rStyle w:val="FootnoteReference"/>
        </w:rPr>
        <w:footnoteReference w:id="12"/>
      </w:r>
      <w:r>
        <w:t>. Apart from Mali, the significant long run coefficients of real exchange rate for all the countries have the theoretically expected signs, reflecting the consequence of political instability in the country. Cote D’Ivoire, Niger, Mali and Togo have at least one significant. Political instability in Mali is likely to cause massive capital exodus, which may consequently cause currency depreciation and reduction in export simultaneously. As indicated in Table 6, the long-run significant coefficients of domestic income, in the import equations, have the expected sign for all the countries except for Senegal, Togo and Benin. Therefore, the imports of these countries are dominated by the inferior goods, or that these countries imports from other trade partners such as China as their income rises. The table also shows that Ghana, Nigeria and Togo do not have the expected negative sign for the coefficients of the real exchange rate. The explanation for this is that these countries have officially devalued their currencies in recent years and that they are the signatories of EPA, which requires the signatories to liberalize some of their imports. The liberalization translates into higher imports of these countries from the Eurozone, thus negating the protectionist role of their currency devaluation.</w:t>
      </w:r>
    </w:p>
    <w:p w:rsidR="00DD760D" w:rsidRDefault="00221AAF">
      <w:pPr>
        <w:pStyle w:val="BodyText"/>
      </w:pPr>
      <w:r>
        <w:t xml:space="preserve">The last question attempts to establish the policy implications of the findings of this study. In general, a negative (positive) coefficient of the volatility measure in the export equation requires the ECOWAS country to control (liberalise) its exchange rate movement by implementing policies such as a managed floating (purely floating) exchange rate regime. Thus, Benin, Cote D’Ivoire and Ghana should liberalise their exchange rate because volatility is likely to result in a rise in their exports to the Eurozone, and that Mali, Niger, Nigeria, Senegal and Burkina Faso should </w:t>
      </w:r>
      <w:r>
        <w:lastRenderedPageBreak/>
        <w:t>control their exchange rate. On the other hand, a negative (positive) coefficient of the volatility measure in the import equation requires the ECOWAS country to liberalise (control) its exchange rate movement by implementing policies such as a managed floating (purely floating) exchange rate regime. Therefore, Benin, Burkina, Cote D’Ivoire, Mali and Togo should liberalise their exchange rates as volatility reduces their imports from the Eurozone. Hence, liberalisation of foreign exchange market is the best option for Benin and Cote D’Ivoire as volatility is likely to increase their exports and at the time reduce their imports.</w:t>
      </w:r>
    </w:p>
    <w:p w:rsidR="00DD760D" w:rsidRDefault="00221AAF">
      <w:pPr>
        <w:pStyle w:val="BodyText"/>
      </w:pPr>
      <w:r>
        <w:t>The outcomes of this study agree and also differ from some of the previous studies. In the long run, the outcomes are inline with the theoretical postulates of Dellas &amp; Zilberfarb (</w:t>
      </w:r>
      <w:hyperlink w:anchor="ref-dellas1993real">
        <w:r>
          <w:rPr>
            <w:rStyle w:val="Hyperlink"/>
          </w:rPr>
          <w:t>1993</w:t>
        </w:r>
      </w:hyperlink>
      <w:r>
        <w:t>) for Benin, Cote D’Ivoire and Ghana as their exports are positively related with exchnage rate volatility. The long run negative relationship between exchange rate volatility and exports of Nigeria, Burkina Faso, Mali, Niger, Senegal and Togo is inline with the theoretical underpinnings of Ethier (</w:t>
      </w:r>
      <w:hyperlink w:anchor="ref-ethier1973international">
        <w:r>
          <w:rPr>
            <w:rStyle w:val="Hyperlink"/>
          </w:rPr>
          <w:t>1973</w:t>
        </w:r>
      </w:hyperlink>
      <w:r>
        <w:t>) and Hooper &amp; Kohlhagen (</w:t>
      </w:r>
      <w:hyperlink w:anchor="ref-hooper1978effect">
        <w:r>
          <w:rPr>
            <w:rStyle w:val="Hyperlink"/>
          </w:rPr>
          <w:t>1978</w:t>
        </w:r>
      </w:hyperlink>
      <w:r>
        <w:t>). Benin, Burkina Faso, Ghana and Nigeria do not have significant coefficients for exchange rate volatility, thus justifying the trade-volatility theory of Giovannini (</w:t>
      </w:r>
      <w:hyperlink w:anchor="ref-giovannini1988exchange">
        <w:r>
          <w:rPr>
            <w:rStyle w:val="Hyperlink"/>
          </w:rPr>
          <w:t>1988</w:t>
        </w:r>
      </w:hyperlink>
      <w:r>
        <w:t>). On the other hand, the imports of Benin, Burkina and Togo have negative relationship with exchange rate volatility in the long run, thus confirming the theory of Ethier (</w:t>
      </w:r>
      <w:hyperlink w:anchor="ref-ethier1973international">
        <w:r>
          <w:rPr>
            <w:rStyle w:val="Hyperlink"/>
          </w:rPr>
          <w:t>1973</w:t>
        </w:r>
      </w:hyperlink>
      <w:r>
        <w:t>) and Hooper &amp; Kohlhagen (</w:t>
      </w:r>
      <w:hyperlink w:anchor="ref-hooper1978effect">
        <w:r>
          <w:rPr>
            <w:rStyle w:val="Hyperlink"/>
          </w:rPr>
          <w:t>1978</w:t>
        </w:r>
      </w:hyperlink>
      <w:r>
        <w:t>). Nigeria, Senegal and Ghana have positive relationship between volatility and import, as suggested by Dellas &amp; Zilberfarb (</w:t>
      </w:r>
      <w:hyperlink w:anchor="ref-dellas1993real">
        <w:r>
          <w:rPr>
            <w:rStyle w:val="Hyperlink"/>
          </w:rPr>
          <w:t>1993</w:t>
        </w:r>
      </w:hyperlink>
      <w:r>
        <w:t>). Cote D’Ivoire, Niger and Mali have mixed relationship between volatility and import. These outcomes are also similar to emprical studies such as McKenzie (</w:t>
      </w:r>
      <w:hyperlink w:anchor="ref-mckenzie1998impact">
        <w:r>
          <w:rPr>
            <w:rStyle w:val="Hyperlink"/>
          </w:rPr>
          <w:t>1998</w:t>
        </w:r>
      </w:hyperlink>
      <w:r>
        <w:t>), Asteriou et al. (</w:t>
      </w:r>
      <w:hyperlink w:anchor="ref-asteriou2016exchange">
        <w:r>
          <w:rPr>
            <w:rStyle w:val="Hyperlink"/>
          </w:rPr>
          <w:t>2016</w:t>
        </w:r>
      </w:hyperlink>
      <w:r>
        <w:t>) and Bahmani-Oskooee &amp; Aftab (</w:t>
      </w:r>
      <w:hyperlink w:anchor="ref-bahmani2017">
        <w:r>
          <w:rPr>
            <w:rStyle w:val="Hyperlink"/>
          </w:rPr>
          <w:t>2017</w:t>
        </w:r>
      </w:hyperlink>
      <w:r>
        <w:t>). These outcomes imply that most ECOWAS countries have their exports negatively affected by the exchange rate volatility.</w:t>
      </w:r>
    </w:p>
    <w:p w:rsidR="00DD760D" w:rsidRDefault="00221AAF">
      <w:pPr>
        <w:pStyle w:val="Heading1"/>
      </w:pPr>
      <w:bookmarkStart w:id="13" w:name="conclusion"/>
      <w:r>
        <w:lastRenderedPageBreak/>
        <w:t>Conclusion</w:t>
      </w:r>
      <w:bookmarkEnd w:id="13"/>
    </w:p>
    <w:p w:rsidR="00DD760D" w:rsidRDefault="00221AAF">
      <w:pPr>
        <w:pStyle w:val="FirstParagraph"/>
      </w:pPr>
      <w:r>
        <w:t>This study attempts to establish the existence of the asymmetric effects of exchange rate volatility on trade between ECOWAS countries and Eurozone. The measure of exchange rate volatility used for all the countries is variance series from the reliable ARCH model. The most parsimonious ARCH model without redundant coefficients in both the mean and variance equations is chosen to be the most reliable for each country. Export equation is estimated with foreign income, real exchange rate and volatility measure as regressors, while import equation is estimated with the same regressors except foreign income, which is replaced by domestic income. Export and import equations are estimated for all the countries in the form of ARDL and NARDL models, and the latter model happened to be better than the former for all the countries.</w:t>
      </w:r>
    </w:p>
    <w:p w:rsidR="00DD760D" w:rsidRDefault="00221AAF">
      <w:pPr>
        <w:pStyle w:val="BodyText"/>
      </w:pPr>
      <w:r>
        <w:t>Long-run asymmetry is confirmed for six countries in the export equation and seven countries in the import equation. The study also shows that exports and imports of the ECOWAS countries are affected in the long run by some of the variables; no country records significant coefficients for all the variables. The study further finds that Benin and Cote D’Ivoire are the only country whose total trade benefits from exchange rate volatility. Inferior goods dominate the exports of Niger and Benin and the imports of Senegal, Togo and Benin. Therefore, inferior goods have dominated the trade sector of Benin. In addition to this, the study recommends that Benin and Cote D’Ivoire should liberalise their foreign exchange markets, as volatility is likely to increase their exports and at the time reduce their imports.</w:t>
      </w:r>
    </w:p>
    <w:p w:rsidR="00DD760D" w:rsidRDefault="00221AAF">
      <w:pPr>
        <w:pStyle w:val="BodyText"/>
      </w:pPr>
      <w:r>
        <w:t>The export-volatility relationship of six countries is found to be in line with theoretical explanation of Ethier (</w:t>
      </w:r>
      <w:hyperlink w:anchor="ref-ethier1973international">
        <w:r>
          <w:rPr>
            <w:rStyle w:val="Hyperlink"/>
          </w:rPr>
          <w:t>1973</w:t>
        </w:r>
      </w:hyperlink>
      <w:r>
        <w:t>) and Hooper &amp; Kohlhagen (</w:t>
      </w:r>
      <w:hyperlink w:anchor="ref-hooper1978effect">
        <w:r>
          <w:rPr>
            <w:rStyle w:val="Hyperlink"/>
          </w:rPr>
          <w:t>1978</w:t>
        </w:r>
      </w:hyperlink>
      <w:r>
        <w:t>), while findings for three countries agree with the suggestion of Dellas &amp; Zilberfarb (</w:t>
      </w:r>
      <w:hyperlink w:anchor="ref-dellas1993real">
        <w:r>
          <w:rPr>
            <w:rStyle w:val="Hyperlink"/>
          </w:rPr>
          <w:t>1993</w:t>
        </w:r>
      </w:hyperlink>
      <w:r>
        <w:t xml:space="preserve">) that export-volatility relationship is positive. Out of </w:t>
      </w:r>
      <w:r>
        <w:lastRenderedPageBreak/>
        <w:t>these countries, four countries do not have significant volatility coefficients, as implied by Giovannini (</w:t>
      </w:r>
      <w:hyperlink w:anchor="ref-giovannini1988exchange">
        <w:r>
          <w:rPr>
            <w:rStyle w:val="Hyperlink"/>
          </w:rPr>
          <w:t>1988</w:t>
        </w:r>
      </w:hyperlink>
      <w:r>
        <w:t>).</w:t>
      </w:r>
    </w:p>
    <w:p w:rsidR="00DD760D" w:rsidRDefault="00221AAF">
      <w:pPr>
        <w:pStyle w:val="BodyText"/>
      </w:pPr>
      <w:r>
        <w:t>Eurozone should be able to persuade the ECOWAS countries to implement exchange rate policies that are favourable to the Eurozone, given the outcome that most of the countries in this study should control their foreign exchange market in order to mitigate the negative effect of the volatility. The persuasion can be in the form of incentives such as foreign aid, or signing trade agreements such as the EPA.</w:t>
      </w:r>
    </w:p>
    <w:p w:rsidR="00DD760D" w:rsidRDefault="00221AAF">
      <w:pPr>
        <w:pStyle w:val="BodyText"/>
      </w:pPr>
      <w:r>
        <w:t>Although no study exists that has examined the asymmetric impact of exchange rate volatility on EET, this study is not exhaustive. It employs only one measure of exchange rate volatility and analyses the asymmetric impact of volatility on the economy as a whole, not on the individual sectors that make the whole. Therefore, this study suggests that future research should consider the inadequacies of this study such as the use of sector-specific or firm-level data trade data.</w:t>
      </w:r>
    </w:p>
    <w:p w:rsidR="00DD760D" w:rsidRDefault="00221AAF">
      <w:pPr>
        <w:pStyle w:val="Heading5"/>
      </w:pPr>
      <w:bookmarkStart w:id="14" w:name="references"/>
      <w:r>
        <w:t>References</w:t>
      </w:r>
      <w:bookmarkEnd w:id="14"/>
    </w:p>
    <w:p w:rsidR="00DD760D" w:rsidRDefault="00221AAF" w:rsidP="00AB5A79">
      <w:pPr>
        <w:pStyle w:val="Bibliography"/>
      </w:pPr>
      <w:bookmarkStart w:id="15" w:name="ref-adom2012sources"/>
      <w:bookmarkStart w:id="16" w:name="refs"/>
      <w:r w:rsidRPr="00AB5A79">
        <w:t>Adom</w:t>
      </w:r>
      <w:r>
        <w:t xml:space="preserve">, D. A., Morshed, A. M., &amp; Sharma, S. C. (2012). Sources of real exchange rate volatility in </w:t>
      </w:r>
      <w:r w:rsidR="00AB5A79">
        <w:t>Africa</w:t>
      </w:r>
      <w:r>
        <w:t xml:space="preserve">: The case of ecowas. </w:t>
      </w:r>
      <w:r>
        <w:rPr>
          <w:i/>
        </w:rPr>
        <w:t>African Development Review</w:t>
      </w:r>
      <w:r>
        <w:t xml:space="preserve">, </w:t>
      </w:r>
      <w:r>
        <w:rPr>
          <w:i/>
        </w:rPr>
        <w:t>24</w:t>
      </w:r>
      <w:r>
        <w:t>(1), 79–92.</w:t>
      </w:r>
    </w:p>
    <w:p w:rsidR="00DD760D" w:rsidRDefault="00221AAF" w:rsidP="00AB5A79">
      <w:pPr>
        <w:pStyle w:val="Bibliography"/>
      </w:pPr>
      <w:bookmarkStart w:id="17" w:name="ref-aqeel2006effect"/>
      <w:bookmarkEnd w:id="15"/>
      <w:r>
        <w:t xml:space="preserve">Aqeel, A., &amp; Nishat, M. (2006). The effect of exchange rate volatility on pakistan’s exports. </w:t>
      </w:r>
      <w:r>
        <w:rPr>
          <w:i/>
        </w:rPr>
        <w:t>Pakistan Economic and Social Review</w:t>
      </w:r>
      <w:r>
        <w:t>, 81–92.</w:t>
      </w:r>
    </w:p>
    <w:p w:rsidR="00DD760D" w:rsidRDefault="00221AAF" w:rsidP="00AB5A79">
      <w:pPr>
        <w:pStyle w:val="Bibliography"/>
      </w:pPr>
      <w:bookmarkStart w:id="18" w:name="ref-arize2017exchange"/>
      <w:bookmarkEnd w:id="17"/>
      <w:r>
        <w:t xml:space="preserve">Arize, A. C., Malindretos, J., &amp; Igwe, E. U. (2017). Do exchange rate changes improve the trade balance: An asymmetric nonlinear cointegration approach. </w:t>
      </w:r>
      <w:r>
        <w:rPr>
          <w:i/>
        </w:rPr>
        <w:t>International Review of Economics &amp; Finance</w:t>
      </w:r>
      <w:r>
        <w:t xml:space="preserve">, </w:t>
      </w:r>
      <w:r>
        <w:rPr>
          <w:i/>
        </w:rPr>
        <w:t>49</w:t>
      </w:r>
      <w:r>
        <w:t>, 313–326.</w:t>
      </w:r>
    </w:p>
    <w:p w:rsidR="00DD760D" w:rsidRDefault="00221AAF" w:rsidP="00AB5A79">
      <w:pPr>
        <w:pStyle w:val="Bibliography"/>
      </w:pPr>
      <w:bookmarkStart w:id="19" w:name="ref-asteriou2011applied"/>
      <w:bookmarkEnd w:id="18"/>
      <w:r>
        <w:t>Asteriou, D., &amp; Hall, S. (2011). Applied econometrics . New york: Palgrave mcmillan.</w:t>
      </w:r>
    </w:p>
    <w:p w:rsidR="00DD760D" w:rsidRDefault="00221AAF" w:rsidP="00AB5A79">
      <w:pPr>
        <w:pStyle w:val="Bibliography"/>
      </w:pPr>
      <w:bookmarkStart w:id="20" w:name="ref-asteriou2016exchange"/>
      <w:bookmarkEnd w:id="19"/>
      <w:r>
        <w:t xml:space="preserve">Asteriou, D., Masatci, K., &amp; Pılbeam, K. (2016). Exchange rate volatility and international trade: International evidence from the mint countries. </w:t>
      </w:r>
      <w:r>
        <w:rPr>
          <w:i/>
        </w:rPr>
        <w:t>Economic Modelling</w:t>
      </w:r>
      <w:r>
        <w:t xml:space="preserve">, </w:t>
      </w:r>
      <w:r>
        <w:rPr>
          <w:i/>
        </w:rPr>
        <w:t>58</w:t>
      </w:r>
      <w:r>
        <w:t>, 133–140.</w:t>
      </w:r>
    </w:p>
    <w:p w:rsidR="00DD760D" w:rsidRDefault="00221AAF" w:rsidP="00AB5A79">
      <w:pPr>
        <w:pStyle w:val="Bibliography"/>
      </w:pPr>
      <w:bookmarkStart w:id="21" w:name="ref-baak2004exchange"/>
      <w:bookmarkEnd w:id="20"/>
      <w:r>
        <w:t xml:space="preserve">Baak, S. (2004). Exchange rate volatility and trade among the asia pacific countries. </w:t>
      </w:r>
      <w:r>
        <w:rPr>
          <w:i/>
        </w:rPr>
        <w:t>East Asian Economic Review</w:t>
      </w:r>
      <w:r>
        <w:t xml:space="preserve">, </w:t>
      </w:r>
      <w:r>
        <w:rPr>
          <w:i/>
        </w:rPr>
        <w:t>8</w:t>
      </w:r>
      <w:r>
        <w:t>(1), 93–115.</w:t>
      </w:r>
    </w:p>
    <w:p w:rsidR="00DD760D" w:rsidRDefault="00221AAF" w:rsidP="00AB5A79">
      <w:pPr>
        <w:pStyle w:val="Bibliography"/>
      </w:pPr>
      <w:bookmarkStart w:id="22" w:name="ref-bahmani2017"/>
      <w:bookmarkEnd w:id="21"/>
      <w:r>
        <w:lastRenderedPageBreak/>
        <w:t xml:space="preserve">Bahmani-Oskooee, M., &amp; Aftab, M. (2017). On the asymmetric effects of exchange rate volatility on trade flows: New evidence from us-malaysia trade at the industry level. </w:t>
      </w:r>
      <w:r>
        <w:rPr>
          <w:i/>
        </w:rPr>
        <w:t>Economic Modelling</w:t>
      </w:r>
      <w:r>
        <w:t xml:space="preserve">, </w:t>
      </w:r>
      <w:r>
        <w:rPr>
          <w:i/>
        </w:rPr>
        <w:t>63</w:t>
      </w:r>
      <w:r>
        <w:t>, 86–103.</w:t>
      </w:r>
    </w:p>
    <w:p w:rsidR="00DD760D" w:rsidRDefault="00221AAF" w:rsidP="00AB5A79">
      <w:pPr>
        <w:pStyle w:val="Bibliography"/>
      </w:pPr>
      <w:bookmarkStart w:id="23" w:name="ref-bahmani2011exchange"/>
      <w:bookmarkEnd w:id="22"/>
      <w:r>
        <w:t xml:space="preserve">Bahmani-Oskooee, M., &amp; Harvey, H. (2011). Exchange-rate volatility and industry trade between the us and malaysia. </w:t>
      </w:r>
      <w:r>
        <w:rPr>
          <w:i/>
        </w:rPr>
        <w:t>Research in International Business and Finance</w:t>
      </w:r>
      <w:r>
        <w:t xml:space="preserve">, </w:t>
      </w:r>
      <w:r>
        <w:rPr>
          <w:i/>
        </w:rPr>
        <w:t>25</w:t>
      </w:r>
      <w:r>
        <w:t>(2), 127–155.</w:t>
      </w:r>
    </w:p>
    <w:p w:rsidR="00DD760D" w:rsidRDefault="00221AAF" w:rsidP="00AB5A79">
      <w:pPr>
        <w:pStyle w:val="Bibliography"/>
      </w:pPr>
      <w:bookmarkStart w:id="24" w:name="ref-baum2010sensitivity"/>
      <w:bookmarkEnd w:id="23"/>
      <w:r>
        <w:t xml:space="preserve">Baum, C. F., &amp; Caglayan, M. (2010). On the sensitivity of the volume and volatility of bilateral trade flows to exchange rate uncertainty. </w:t>
      </w:r>
      <w:r>
        <w:rPr>
          <w:i/>
        </w:rPr>
        <w:t>Journal of International Money and Finance</w:t>
      </w:r>
      <w:r>
        <w:t xml:space="preserve">, </w:t>
      </w:r>
      <w:r>
        <w:rPr>
          <w:i/>
        </w:rPr>
        <w:t>29</w:t>
      </w:r>
      <w:r>
        <w:t>(1), 79–93.</w:t>
      </w:r>
    </w:p>
    <w:p w:rsidR="00DD760D" w:rsidRDefault="00221AAF" w:rsidP="00AB5A79">
      <w:pPr>
        <w:pStyle w:val="Bibliography"/>
      </w:pPr>
      <w:bookmarkStart w:id="25" w:name="ref-bollerslev1986generalized"/>
      <w:bookmarkEnd w:id="24"/>
      <w:r>
        <w:t xml:space="preserve">Bollerslev, T. (1986). Generalized autoregressive conditional heteroskedasticity. </w:t>
      </w:r>
      <w:r>
        <w:rPr>
          <w:i/>
        </w:rPr>
        <w:t>Journal of Econometrics</w:t>
      </w:r>
      <w:r>
        <w:t xml:space="preserve">, </w:t>
      </w:r>
      <w:r>
        <w:rPr>
          <w:i/>
        </w:rPr>
        <w:t>31</w:t>
      </w:r>
      <w:r>
        <w:t>(3), 307–327.</w:t>
      </w:r>
    </w:p>
    <w:p w:rsidR="00DD760D" w:rsidRDefault="00221AAF" w:rsidP="00AB5A79">
      <w:pPr>
        <w:pStyle w:val="Bibliography"/>
      </w:pPr>
      <w:bookmarkStart w:id="26" w:name="ref-bouoiyour2005exchange"/>
      <w:bookmarkEnd w:id="25"/>
      <w:r>
        <w:t>Bouoiyour, J., &amp; Rey, S. (2005). Exchange rate regime. Real Exchange Rate, Trade Flows and Foreign Direct Investments: The Case of Morocco African.</w:t>
      </w:r>
    </w:p>
    <w:p w:rsidR="00DD760D" w:rsidRDefault="00221AAF" w:rsidP="00AB5A79">
      <w:pPr>
        <w:pStyle w:val="Bibliography"/>
      </w:pPr>
      <w:bookmarkStart w:id="27" w:name="ref-box1976time"/>
      <w:bookmarkEnd w:id="26"/>
      <w:r>
        <w:t xml:space="preserve">Box, G. E., &amp; Jenkins, G. M. (1976). Time series analysis: Forecasting and control san francisco. </w:t>
      </w:r>
      <w:r>
        <w:rPr>
          <w:i/>
        </w:rPr>
        <w:t>Calif: Holden-Day</w:t>
      </w:r>
      <w:r>
        <w:t>.</w:t>
      </w:r>
    </w:p>
    <w:p w:rsidR="00DD760D" w:rsidRDefault="00221AAF" w:rsidP="00AB5A79">
      <w:pPr>
        <w:pStyle w:val="Bibliography"/>
      </w:pPr>
      <w:bookmarkStart w:id="28" w:name="ref-brooks2008introductory"/>
      <w:bookmarkEnd w:id="27"/>
      <w:r>
        <w:t xml:space="preserve">Brooks, C. (2008). </w:t>
      </w:r>
      <w:r>
        <w:rPr>
          <w:i/>
        </w:rPr>
        <w:t>Introductory econometrics for finance, 2008</w:t>
      </w:r>
      <w:r>
        <w:t>. Cambridge University Press.</w:t>
      </w:r>
    </w:p>
    <w:p w:rsidR="00DD760D" w:rsidRDefault="00221AAF" w:rsidP="00AB5A79">
      <w:pPr>
        <w:pStyle w:val="Bibliography"/>
      </w:pPr>
      <w:bookmarkStart w:id="29" w:name="ref-brown1975techniques"/>
      <w:bookmarkEnd w:id="28"/>
      <w:r>
        <w:t xml:space="preserve">Brown, R. L., Durbin, J., &amp; Evans, J. M. (1975). Techniques for testing the constancy of regression relationships over time. </w:t>
      </w:r>
      <w:r>
        <w:rPr>
          <w:i/>
        </w:rPr>
        <w:t>Journal of the Royal Statistical Society: Series B (Methodological)</w:t>
      </w:r>
      <w:r>
        <w:t xml:space="preserve">, </w:t>
      </w:r>
      <w:r>
        <w:rPr>
          <w:i/>
        </w:rPr>
        <w:t>37</w:t>
      </w:r>
      <w:r>
        <w:t>(2), 149–163.</w:t>
      </w:r>
    </w:p>
    <w:p w:rsidR="00DD760D" w:rsidRDefault="00221AAF" w:rsidP="00AB5A79">
      <w:pPr>
        <w:pStyle w:val="Bibliography"/>
      </w:pPr>
      <w:bookmarkStart w:id="30" w:name="ref-cheah2017nonlinear"/>
      <w:bookmarkEnd w:id="29"/>
      <w:r>
        <w:t xml:space="preserve">Cheah, S.-P., Yiew, T.-H., &amp; Ng, C.-F. (2017). A nonlinear ardl analysis on the relation between stock price and exchange rate in malaysia. </w:t>
      </w:r>
      <w:r>
        <w:rPr>
          <w:i/>
        </w:rPr>
        <w:t>Economics Bulletin</w:t>
      </w:r>
      <w:r>
        <w:t xml:space="preserve">, </w:t>
      </w:r>
      <w:r>
        <w:rPr>
          <w:i/>
        </w:rPr>
        <w:t>37</w:t>
      </w:r>
      <w:r>
        <w:t>(1), 336–346.</w:t>
      </w:r>
    </w:p>
    <w:p w:rsidR="00DD760D" w:rsidRDefault="00221AAF" w:rsidP="00AB5A79">
      <w:pPr>
        <w:pStyle w:val="Bibliography"/>
      </w:pPr>
      <w:bookmarkStart w:id="31" w:name="ref-chowdhury1993does"/>
      <w:bookmarkEnd w:id="30"/>
      <w:r>
        <w:t xml:space="preserve">Chowdhury, A. (1993). Does exchange rate variability depress trade flows? Evidence from error correction models. </w:t>
      </w:r>
      <w:r>
        <w:rPr>
          <w:i/>
        </w:rPr>
        <w:t>Review of Economics and Statistics</w:t>
      </w:r>
      <w:r>
        <w:t>.</w:t>
      </w:r>
    </w:p>
    <w:p w:rsidR="00DD760D" w:rsidRDefault="00221AAF" w:rsidP="00AB5A79">
      <w:pPr>
        <w:pStyle w:val="Bibliography"/>
      </w:pPr>
      <w:bookmarkStart w:id="32" w:name="ref-dellas1993real"/>
      <w:bookmarkEnd w:id="31"/>
      <w:r>
        <w:t xml:space="preserve">Dellas, H., &amp; Zilberfarb, B.-Z. (1993). Real exchange rate volatility and international trade: A reexamination of the theory. </w:t>
      </w:r>
      <w:r>
        <w:rPr>
          <w:i/>
        </w:rPr>
        <w:t>Southern Economic Journal</w:t>
      </w:r>
      <w:r>
        <w:t>, 641–647.</w:t>
      </w:r>
    </w:p>
    <w:p w:rsidR="00DD760D" w:rsidRDefault="00221AAF" w:rsidP="00AB5A79">
      <w:pPr>
        <w:pStyle w:val="Bibliography"/>
      </w:pPr>
      <w:bookmarkStart w:id="33" w:name="ref-enders2015applied"/>
      <w:bookmarkEnd w:id="32"/>
      <w:r>
        <w:t xml:space="preserve">Enders, W. (2015). Applied econometric time series. 4th. </w:t>
      </w:r>
      <w:r>
        <w:rPr>
          <w:i/>
        </w:rPr>
        <w:t>Ed. Chichester, West Sussex: Jhon Wiley &amp; Sons</w:t>
      </w:r>
      <w:r>
        <w:t>.</w:t>
      </w:r>
    </w:p>
    <w:p w:rsidR="00DD760D" w:rsidRDefault="00221AAF" w:rsidP="00AB5A79">
      <w:pPr>
        <w:pStyle w:val="Bibliography"/>
      </w:pPr>
      <w:bookmarkStart w:id="34" w:name="ref-engle1982autoregressive"/>
      <w:bookmarkEnd w:id="33"/>
      <w:r>
        <w:t xml:space="preserve">Engle, R. F. (1982). Autoregressive conditional heteroscedasticity with estimates of the variance of united kingdom inflation. </w:t>
      </w:r>
      <w:r>
        <w:rPr>
          <w:i/>
        </w:rPr>
        <w:t>Econometrica: Journal of the Econometric Society</w:t>
      </w:r>
      <w:r>
        <w:t>, 987–1007.</w:t>
      </w:r>
    </w:p>
    <w:p w:rsidR="00DD760D" w:rsidRDefault="00221AAF" w:rsidP="00AB5A79">
      <w:pPr>
        <w:pStyle w:val="Bibliography"/>
      </w:pPr>
      <w:bookmarkStart w:id="35" w:name="ref-ethier1973international"/>
      <w:bookmarkEnd w:id="34"/>
      <w:r>
        <w:t xml:space="preserve">Ethier, W. (1973). International trade and the forward exchange market. </w:t>
      </w:r>
      <w:r>
        <w:rPr>
          <w:i/>
        </w:rPr>
        <w:t>The American Economic Review</w:t>
      </w:r>
      <w:r>
        <w:t>, 494–503.</w:t>
      </w:r>
    </w:p>
    <w:p w:rsidR="00DD760D" w:rsidRDefault="00221AAF" w:rsidP="00AB5A79">
      <w:pPr>
        <w:pStyle w:val="Bibliography"/>
      </w:pPr>
      <w:bookmarkStart w:id="36" w:name="ref-giovannini1988exchange"/>
      <w:bookmarkEnd w:id="35"/>
      <w:r>
        <w:t xml:space="preserve">Giovannini, A. (1988). Exchange rates and traded goods prices. </w:t>
      </w:r>
      <w:r>
        <w:rPr>
          <w:i/>
        </w:rPr>
        <w:t>Journal of International Economics</w:t>
      </w:r>
      <w:r>
        <w:t xml:space="preserve">, </w:t>
      </w:r>
      <w:r>
        <w:rPr>
          <w:i/>
        </w:rPr>
        <w:t>24</w:t>
      </w:r>
      <w:r>
        <w:t>(1-2), 45–68.</w:t>
      </w:r>
    </w:p>
    <w:p w:rsidR="00DD760D" w:rsidRDefault="00221AAF" w:rsidP="00AB5A79">
      <w:pPr>
        <w:pStyle w:val="Bibliography"/>
      </w:pPr>
      <w:bookmarkStart w:id="37" w:name="ref-glosten1993"/>
      <w:bookmarkEnd w:id="36"/>
      <w:r>
        <w:lastRenderedPageBreak/>
        <w:t xml:space="preserve">Glosten, L. R., Jagannathan, R., &amp; Runkle, D. E. (1993). On the relation between the expected value and the volatility of the nominal excessr eturnon stocks. </w:t>
      </w:r>
      <w:r>
        <w:rPr>
          <w:i/>
        </w:rPr>
        <w:t>The Journal of Finance</w:t>
      </w:r>
      <w:r>
        <w:t xml:space="preserve">, </w:t>
      </w:r>
      <w:r>
        <w:rPr>
          <w:i/>
        </w:rPr>
        <w:t>48</w:t>
      </w:r>
      <w:r>
        <w:t>(5), 1779–1801.</w:t>
      </w:r>
    </w:p>
    <w:p w:rsidR="00DD760D" w:rsidRDefault="00221AAF" w:rsidP="00AB5A79">
      <w:pPr>
        <w:pStyle w:val="Bibliography"/>
      </w:pPr>
      <w:bookmarkStart w:id="38" w:name="ref-gur2012doviz"/>
      <w:bookmarkEnd w:id="37"/>
      <w:r>
        <w:t xml:space="preserve">Gür, T. H., &amp; Ertuğrul, H. M. (2012). Döviz kuru volatilitesi modelleri: Türkiye uygulaması. </w:t>
      </w:r>
      <w:r>
        <w:rPr>
          <w:i/>
        </w:rPr>
        <w:t>İktisat İşletme Ve Finans Dergisi</w:t>
      </w:r>
      <w:r>
        <w:t xml:space="preserve">, </w:t>
      </w:r>
      <w:r>
        <w:rPr>
          <w:i/>
        </w:rPr>
        <w:t>27</w:t>
      </w:r>
      <w:r>
        <w:t>(310), 53–77.</w:t>
      </w:r>
    </w:p>
    <w:p w:rsidR="00DD760D" w:rsidRDefault="00221AAF" w:rsidP="00AB5A79">
      <w:pPr>
        <w:pStyle w:val="Bibliography"/>
      </w:pPr>
      <w:bookmarkStart w:id="39" w:name="ref-hall2010exchange"/>
      <w:bookmarkEnd w:id="38"/>
      <w:r>
        <w:t xml:space="preserve">Hall, S., Hondroyiannis, G., Swamy, P., Tavlas, G., &amp; Ulan, M. (2010). Exchange-rate volatility and export performance: Do emerging market economies resemble industrial countries or other developing countries? </w:t>
      </w:r>
      <w:r>
        <w:rPr>
          <w:i/>
        </w:rPr>
        <w:t>Economic Modelling</w:t>
      </w:r>
      <w:r>
        <w:t xml:space="preserve">, </w:t>
      </w:r>
      <w:r>
        <w:rPr>
          <w:i/>
        </w:rPr>
        <w:t>27</w:t>
      </w:r>
      <w:r>
        <w:t>(6), 1514–1521.</w:t>
      </w:r>
    </w:p>
    <w:p w:rsidR="00DD760D" w:rsidRDefault="00221AAF" w:rsidP="00AB5A79">
      <w:pPr>
        <w:pStyle w:val="Bibliography"/>
      </w:pPr>
      <w:bookmarkStart w:id="40" w:name="ref-hayakawa2009effect"/>
      <w:bookmarkEnd w:id="39"/>
      <w:r>
        <w:t xml:space="preserve">Hayakawa, K., &amp; Kimura, F. (2009). The effect of exchange rate volatility on international trade in east asia. </w:t>
      </w:r>
      <w:r>
        <w:rPr>
          <w:i/>
        </w:rPr>
        <w:t>Journal of the Japanese and International Economies</w:t>
      </w:r>
      <w:r>
        <w:t xml:space="preserve">, </w:t>
      </w:r>
      <w:r>
        <w:rPr>
          <w:i/>
        </w:rPr>
        <w:t>23</w:t>
      </w:r>
      <w:r>
        <w:t>(4), 395–406.</w:t>
      </w:r>
    </w:p>
    <w:p w:rsidR="00DD760D" w:rsidRDefault="00221AAF" w:rsidP="00AB5A79">
      <w:pPr>
        <w:pStyle w:val="Bibliography"/>
      </w:pPr>
      <w:bookmarkStart w:id="41" w:name="ref-hooper1978effect"/>
      <w:bookmarkEnd w:id="40"/>
      <w:r>
        <w:t xml:space="preserve">Hooper, P., &amp; Kohlhagen, S. W. (1978). The effect of exchange rate uncertainty on the prices and volume of international trade. </w:t>
      </w:r>
      <w:r>
        <w:rPr>
          <w:i/>
        </w:rPr>
        <w:t>Journal of International Economics</w:t>
      </w:r>
      <w:r>
        <w:t xml:space="preserve">, </w:t>
      </w:r>
      <w:r>
        <w:rPr>
          <w:i/>
        </w:rPr>
        <w:t>8</w:t>
      </w:r>
      <w:r>
        <w:t>(4), 483–511.</w:t>
      </w:r>
    </w:p>
    <w:p w:rsidR="00DD760D" w:rsidRDefault="00221AAF" w:rsidP="00AB5A79">
      <w:pPr>
        <w:pStyle w:val="Bibliography"/>
      </w:pPr>
      <w:bookmarkStart w:id="42" w:name="ref-katrakilidis2012drives"/>
      <w:bookmarkEnd w:id="41"/>
      <w:r>
        <w:t xml:space="preserve">Katrakilidis, C., &amp; Trachanas, E. (2012). What drives housing price dynamics in greece: New evidence from asymmetric ardl cointegration. </w:t>
      </w:r>
      <w:r>
        <w:rPr>
          <w:i/>
        </w:rPr>
        <w:t>Economic Modelling</w:t>
      </w:r>
      <w:r>
        <w:t xml:space="preserve">, </w:t>
      </w:r>
      <w:r>
        <w:rPr>
          <w:i/>
        </w:rPr>
        <w:t>29</w:t>
      </w:r>
      <w:r>
        <w:t>(4), 1064–1069.</w:t>
      </w:r>
    </w:p>
    <w:p w:rsidR="00DD760D" w:rsidRDefault="00221AAF" w:rsidP="00AB5A79">
      <w:pPr>
        <w:pStyle w:val="Bibliography"/>
      </w:pPr>
      <w:bookmarkStart w:id="43" w:name="ref-mckenzie1998impact"/>
      <w:bookmarkEnd w:id="42"/>
      <w:r>
        <w:t xml:space="preserve">McKenzie, M. D. (1998). The impact of exchange rate volatility on australian trade flows. </w:t>
      </w:r>
      <w:r>
        <w:rPr>
          <w:i/>
        </w:rPr>
        <w:t>Journal of International Financial Markets, Institutions and Money</w:t>
      </w:r>
      <w:r>
        <w:t xml:space="preserve">, </w:t>
      </w:r>
      <w:r>
        <w:rPr>
          <w:i/>
        </w:rPr>
        <w:t>8</w:t>
      </w:r>
      <w:r>
        <w:t>(1), 21–38.</w:t>
      </w:r>
    </w:p>
    <w:p w:rsidR="00DD760D" w:rsidRDefault="00221AAF" w:rsidP="00AB5A79">
      <w:pPr>
        <w:pStyle w:val="Bibliography"/>
      </w:pPr>
      <w:bookmarkStart w:id="44" w:name="ref-nelson1990stationarity"/>
      <w:bookmarkEnd w:id="43"/>
      <w:r>
        <w:t xml:space="preserve">Nelson, D. B. (1990). Stationarity and persistence in the garch (1, 1) model. </w:t>
      </w:r>
      <w:r>
        <w:rPr>
          <w:i/>
        </w:rPr>
        <w:t>Econometric Theory</w:t>
      </w:r>
      <w:r>
        <w:t xml:space="preserve">, </w:t>
      </w:r>
      <w:r>
        <w:rPr>
          <w:i/>
        </w:rPr>
        <w:t>6</w:t>
      </w:r>
      <w:r>
        <w:t>(3), 318–334.</w:t>
      </w:r>
    </w:p>
    <w:p w:rsidR="00DD760D" w:rsidRDefault="00221AAF" w:rsidP="00AB5A79">
      <w:pPr>
        <w:pStyle w:val="Bibliography"/>
      </w:pPr>
      <w:bookmarkStart w:id="45" w:name="ref-ozturk2009exchange"/>
      <w:bookmarkEnd w:id="44"/>
      <w:r>
        <w:t xml:space="preserve">Ozturk, I., &amp; Kalyoncu, H. (2009). Exchange rate volatility and trade: An empirical investigation from cross-country comparison. </w:t>
      </w:r>
      <w:r>
        <w:rPr>
          <w:i/>
        </w:rPr>
        <w:t>African Development Review</w:t>
      </w:r>
      <w:r>
        <w:t xml:space="preserve">, </w:t>
      </w:r>
      <w:r>
        <w:rPr>
          <w:i/>
        </w:rPr>
        <w:t>21</w:t>
      </w:r>
      <w:r>
        <w:t>(3), 499–513.</w:t>
      </w:r>
    </w:p>
    <w:p w:rsidR="00DD760D" w:rsidRDefault="00221AAF" w:rsidP="00AB5A79">
      <w:pPr>
        <w:pStyle w:val="Bibliography"/>
      </w:pPr>
      <w:bookmarkStart w:id="46" w:name="ref-pesaran2001bounds"/>
      <w:bookmarkEnd w:id="45"/>
      <w:r>
        <w:t xml:space="preserve">Pesaran, M. H., Shin, Y., &amp; Smith, R. J. (2001). Bounds testing approaches to the analysis of level relationships. </w:t>
      </w:r>
      <w:r>
        <w:rPr>
          <w:i/>
        </w:rPr>
        <w:t>Journal of Applied Econometrics</w:t>
      </w:r>
      <w:r>
        <w:t xml:space="preserve">, </w:t>
      </w:r>
      <w:r>
        <w:rPr>
          <w:i/>
        </w:rPr>
        <w:t>16</w:t>
      </w:r>
      <w:r>
        <w:t>(3), 289–326.</w:t>
      </w:r>
    </w:p>
    <w:p w:rsidR="00DD760D" w:rsidRDefault="00221AAF" w:rsidP="00AB5A79">
      <w:pPr>
        <w:pStyle w:val="Bibliography"/>
      </w:pPr>
      <w:bookmarkStart w:id="47" w:name="ref-shin2011modelling"/>
      <w:bookmarkEnd w:id="46"/>
      <w:r>
        <w:t>Shin, Y., Yu, B., &amp; Greenwood-Nimmo, M. (2011). Modelling asymmetric cointegration and dynamic multipliers in a nonlinear ardl framework (leeds university business school working paper). Retrieved.</w:t>
      </w:r>
    </w:p>
    <w:p w:rsidR="00DD760D" w:rsidRDefault="00221AAF" w:rsidP="00AB5A79">
      <w:pPr>
        <w:pStyle w:val="Bibliography"/>
      </w:pPr>
      <w:bookmarkStart w:id="48" w:name="ref-vergil2002exchange"/>
      <w:bookmarkEnd w:id="47"/>
      <w:r>
        <w:t xml:space="preserve">Vergil, H. (2002). Exchange rate volatility in turkey and its effect on trade flows. </w:t>
      </w:r>
      <w:r>
        <w:rPr>
          <w:i/>
        </w:rPr>
        <w:t>Journal of Economic &amp; Social Research</w:t>
      </w:r>
      <w:r>
        <w:t xml:space="preserve">, </w:t>
      </w:r>
      <w:r>
        <w:rPr>
          <w:i/>
        </w:rPr>
        <w:t>4</w:t>
      </w:r>
      <w:r>
        <w:t>(1).</w:t>
      </w:r>
    </w:p>
    <w:p w:rsidR="00DD760D" w:rsidRDefault="00221AAF" w:rsidP="00AB5A79">
      <w:pPr>
        <w:pStyle w:val="Bibliography"/>
      </w:pPr>
      <w:bookmarkStart w:id="49" w:name="ref-zorlubas2011exchange"/>
      <w:bookmarkEnd w:id="48"/>
      <w:r>
        <w:t xml:space="preserve">Zorlubas, C. (2011). Exchange rate fluctuations and the trade balance of norway: An econometric </w:t>
      </w:r>
      <w:bookmarkStart w:id="50" w:name="_GoBack"/>
      <w:bookmarkEnd w:id="50"/>
      <w:r>
        <w:t>analysis. California State University, Fullerton.</w:t>
      </w:r>
      <w:bookmarkEnd w:id="16"/>
      <w:bookmarkEnd w:id="49"/>
    </w:p>
    <w:sectPr w:rsidR="00DD760D" w:rsidSect="00221AAF">
      <w:headerReference w:type="even" r:id="rId11"/>
      <w:headerReference w:type="default" r:id="rId12"/>
      <w:footerReference w:type="even" r:id="rId13"/>
      <w:footerReference w:type="default" r:id="rId14"/>
      <w:headerReference w:type="first" r:id="rId15"/>
      <w:footerReference w:type="first" r:id="rId16"/>
      <w:type w:val="continuous"/>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C6B89" w:rsidRDefault="004C6B89">
      <w:pPr>
        <w:spacing w:after="0"/>
      </w:pPr>
      <w:r>
        <w:separator/>
      </w:r>
    </w:p>
  </w:endnote>
  <w:endnote w:type="continuationSeparator" w:id="0">
    <w:p w:rsidR="004C6B89" w:rsidRDefault="004C6B8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1AAF" w:rsidRDefault="00221AAF" w:rsidP="00221AAF">
    <w:pPr>
      <w:pStyle w:val="Footer"/>
      <w:framePr w:wrap="around"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rsidR="00221AAF" w:rsidRDefault="00221AA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1AAF" w:rsidRPr="00FE12F4" w:rsidRDefault="00221AAF" w:rsidP="00221AAF">
    <w:pPr>
      <w:pStyle w:val="Footer"/>
      <w:framePr w:wrap="around" w:vAnchor="text" w:hAnchor="margin" w:xAlign="center" w:y="1"/>
      <w:rPr>
        <w:rStyle w:val="PageNumber"/>
      </w:rPr>
    </w:pPr>
    <w:r w:rsidRPr="00FE12F4">
      <w:rPr>
        <w:rStyle w:val="PageNumber"/>
      </w:rPr>
      <w:fldChar w:fldCharType="begin"/>
    </w:r>
    <w:r w:rsidRPr="00FE12F4">
      <w:rPr>
        <w:rStyle w:val="PageNumber"/>
      </w:rPr>
      <w:instrText xml:space="preserve"> PAGE </w:instrText>
    </w:r>
    <w:r w:rsidRPr="00FE12F4">
      <w:rPr>
        <w:rStyle w:val="PageNumber"/>
      </w:rPr>
      <w:fldChar w:fldCharType="separate"/>
    </w:r>
    <w:r w:rsidR="00AB5A79">
      <w:rPr>
        <w:rStyle w:val="PageNumber"/>
        <w:noProof/>
      </w:rPr>
      <w:t>26</w:t>
    </w:r>
    <w:r w:rsidRPr="00FE12F4">
      <w:rPr>
        <w:rStyle w:val="PageNumber"/>
      </w:rPr>
      <w:fldChar w:fldCharType="end"/>
    </w:r>
  </w:p>
  <w:p w:rsidR="00221AAF" w:rsidRDefault="00221AAF">
    <w:pPr>
      <w:pStyle w:val="Footer"/>
      <w:jc w:val="center"/>
    </w:pPr>
  </w:p>
  <w:p w:rsidR="00221AAF" w:rsidRDefault="00221AA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1AAF" w:rsidRDefault="00221AA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C6B89" w:rsidRDefault="004C6B89">
      <w:r>
        <w:separator/>
      </w:r>
    </w:p>
  </w:footnote>
  <w:footnote w:type="continuationSeparator" w:id="0">
    <w:p w:rsidR="004C6B89" w:rsidRDefault="004C6B89">
      <w:r>
        <w:continuationSeparator/>
      </w:r>
    </w:p>
  </w:footnote>
  <w:footnote w:id="1">
    <w:p w:rsidR="00221AAF" w:rsidRDefault="00221AAF">
      <w:pPr>
        <w:pStyle w:val="FootnoteText"/>
      </w:pPr>
      <w:r>
        <w:rPr>
          <w:rStyle w:val="FootnoteReference"/>
        </w:rPr>
        <w:footnoteRef/>
      </w:r>
      <w:r>
        <w:t xml:space="preserve"> See this site for more details: </w:t>
      </w:r>
      <w:hyperlink r:id="rId1">
        <w:r>
          <w:rPr>
            <w:rStyle w:val="Hyperlink"/>
          </w:rPr>
          <w:t>http://www.ecowas.int/member-states/</w:t>
        </w:r>
      </w:hyperlink>
    </w:p>
  </w:footnote>
  <w:footnote w:id="2">
    <w:p w:rsidR="00221AAF" w:rsidRDefault="00221AAF">
      <w:pPr>
        <w:pStyle w:val="FootnoteText"/>
      </w:pPr>
      <w:r>
        <w:rPr>
          <w:rStyle w:val="FootnoteReference"/>
        </w:rPr>
        <w:footnoteRef/>
      </w:r>
      <w:r>
        <w:t xml:space="preserve"> Exports stands for export volume of an ECOWAS country to the Eurozone, while “imports” means import volume of an ECOWAS country from the Eurozone</w:t>
      </w:r>
    </w:p>
  </w:footnote>
  <w:footnote w:id="3">
    <w:p w:rsidR="00221AAF" w:rsidRDefault="00221AAF">
      <w:pPr>
        <w:pStyle w:val="FootnoteText"/>
      </w:pPr>
      <w:r>
        <w:rPr>
          <w:rStyle w:val="FootnoteReference"/>
        </w:rPr>
        <w:footnoteRef/>
      </w:r>
      <w:r>
        <w:t xml:space="preserve"> ‘Reliable’ is used as defined by McKenzie (</w:t>
      </w:r>
      <w:hyperlink w:anchor="ref-mckenzie1998impact">
        <w:r>
          <w:rPr>
            <w:rStyle w:val="Hyperlink"/>
          </w:rPr>
          <w:t>1998</w:t>
        </w:r>
      </w:hyperlink>
      <w:r>
        <w:t>) to mean the best of the ARCH models. Moreover, ‘ARCH’ is used in general sense to mean any variants such as GARCH, IGARCH, TARCH and so on.</w:t>
      </w:r>
    </w:p>
  </w:footnote>
  <w:footnote w:id="4">
    <w:p w:rsidR="00221AAF" w:rsidRDefault="00221AAF">
      <w:pPr>
        <w:pStyle w:val="FootnoteText"/>
      </w:pPr>
      <w:r>
        <w:rPr>
          <w:rStyle w:val="FootnoteReference"/>
        </w:rPr>
        <w:footnoteRef/>
      </w:r>
      <w:r>
        <w:t xml:space="preserve"> Ivory Coast is another name for Cote D’Ivoire.</w:t>
      </w:r>
    </w:p>
  </w:footnote>
  <w:footnote w:id="5">
    <w:p w:rsidR="00221AAF" w:rsidRDefault="00221AAF">
      <w:pPr>
        <w:pStyle w:val="FootnoteText"/>
      </w:pPr>
      <w:r>
        <w:rPr>
          <w:rStyle w:val="FootnoteReference"/>
        </w:rPr>
        <w:footnoteRef/>
      </w:r>
      <w:r>
        <w:t xml:space="preserve"> Specifically </w:t>
      </w:r>
      <m:oMath>
        <m:r>
          <w:rPr>
            <w:rFonts w:ascii="Cambria Math" w:hAnsi="Cambria Math"/>
          </w:rPr>
          <m:t>R=E×</m:t>
        </m:r>
        <m:f>
          <m:fPr>
            <m:ctrlPr>
              <w:rPr>
                <w:rFonts w:ascii="Cambria Math" w:hAnsi="Cambria Math"/>
              </w:rPr>
            </m:ctrlPr>
          </m:fPr>
          <m:num>
            <m:r>
              <w:rPr>
                <w:rFonts w:ascii="Cambria Math" w:hAnsi="Cambria Math"/>
              </w:rPr>
              <m:t>CP</m:t>
            </m:r>
            <m:sSup>
              <m:sSupPr>
                <m:ctrlPr>
                  <w:rPr>
                    <w:rFonts w:ascii="Cambria Math" w:hAnsi="Cambria Math"/>
                  </w:rPr>
                </m:ctrlPr>
              </m:sSupPr>
              <m:e>
                <m:r>
                  <w:rPr>
                    <w:rFonts w:ascii="Cambria Math" w:hAnsi="Cambria Math"/>
                  </w:rPr>
                  <m:t>I</m:t>
                </m:r>
              </m:e>
              <m:sup>
                <m:r>
                  <w:rPr>
                    <w:rFonts w:ascii="Cambria Math" w:hAnsi="Cambria Math"/>
                  </w:rPr>
                  <m:t>*</m:t>
                </m:r>
              </m:sup>
            </m:sSup>
          </m:num>
          <m:den>
            <m:r>
              <w:rPr>
                <w:rFonts w:ascii="Cambria Math" w:hAnsi="Cambria Math"/>
              </w:rPr>
              <m:t>CPI</m:t>
            </m:r>
          </m:den>
        </m:f>
      </m:oMath>
      <w:r>
        <w:t xml:space="preserve"> where R, E, CPI and CPI* stand for real exchange rate, nominal exchange rate (amount of domestic currency per dollar), domestic CPI and foreign CPI.</w:t>
      </w:r>
    </w:p>
  </w:footnote>
  <w:footnote w:id="6">
    <w:p w:rsidR="00221AAF" w:rsidRDefault="00221AAF">
      <w:pPr>
        <w:pStyle w:val="FootnoteText"/>
      </w:pPr>
      <w:r>
        <w:rPr>
          <w:rStyle w:val="FootnoteReference"/>
        </w:rPr>
        <w:footnoteRef/>
      </w:r>
      <w:r>
        <w:t xml:space="preserve"> The mean equation for the ARCH model of each country is the best ARIMA model for natural logarithm of R.</w:t>
      </w:r>
    </w:p>
  </w:footnote>
  <w:footnote w:id="7">
    <w:p w:rsidR="00221AAF" w:rsidRDefault="00221AAF">
      <w:pPr>
        <w:pStyle w:val="FootnoteText"/>
      </w:pPr>
      <w:r>
        <w:rPr>
          <w:rStyle w:val="FootnoteReference"/>
        </w:rPr>
        <w:footnoteRef/>
      </w:r>
      <w:r>
        <w:t xml:space="preserve"> To save space, the unit root test result is not reported.</w:t>
      </w:r>
    </w:p>
  </w:footnote>
  <w:footnote w:id="8">
    <w:p w:rsidR="00221AAF" w:rsidRDefault="00221AAF">
      <w:pPr>
        <w:pStyle w:val="FootnoteText"/>
      </w:pPr>
      <w:r>
        <w:rPr>
          <w:rStyle w:val="FootnoteReference"/>
        </w:rPr>
        <w:footnoteRef/>
      </w:r>
      <w:r>
        <w:t xml:space="preserve"> Graphs of correlograms are not presented here for economy of space. Data and Figures are available from authors upon request.</w:t>
      </w:r>
    </w:p>
  </w:footnote>
  <w:footnote w:id="9">
    <w:p w:rsidR="00221AAF" w:rsidRDefault="00221AAF">
      <w:pPr>
        <w:pStyle w:val="FootnoteText"/>
      </w:pPr>
      <w:r>
        <w:rPr>
          <w:rStyle w:val="FootnoteReference"/>
        </w:rPr>
        <w:footnoteRef/>
      </w:r>
      <w:r>
        <w:t xml:space="preserve"> This procedure is the same as in McKenzie (</w:t>
      </w:r>
      <w:hyperlink w:anchor="ref-mckenzie1998impact">
        <w:r>
          <w:rPr>
            <w:rStyle w:val="Hyperlink"/>
          </w:rPr>
          <w:t>1998</w:t>
        </w:r>
      </w:hyperlink>
      <w:r>
        <w:t>) and Asteriou et al. (</w:t>
      </w:r>
      <w:hyperlink w:anchor="ref-asteriou2016exchange">
        <w:r>
          <w:rPr>
            <w:rStyle w:val="Hyperlink"/>
          </w:rPr>
          <w:t>2016</w:t>
        </w:r>
      </w:hyperlink>
      <w:r>
        <w:t>)</w:t>
      </w:r>
    </w:p>
  </w:footnote>
  <w:footnote w:id="10">
    <w:p w:rsidR="00221AAF" w:rsidRDefault="00221AAF">
      <w:pPr>
        <w:pStyle w:val="FootnoteText"/>
      </w:pPr>
      <w:r>
        <w:rPr>
          <w:rStyle w:val="FootnoteReference"/>
        </w:rPr>
        <w:footnoteRef/>
      </w:r>
      <w:r>
        <w:t xml:space="preserve"> Again, the result for this unit root is not reported, but it is available on request</w:t>
      </w:r>
    </w:p>
  </w:footnote>
  <w:footnote w:id="11">
    <w:p w:rsidR="00221AAF" w:rsidRDefault="00221AAF">
      <w:pPr>
        <w:pStyle w:val="FootnoteText"/>
      </w:pPr>
      <w:r>
        <w:rPr>
          <w:rStyle w:val="FootnoteReference"/>
        </w:rPr>
        <w:footnoteRef/>
      </w:r>
      <w:r>
        <w:t xml:space="preserve"> The highest lag order indicated by the lag selection criteria is 9. However, we consider using a maximum of 7 lags for all the countries to avoid losing many degrees of freedom.</w:t>
      </w:r>
    </w:p>
  </w:footnote>
  <w:footnote w:id="12">
    <w:p w:rsidR="00221AAF" w:rsidRDefault="00221AAF">
      <w:pPr>
        <w:pStyle w:val="FootnoteText"/>
      </w:pPr>
      <w:r>
        <w:rPr>
          <w:rStyle w:val="FootnoteReference"/>
        </w:rPr>
        <w:footnoteRef/>
      </w:r>
      <w:r>
        <w:t xml:space="preserve"> The coefficients represent elasticity estimates because all the variables are in natural logarithms.</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1AAF" w:rsidRDefault="00221AA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1AAF" w:rsidRDefault="00221AA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1AAF" w:rsidRDefault="00221AA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A454B4C"/>
    <w:multiLevelType w:val="multilevel"/>
    <w:tmpl w:val="288606C8"/>
    <w:lvl w:ilvl="0">
      <w:start w:val="8"/>
      <w:numFmt w:val="decimal"/>
      <w:lvlText w:val="(%1)"/>
      <w:lvlJc w:val="left"/>
      <w:pPr>
        <w:tabs>
          <w:tab w:val="num" w:pos="0"/>
        </w:tabs>
        <w:ind w:left="480" w:hanging="480"/>
      </w:pPr>
    </w:lvl>
    <w:lvl w:ilvl="1">
      <w:start w:val="8"/>
      <w:numFmt w:val="decimal"/>
      <w:lvlText w:val="(%2)"/>
      <w:lvlJc w:val="left"/>
      <w:pPr>
        <w:tabs>
          <w:tab w:val="num" w:pos="720"/>
        </w:tabs>
        <w:ind w:left="1200" w:hanging="480"/>
      </w:pPr>
    </w:lvl>
    <w:lvl w:ilvl="2">
      <w:start w:val="8"/>
      <w:numFmt w:val="decimal"/>
      <w:lvlText w:val="(%3)"/>
      <w:lvlJc w:val="left"/>
      <w:pPr>
        <w:tabs>
          <w:tab w:val="num" w:pos="1440"/>
        </w:tabs>
        <w:ind w:left="1920" w:hanging="480"/>
      </w:pPr>
    </w:lvl>
    <w:lvl w:ilvl="3">
      <w:start w:val="8"/>
      <w:numFmt w:val="decimal"/>
      <w:lvlText w:val="(%4)"/>
      <w:lvlJc w:val="left"/>
      <w:pPr>
        <w:tabs>
          <w:tab w:val="num" w:pos="2160"/>
        </w:tabs>
        <w:ind w:left="2640" w:hanging="480"/>
      </w:pPr>
    </w:lvl>
    <w:lvl w:ilvl="4">
      <w:start w:val="8"/>
      <w:numFmt w:val="decimal"/>
      <w:lvlText w:val="(%5)"/>
      <w:lvlJc w:val="left"/>
      <w:pPr>
        <w:tabs>
          <w:tab w:val="num" w:pos="2880"/>
        </w:tabs>
        <w:ind w:left="3360" w:hanging="480"/>
      </w:pPr>
    </w:lvl>
    <w:lvl w:ilvl="5">
      <w:start w:val="8"/>
      <w:numFmt w:val="decimal"/>
      <w:lvlText w:val="(%6)"/>
      <w:lvlJc w:val="left"/>
      <w:pPr>
        <w:tabs>
          <w:tab w:val="num" w:pos="3600"/>
        </w:tabs>
        <w:ind w:left="4080" w:hanging="480"/>
      </w:pPr>
    </w:lvl>
    <w:lvl w:ilvl="6">
      <w:start w:val="8"/>
      <w:numFmt w:val="decimal"/>
      <w:lvlText w:val="(%7)"/>
      <w:lvlJc w:val="left"/>
      <w:pPr>
        <w:tabs>
          <w:tab w:val="num" w:pos="4320"/>
        </w:tabs>
        <w:ind w:left="4800" w:hanging="480"/>
      </w:pPr>
    </w:lvl>
    <w:lvl w:ilvl="7">
      <w:start w:val="8"/>
      <w:numFmt w:val="decimal"/>
      <w:lvlText w:val="(%8)"/>
      <w:lvlJc w:val="left"/>
      <w:pPr>
        <w:tabs>
          <w:tab w:val="num" w:pos="5040"/>
        </w:tabs>
        <w:ind w:left="5520" w:hanging="480"/>
      </w:pPr>
    </w:lvl>
    <w:lvl w:ilvl="8">
      <w:start w:val="8"/>
      <w:numFmt w:val="decimal"/>
      <w:lvlText w:val="(%9)"/>
      <w:lvlJc w:val="left"/>
      <w:pPr>
        <w:tabs>
          <w:tab w:val="num" w:pos="5760"/>
        </w:tabs>
        <w:ind w:left="6240" w:hanging="480"/>
      </w:pPr>
    </w:lvl>
  </w:abstractNum>
  <w:abstractNum w:abstractNumId="1" w15:restartNumberingAfterBreak="0">
    <w:nsid w:val="FFFFFF7C"/>
    <w:multiLevelType w:val="singleLevel"/>
    <w:tmpl w:val="98E2C260"/>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F27049FC"/>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FECA43D0"/>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B0EA99C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8FD8F8E0"/>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9D86C476"/>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B36E0C90"/>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FCEA5D1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E22C778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D9E70A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C1AE401"/>
    <w:multiLevelType w:val="multilevel"/>
    <w:tmpl w:val="E66E9C4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46AA25D2"/>
    <w:multiLevelType w:val="hybridMultilevel"/>
    <w:tmpl w:val="54B87830"/>
    <w:lvl w:ilvl="0" w:tplc="27DC980E">
      <w:start w:val="1"/>
      <w:numFmt w:val="decimal"/>
      <w:pStyle w:val="Bibliography"/>
      <w:lvlText w:val="[%1]."/>
      <w:lvlJc w:val="left"/>
      <w:pPr>
        <w:tabs>
          <w:tab w:val="num" w:pos="504"/>
        </w:tabs>
        <w:ind w:left="108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7261BAD"/>
    <w:multiLevelType w:val="multilevel"/>
    <w:tmpl w:val="89AAB952"/>
    <w:lvl w:ilvl="0">
      <w:start w:val="10"/>
      <w:numFmt w:val="decimal"/>
      <w:lvlText w:val="(%1)"/>
      <w:lvlJc w:val="left"/>
      <w:pPr>
        <w:tabs>
          <w:tab w:val="num" w:pos="0"/>
        </w:tabs>
        <w:ind w:left="480" w:hanging="480"/>
      </w:pPr>
    </w:lvl>
    <w:lvl w:ilvl="1">
      <w:start w:val="10"/>
      <w:numFmt w:val="decimal"/>
      <w:lvlText w:val="(%2)"/>
      <w:lvlJc w:val="left"/>
      <w:pPr>
        <w:tabs>
          <w:tab w:val="num" w:pos="720"/>
        </w:tabs>
        <w:ind w:left="1200" w:hanging="480"/>
      </w:pPr>
    </w:lvl>
    <w:lvl w:ilvl="2">
      <w:start w:val="10"/>
      <w:numFmt w:val="decimal"/>
      <w:lvlText w:val="(%3)"/>
      <w:lvlJc w:val="left"/>
      <w:pPr>
        <w:tabs>
          <w:tab w:val="num" w:pos="1440"/>
        </w:tabs>
        <w:ind w:left="1920" w:hanging="480"/>
      </w:pPr>
    </w:lvl>
    <w:lvl w:ilvl="3">
      <w:start w:val="10"/>
      <w:numFmt w:val="decimal"/>
      <w:lvlText w:val="(%4)"/>
      <w:lvlJc w:val="left"/>
      <w:pPr>
        <w:tabs>
          <w:tab w:val="num" w:pos="2160"/>
        </w:tabs>
        <w:ind w:left="2640" w:hanging="480"/>
      </w:pPr>
    </w:lvl>
    <w:lvl w:ilvl="4">
      <w:start w:val="10"/>
      <w:numFmt w:val="decimal"/>
      <w:lvlText w:val="(%5)"/>
      <w:lvlJc w:val="left"/>
      <w:pPr>
        <w:tabs>
          <w:tab w:val="num" w:pos="2880"/>
        </w:tabs>
        <w:ind w:left="3360" w:hanging="480"/>
      </w:pPr>
    </w:lvl>
    <w:lvl w:ilvl="5">
      <w:start w:val="10"/>
      <w:numFmt w:val="decimal"/>
      <w:lvlText w:val="(%6)"/>
      <w:lvlJc w:val="left"/>
      <w:pPr>
        <w:tabs>
          <w:tab w:val="num" w:pos="3600"/>
        </w:tabs>
        <w:ind w:left="4080" w:hanging="480"/>
      </w:pPr>
    </w:lvl>
    <w:lvl w:ilvl="6">
      <w:start w:val="10"/>
      <w:numFmt w:val="decimal"/>
      <w:lvlText w:val="(%7)"/>
      <w:lvlJc w:val="left"/>
      <w:pPr>
        <w:tabs>
          <w:tab w:val="num" w:pos="4320"/>
        </w:tabs>
        <w:ind w:left="4800" w:hanging="480"/>
      </w:pPr>
    </w:lvl>
    <w:lvl w:ilvl="7">
      <w:start w:val="10"/>
      <w:numFmt w:val="decimal"/>
      <w:lvlText w:val="(%8)"/>
      <w:lvlJc w:val="left"/>
      <w:pPr>
        <w:tabs>
          <w:tab w:val="num" w:pos="5040"/>
        </w:tabs>
        <w:ind w:left="5520" w:hanging="480"/>
      </w:pPr>
    </w:lvl>
    <w:lvl w:ilvl="8">
      <w:start w:val="10"/>
      <w:numFmt w:val="decimal"/>
      <w:lvlText w:val="(%9)"/>
      <w:lvlJc w:val="left"/>
      <w:pPr>
        <w:tabs>
          <w:tab w:val="num" w:pos="5760"/>
        </w:tabs>
        <w:ind w:left="6240" w:hanging="480"/>
      </w:pPr>
    </w:lvl>
  </w:abstractNum>
  <w:abstractNum w:abstractNumId="14" w15:restartNumberingAfterBreak="0">
    <w:nsid w:val="6FE72EDF"/>
    <w:multiLevelType w:val="multilevel"/>
    <w:tmpl w:val="DF12726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5" w15:restartNumberingAfterBreak="0">
    <w:nsid w:val="71315DCA"/>
    <w:multiLevelType w:val="multilevel"/>
    <w:tmpl w:val="7D72DCFE"/>
    <w:lvl w:ilvl="0">
      <w:start w:val="9"/>
      <w:numFmt w:val="decimal"/>
      <w:lvlText w:val="(%1)"/>
      <w:lvlJc w:val="left"/>
      <w:pPr>
        <w:tabs>
          <w:tab w:val="num" w:pos="0"/>
        </w:tabs>
        <w:ind w:left="480" w:hanging="480"/>
      </w:pPr>
    </w:lvl>
    <w:lvl w:ilvl="1">
      <w:start w:val="9"/>
      <w:numFmt w:val="decimal"/>
      <w:lvlText w:val="(%2)"/>
      <w:lvlJc w:val="left"/>
      <w:pPr>
        <w:tabs>
          <w:tab w:val="num" w:pos="720"/>
        </w:tabs>
        <w:ind w:left="1200" w:hanging="480"/>
      </w:pPr>
    </w:lvl>
    <w:lvl w:ilvl="2">
      <w:start w:val="9"/>
      <w:numFmt w:val="decimal"/>
      <w:lvlText w:val="(%3)"/>
      <w:lvlJc w:val="left"/>
      <w:pPr>
        <w:tabs>
          <w:tab w:val="num" w:pos="1440"/>
        </w:tabs>
        <w:ind w:left="1920" w:hanging="480"/>
      </w:pPr>
    </w:lvl>
    <w:lvl w:ilvl="3">
      <w:start w:val="9"/>
      <w:numFmt w:val="decimal"/>
      <w:lvlText w:val="(%4)"/>
      <w:lvlJc w:val="left"/>
      <w:pPr>
        <w:tabs>
          <w:tab w:val="num" w:pos="2160"/>
        </w:tabs>
        <w:ind w:left="2640" w:hanging="480"/>
      </w:pPr>
    </w:lvl>
    <w:lvl w:ilvl="4">
      <w:start w:val="9"/>
      <w:numFmt w:val="decimal"/>
      <w:lvlText w:val="(%5)"/>
      <w:lvlJc w:val="left"/>
      <w:pPr>
        <w:tabs>
          <w:tab w:val="num" w:pos="2880"/>
        </w:tabs>
        <w:ind w:left="3360" w:hanging="480"/>
      </w:pPr>
    </w:lvl>
    <w:lvl w:ilvl="5">
      <w:start w:val="9"/>
      <w:numFmt w:val="decimal"/>
      <w:lvlText w:val="(%6)"/>
      <w:lvlJc w:val="left"/>
      <w:pPr>
        <w:tabs>
          <w:tab w:val="num" w:pos="3600"/>
        </w:tabs>
        <w:ind w:left="4080" w:hanging="480"/>
      </w:pPr>
    </w:lvl>
    <w:lvl w:ilvl="6">
      <w:start w:val="9"/>
      <w:numFmt w:val="decimal"/>
      <w:lvlText w:val="(%7)"/>
      <w:lvlJc w:val="left"/>
      <w:pPr>
        <w:tabs>
          <w:tab w:val="num" w:pos="4320"/>
        </w:tabs>
        <w:ind w:left="4800" w:hanging="480"/>
      </w:pPr>
    </w:lvl>
    <w:lvl w:ilvl="7">
      <w:start w:val="9"/>
      <w:numFmt w:val="decimal"/>
      <w:lvlText w:val="(%8)"/>
      <w:lvlJc w:val="left"/>
      <w:pPr>
        <w:tabs>
          <w:tab w:val="num" w:pos="5040"/>
        </w:tabs>
        <w:ind w:left="5520" w:hanging="480"/>
      </w:pPr>
    </w:lvl>
    <w:lvl w:ilvl="8">
      <w:start w:val="9"/>
      <w:numFmt w:val="decimal"/>
      <w:lvlText w:val="(%9)"/>
      <w:lvlJc w:val="left"/>
      <w:pPr>
        <w:tabs>
          <w:tab w:val="num" w:pos="5760"/>
        </w:tabs>
        <w:ind w:left="6240" w:hanging="480"/>
      </w:pPr>
    </w:lvl>
  </w:abstractNum>
  <w:num w:numId="1">
    <w:abstractNumId w:val="14"/>
  </w:num>
  <w:num w:numId="2">
    <w:abstractNumId w:val="11"/>
  </w:num>
  <w:num w:numId="3">
    <w:abstractNumId w:val="0"/>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4">
    <w:abstractNumId w:val="15"/>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5">
    <w:abstractNumId w:val="13"/>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6">
    <w:abstractNumId w:val="10"/>
  </w:num>
  <w:num w:numId="7">
    <w:abstractNumId w:val="8"/>
  </w:num>
  <w:num w:numId="8">
    <w:abstractNumId w:val="7"/>
  </w:num>
  <w:num w:numId="9">
    <w:abstractNumId w:val="6"/>
  </w:num>
  <w:num w:numId="10">
    <w:abstractNumId w:val="5"/>
  </w:num>
  <w:num w:numId="11">
    <w:abstractNumId w:val="9"/>
  </w:num>
  <w:num w:numId="12">
    <w:abstractNumId w:val="4"/>
  </w:num>
  <w:num w:numId="13">
    <w:abstractNumId w:val="3"/>
  </w:num>
  <w:num w:numId="14">
    <w:abstractNumId w:val="2"/>
  </w:num>
  <w:num w:numId="15">
    <w:abstractNumId w:val="1"/>
  </w:num>
  <w:num w:numId="16">
    <w:abstractNumId w:val="11"/>
  </w:num>
  <w:num w:numId="17">
    <w:abstractNumId w:val="0"/>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8">
    <w:abstractNumId w:val="15"/>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9">
    <w:abstractNumId w:val="13"/>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20">
    <w:abstractNumId w:val="11"/>
  </w:num>
  <w:num w:numId="21">
    <w:abstractNumId w:val="0"/>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22">
    <w:abstractNumId w:val="15"/>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23">
    <w:abstractNumId w:val="13"/>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24">
    <w:abstractNumId w:val="11"/>
  </w:num>
  <w:num w:numId="25">
    <w:abstractNumId w:val="0"/>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26">
    <w:abstractNumId w:val="15"/>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27">
    <w:abstractNumId w:val="13"/>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28">
    <w:abstractNumId w:val="11"/>
  </w:num>
  <w:num w:numId="29">
    <w:abstractNumId w:val="0"/>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30">
    <w:abstractNumId w:val="15"/>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31">
    <w:abstractNumId w:val="13"/>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32">
    <w:abstractNumId w:val="11"/>
  </w:num>
  <w:num w:numId="33">
    <w:abstractNumId w:val="0"/>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34">
    <w:abstractNumId w:val="15"/>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35">
    <w:abstractNumId w:val="13"/>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36">
    <w:abstractNumId w:val="11"/>
  </w:num>
  <w:num w:numId="37">
    <w:abstractNumId w:val="0"/>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38">
    <w:abstractNumId w:val="15"/>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39">
    <w:abstractNumId w:val="13"/>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4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221AAF"/>
    <w:rsid w:val="004C6B89"/>
    <w:rsid w:val="004E29B3"/>
    <w:rsid w:val="00590D07"/>
    <w:rsid w:val="00784D58"/>
    <w:rsid w:val="008D6863"/>
    <w:rsid w:val="00AB5A79"/>
    <w:rsid w:val="00B86B75"/>
    <w:rsid w:val="00BC48D5"/>
    <w:rsid w:val="00C36279"/>
    <w:rsid w:val="00DD760D"/>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BCFD091-CD59-4306-950E-F4A8343BF3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rsid w:val="00411218"/>
    <w:pPr>
      <w:keepNext/>
      <w:keepLines/>
      <w:numPr>
        <w:numId w:val="1"/>
      </w:numPr>
      <w:spacing w:before="480" w:after="360"/>
      <w:outlineLvl w:val="0"/>
    </w:pPr>
    <w:rPr>
      <w:rFonts w:ascii="Times New Roman" w:eastAsiaTheme="majorEastAsia" w:hAnsi="Times New Roman" w:cs="Times New Roman"/>
      <w:b/>
      <w:bCs/>
    </w:rPr>
  </w:style>
  <w:style w:type="paragraph" w:styleId="Heading2">
    <w:name w:val="heading 2"/>
    <w:basedOn w:val="Normal"/>
    <w:next w:val="BodyText"/>
    <w:uiPriority w:val="9"/>
    <w:unhideWhenUsed/>
    <w:qFormat/>
    <w:rsid w:val="00411218"/>
    <w:pPr>
      <w:keepNext/>
      <w:keepLines/>
      <w:numPr>
        <w:ilvl w:val="1"/>
        <w:numId w:val="1"/>
      </w:numPr>
      <w:spacing w:before="240" w:after="240"/>
      <w:outlineLvl w:val="1"/>
    </w:pPr>
    <w:rPr>
      <w:rFonts w:ascii="Times New Roman" w:eastAsiaTheme="majorEastAsia" w:hAnsi="Times New Roman" w:cs="Times New Roman"/>
      <w:b/>
      <w:bCs/>
    </w:rPr>
  </w:style>
  <w:style w:type="paragraph" w:styleId="Heading3">
    <w:name w:val="heading 3"/>
    <w:basedOn w:val="Normal"/>
    <w:next w:val="BodyText"/>
    <w:uiPriority w:val="9"/>
    <w:unhideWhenUsed/>
    <w:qFormat/>
    <w:pPr>
      <w:keepNext/>
      <w:keepLines/>
      <w:numPr>
        <w:ilvl w:val="2"/>
        <w:numId w:val="1"/>
      </w:numPr>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rsid w:val="00F14F0F"/>
    <w:pPr>
      <w:keepNext/>
      <w:keepLines/>
      <w:spacing w:before="200" w:after="0"/>
      <w:jc w:val="center"/>
      <w:outlineLvl w:val="3"/>
    </w:pPr>
    <w:rPr>
      <w:rFonts w:ascii="Times New Roman" w:eastAsiaTheme="majorEastAsia" w:hAnsi="Times New Roman" w:cs="Times New Roman"/>
      <w:b/>
      <w:bCs/>
    </w:rPr>
  </w:style>
  <w:style w:type="paragraph" w:styleId="Heading5">
    <w:name w:val="heading 5"/>
    <w:basedOn w:val="Heading1"/>
    <w:next w:val="BodyText"/>
    <w:uiPriority w:val="9"/>
    <w:unhideWhenUsed/>
    <w:qFormat/>
    <w:rsid w:val="005C570E"/>
    <w:pPr>
      <w:numPr>
        <w:numId w:val="0"/>
      </w:numPr>
      <w:spacing w:after="240"/>
      <w:outlineLvl w:val="4"/>
    </w:pPr>
  </w:style>
  <w:style w:type="paragraph" w:styleId="Heading6">
    <w:name w:val="heading 6"/>
    <w:basedOn w:val="Normal"/>
    <w:next w:val="BodyText"/>
    <w:uiPriority w:val="9"/>
    <w:unhideWhenUsed/>
    <w:qFormat/>
    <w:pPr>
      <w:keepNext/>
      <w:keepLines/>
      <w:numPr>
        <w:ilvl w:val="5"/>
        <w:numId w:val="1"/>
      </w:numPr>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numPr>
        <w:ilvl w:val="6"/>
        <w:numId w:val="1"/>
      </w:numPr>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numPr>
        <w:ilvl w:val="7"/>
        <w:numId w:val="1"/>
      </w:numPr>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numPr>
        <w:ilvl w:val="8"/>
        <w:numId w:val="1"/>
      </w:numPr>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870A20"/>
    <w:pPr>
      <w:spacing w:before="120" w:after="120" w:line="480" w:lineRule="auto"/>
      <w:jc w:val="both"/>
    </w:pPr>
    <w:rPr>
      <w:rFonts w:ascii="Times New Roman" w:hAnsi="Times New Roman" w:cs="Times New Roman"/>
    </w:rPr>
  </w:style>
  <w:style w:type="paragraph" w:customStyle="1" w:styleId="FirstParagraph">
    <w:name w:val="First Paragraph"/>
    <w:basedOn w:val="BodyText"/>
    <w:next w:val="BodyText"/>
    <w:qFormat/>
    <w:rsid w:val="000545BB"/>
  </w:style>
  <w:style w:type="paragraph" w:customStyle="1" w:styleId="Compact">
    <w:name w:val="Compact"/>
    <w:basedOn w:val="BodyText"/>
    <w:qFormat/>
    <w:rsid w:val="006F798C"/>
    <w:pPr>
      <w:spacing w:before="36" w:after="36" w:line="240" w:lineRule="auto"/>
    </w:pPr>
    <w:rPr>
      <w:sz w:val="20"/>
    </w:rPr>
  </w:style>
  <w:style w:type="paragraph" w:styleId="Title">
    <w:name w:val="Title"/>
    <w:basedOn w:val="Normal"/>
    <w:next w:val="BodyText"/>
    <w:qFormat/>
    <w:rsid w:val="00BC7C07"/>
    <w:pPr>
      <w:keepNext/>
      <w:keepLines/>
      <w:spacing w:before="240" w:after="240" w:line="360" w:lineRule="auto"/>
      <w:jc w:val="center"/>
    </w:pPr>
    <w:rPr>
      <w:rFonts w:ascii="Times New Roman" w:eastAsiaTheme="majorEastAsia" w:hAnsi="Times New Roman" w:cs="Times New Roman"/>
      <w:b/>
      <w:bCs/>
      <w:sz w:val="36"/>
      <w:szCs w:val="36"/>
    </w:rPr>
  </w:style>
  <w:style w:type="paragraph" w:styleId="Subtitle">
    <w:name w:val="Subtitle"/>
    <w:basedOn w:val="Title"/>
    <w:next w:val="BodyText"/>
    <w:qFormat/>
    <w:rPr>
      <w:sz w:val="30"/>
      <w:szCs w:val="30"/>
    </w:rPr>
  </w:style>
  <w:style w:type="paragraph" w:customStyle="1" w:styleId="Author">
    <w:name w:val="Author"/>
    <w:next w:val="BodyText"/>
    <w:qFormat/>
    <w:rsid w:val="00080012"/>
    <w:pPr>
      <w:keepNext/>
      <w:keepLines/>
      <w:jc w:val="center"/>
    </w:pPr>
    <w:rPr>
      <w:rFonts w:ascii="Times New Roman" w:hAnsi="Times New Roman" w:cs="Times New Roman"/>
    </w:rPr>
  </w:style>
  <w:style w:type="paragraph" w:styleId="Date">
    <w:name w:val="Date"/>
    <w:next w:val="BodyText"/>
    <w:qFormat/>
    <w:rsid w:val="00080012"/>
    <w:pPr>
      <w:keepNext/>
      <w:keepLines/>
      <w:jc w:val="center"/>
    </w:pPr>
    <w:rPr>
      <w:rFonts w:ascii="Times New Roman" w:hAnsi="Times New Roman" w:cs="Times New Roman"/>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AB5A79"/>
    <w:pPr>
      <w:numPr>
        <w:numId w:val="40"/>
      </w:numPr>
      <w:ind w:left="720" w:hanging="720"/>
      <w:jc w:val="both"/>
    </w:pPr>
  </w:style>
  <w:style w:type="paragraph" w:styleId="BlockText">
    <w:name w:val="Block Text"/>
    <w:basedOn w:val="BodyText"/>
    <w:next w:val="BodyText"/>
    <w:uiPriority w:val="9"/>
    <w:unhideWhenUsed/>
    <w:qFormat/>
    <w:rsid w:val="007524D7"/>
    <w:pPr>
      <w:spacing w:before="100" w:after="100"/>
    </w:pPr>
    <w:rPr>
      <w:rFonts w:asciiTheme="majorHAnsi" w:eastAsiaTheme="majorEastAsia" w:hAnsiTheme="majorHAnsi" w:cstheme="majorBidi"/>
      <w:bCs/>
      <w:color w:val="FFFFFF" w:themeColor="background1"/>
      <w:sz w:val="16"/>
      <w:szCs w:val="16"/>
    </w:rPr>
  </w:style>
  <w:style w:type="paragraph" w:styleId="FootnoteText">
    <w:name w:val="footnote text"/>
    <w:basedOn w:val="Normal"/>
    <w:uiPriority w:val="9"/>
    <w:unhideWhenUsed/>
    <w:qFormat/>
    <w:rsid w:val="00A94601"/>
    <w:rPr>
      <w:rFonts w:ascii="Times New Roman" w:hAnsi="Times New Roman" w:cs="Times New Roman"/>
      <w:sz w:val="20"/>
      <w:szCs w:val="20"/>
    </w:rPr>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6B7C5E"/>
    <w:pPr>
      <w:keepNext/>
      <w:jc w:val="center"/>
    </w:pPr>
    <w:rPr>
      <w:i w:val="0"/>
    </w:r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sid w:val="001622E5"/>
    <w:rPr>
      <w:color w:val="C00000"/>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A66574"/>
    <w:pPr>
      <w:spacing w:after="100"/>
    </w:pPr>
  </w:style>
  <w:style w:type="paragraph" w:styleId="TOC2">
    <w:name w:val="toc 2"/>
    <w:basedOn w:val="Normal"/>
    <w:next w:val="Normal"/>
    <w:autoRedefine/>
    <w:uiPriority w:val="39"/>
    <w:unhideWhenUsed/>
    <w:rsid w:val="00A66574"/>
    <w:pPr>
      <w:spacing w:after="100"/>
      <w:ind w:left="240"/>
    </w:pPr>
  </w:style>
  <w:style w:type="paragraph" w:styleId="Header">
    <w:name w:val="header"/>
    <w:basedOn w:val="Normal"/>
    <w:link w:val="HeaderChar"/>
    <w:unhideWhenUsed/>
    <w:rsid w:val="00FE5CEA"/>
    <w:pPr>
      <w:tabs>
        <w:tab w:val="center" w:pos="4680"/>
        <w:tab w:val="right" w:pos="9360"/>
      </w:tabs>
      <w:spacing w:after="0"/>
    </w:pPr>
  </w:style>
  <w:style w:type="character" w:customStyle="1" w:styleId="HeaderChar">
    <w:name w:val="Header Char"/>
    <w:basedOn w:val="DefaultParagraphFont"/>
    <w:link w:val="Header"/>
    <w:rsid w:val="00FE5CEA"/>
  </w:style>
  <w:style w:type="paragraph" w:styleId="Footer">
    <w:name w:val="footer"/>
    <w:basedOn w:val="Normal"/>
    <w:link w:val="FooterChar"/>
    <w:uiPriority w:val="99"/>
    <w:unhideWhenUsed/>
    <w:rsid w:val="00FE5CEA"/>
    <w:pPr>
      <w:tabs>
        <w:tab w:val="center" w:pos="4680"/>
        <w:tab w:val="right" w:pos="9360"/>
      </w:tabs>
      <w:spacing w:after="0"/>
    </w:pPr>
  </w:style>
  <w:style w:type="character" w:customStyle="1" w:styleId="FooterChar">
    <w:name w:val="Footer Char"/>
    <w:basedOn w:val="DefaultParagraphFont"/>
    <w:link w:val="Footer"/>
    <w:uiPriority w:val="99"/>
    <w:rsid w:val="00FE5CEA"/>
  </w:style>
  <w:style w:type="character" w:styleId="LineNumber">
    <w:name w:val="line number"/>
    <w:basedOn w:val="DefaultParagraphFont"/>
    <w:semiHidden/>
    <w:unhideWhenUsed/>
    <w:rsid w:val="00511D1A"/>
  </w:style>
  <w:style w:type="table" w:styleId="PlainTable2">
    <w:name w:val="Plain Table 2"/>
    <w:basedOn w:val="TableNormal"/>
    <w:rsid w:val="00B55E2E"/>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4">
    <w:name w:val="Plain Table 4"/>
    <w:basedOn w:val="TableNormal"/>
    <w:rsid w:val="00B55E2E"/>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
    <w:name w:val="Table Grid"/>
    <w:basedOn w:val="TableNormal"/>
    <w:rsid w:val="00B55E2E"/>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rticle">
    <w:name w:val="article"/>
    <w:basedOn w:val="TableNormal"/>
    <w:uiPriority w:val="99"/>
    <w:rsid w:val="00CC34CD"/>
    <w:pPr>
      <w:spacing w:after="0"/>
      <w:contextualSpacing/>
      <w:jc w:val="center"/>
    </w:pPr>
    <w:rPr>
      <w:rFonts w:ascii="Times New Roman" w:hAnsi="Times New Roman"/>
      <w:sz w:val="20"/>
    </w:rPr>
    <w:tblPr/>
    <w:tcPr>
      <w:vAlign w:val="center"/>
    </w:tcPr>
    <w:tblStylePr w:type="firstRow">
      <w:tblPr/>
      <w:tcPr>
        <w:tcBorders>
          <w:bottom w:val="single" w:sz="4" w:space="0" w:color="auto"/>
        </w:tcBorders>
      </w:tcPr>
    </w:tblStylePr>
    <w:tblStylePr w:type="firstCol">
      <w:pPr>
        <w:jc w:val="left"/>
      </w:pPr>
      <w:rPr>
        <w:rFonts w:ascii="Times New Roman" w:hAnsi="Times New Roman"/>
        <w:sz w:val="20"/>
      </w:rPr>
      <w:tblPr/>
      <w:tcPr>
        <w:tcBorders>
          <w:bottom w:val="nil"/>
        </w:tcBorders>
      </w:tcPr>
    </w:tblStylePr>
  </w:style>
  <w:style w:type="character" w:customStyle="1" w:styleId="BodyTextChar">
    <w:name w:val="Body Text Char"/>
    <w:basedOn w:val="DefaultParagraphFont"/>
    <w:link w:val="BodyText"/>
    <w:rsid w:val="00870A20"/>
    <w:rPr>
      <w:rFonts w:ascii="Times New Roman" w:hAnsi="Times New Roman" w:cs="Times New Roman"/>
    </w:rPr>
  </w:style>
  <w:style w:type="character" w:styleId="PageNumber">
    <w:name w:val="page number"/>
    <w:basedOn w:val="DefaultParagraphFont"/>
    <w:unhideWhenUsed/>
    <w:rsid w:val="00FE12F4"/>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ivcir@politics.ankara.edu.tr"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sagirumati@gmail.com" TargetMode="Externa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yperlink" Target="mailto:civcir@politics.ankara.edu.tr" TargetMode="External"/><Relationship Id="rId4" Type="http://schemas.openxmlformats.org/officeDocument/2006/relationships/webSettings" Target="webSettings.xml"/><Relationship Id="rId9" Type="http://schemas.openxmlformats.org/officeDocument/2006/relationships/hyperlink" Target="mailto:huseyinozdeser@neu.edu.tr" TargetMode="External"/><Relationship Id="rId14" Type="http://schemas.openxmlformats.org/officeDocument/2006/relationships/footer" Target="footer2.xml"/></Relationships>
</file>

<file path=word/_rels/footnotes.xml.rels><?xml version="1.0" encoding="UTF-8" standalone="yes"?>
<Relationships xmlns="http://schemas.openxmlformats.org/package/2006/relationships"><Relationship Id="rId1" Type="http://schemas.openxmlformats.org/officeDocument/2006/relationships/hyperlink" Target="http://www.ecowas.int/member-stat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27</Pages>
  <Words>8412</Words>
  <Characters>47950</Characters>
  <Application>Microsoft Office Word</Application>
  <DocSecurity>0</DocSecurity>
  <Lines>399</Lines>
  <Paragraphs>112</Paragraphs>
  <ScaleCrop>false</ScaleCrop>
  <HeadingPairs>
    <vt:vector size="2" baseType="variant">
      <vt:variant>
        <vt:lpstr>Title</vt:lpstr>
      </vt:variant>
      <vt:variant>
        <vt:i4>1</vt:i4>
      </vt:variant>
    </vt:vector>
  </HeadingPairs>
  <TitlesOfParts>
    <vt:vector size="1" baseType="lpstr">
      <vt:lpstr>The Asymmetric Relationship between ECOWAS-Eurozone Trade (EET) and Exchange Rate Volatility.</vt:lpstr>
    </vt:vector>
  </TitlesOfParts>
  <Company/>
  <LinksUpToDate>false</LinksUpToDate>
  <CharactersWithSpaces>56250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Asymmetric Relationship between ECOWAS-Eurozone Trade (EET) and Exchange Rate Volatility.</dc:title>
  <dc:creator>Sagiru Mati1, Irfan Civcir2*, Hüseyin Özdeşer3</dc:creator>
  <cp:keywords/>
  <cp:lastModifiedBy>Saggylittle</cp:lastModifiedBy>
  <cp:revision>2</cp:revision>
  <dcterms:created xsi:type="dcterms:W3CDTF">2019-07-24T16:20:00Z</dcterms:created>
  <dcterms:modified xsi:type="dcterms:W3CDTF">2019-07-24T16:20:00Z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REFERENCES/paper2_references.bib</vt:lpwstr>
  </property>
  <property fmtid="{D5CDD505-2E9C-101B-9397-08002B2CF9AE}" pid="3" name="citecolor">
    <vt:lpwstr>green</vt:lpwstr>
  </property>
  <property fmtid="{D5CDD505-2E9C-101B-9397-08002B2CF9AE}" pid="4" name="csl">
    <vt:lpwstr>CSL/apa.csl</vt:lpwstr>
  </property>
  <property fmtid="{D5CDD505-2E9C-101B-9397-08002B2CF9AE}" pid="5" name="fig_caption">
    <vt:lpwstr>yes</vt:lpwstr>
  </property>
  <property fmtid="{D5CDD505-2E9C-101B-9397-08002B2CF9AE}" pid="6" name="font_size">
    <vt:lpwstr>12pt</vt:lpwstr>
  </property>
  <property fmtid="{D5CDD505-2E9C-101B-9397-08002B2CF9AE}" pid="7" name="geometry">
    <vt:lpwstr>a4paper,top=2.5cm,bottom=2.5cm,left=3.5cm,right=2.5cm</vt:lpwstr>
  </property>
  <property fmtid="{D5CDD505-2E9C-101B-9397-08002B2CF9AE}" pid="8" name="link-citations">
    <vt:lpwstr>yes</vt:lpwstr>
  </property>
  <property fmtid="{D5CDD505-2E9C-101B-9397-08002B2CF9AE}" pid="9" name="linkcolor">
    <vt:lpwstr>blue</vt:lpwstr>
  </property>
  <property fmtid="{D5CDD505-2E9C-101B-9397-08002B2CF9AE}" pid="10" name="output">
    <vt:lpwstr/>
  </property>
  <property fmtid="{D5CDD505-2E9C-101B-9397-08002B2CF9AE}" pid="11" name="pdf_crop">
    <vt:lpwstr>True</vt:lpwstr>
  </property>
  <property fmtid="{D5CDD505-2E9C-101B-9397-08002B2CF9AE}" pid="12" name="subparagraph">
    <vt:lpwstr>yes</vt:lpwstr>
  </property>
  <property fmtid="{D5CDD505-2E9C-101B-9397-08002B2CF9AE}" pid="13" name="urlcolor">
    <vt:lpwstr>blue</vt:lpwstr>
  </property>
</Properties>
</file>