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Override PartName="/word/media/rId42.pdf" ContentType="application/pdf"/>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ECOWAS</w:t>
      </w:r>
      <w:r>
        <w:t xml:space="preserve"> </w:t>
      </w:r>
      <w:r>
        <w:t xml:space="preserve">Common</w:t>
      </w:r>
      <w:r>
        <w:t xml:space="preserve"> </w:t>
      </w:r>
      <w:r>
        <w:t xml:space="preserve">Currency,</w:t>
      </w:r>
      <w:r>
        <w:t xml:space="preserve"> </w:t>
      </w:r>
      <w:r>
        <w:t xml:space="preserve">a</w:t>
      </w:r>
      <w:r>
        <w:t xml:space="preserve"> </w:t>
      </w:r>
      <w:r>
        <w:t xml:space="preserve">Mirage</w:t>
      </w:r>
      <w:r>
        <w:t xml:space="preserve"> </w:t>
      </w:r>
      <w:r>
        <w:t xml:space="preserve">or</w:t>
      </w:r>
      <w:r>
        <w:t xml:space="preserve"> </w:t>
      </w:r>
      <w:r>
        <w:t xml:space="preserve">Possibility?</w:t>
      </w:r>
    </w:p>
    <w:p>
      <w:pPr>
        <w:pStyle w:val="Author"/>
      </w:pPr>
      <w:r>
        <w:t xml:space="preserve">Sagiru</w:t>
      </w:r>
      <w:r>
        <w:t xml:space="preserve"> </w:t>
      </w:r>
      <w:r>
        <w:t xml:space="preserve">Mati</w:t>
      </w:r>
      <w:r>
        <w:rPr>
          <w:vertAlign w:val="superscript"/>
        </w:rPr>
        <w:t xml:space="preserve">1</w:t>
      </w:r>
      <w:r>
        <w:t xml:space="preserve">,</w:t>
      </w:r>
      <w:r>
        <w:t xml:space="preserve"> </w:t>
      </w:r>
      <w:r>
        <w:t xml:space="preserve">Irfan</w:t>
      </w:r>
      <w:r>
        <w:t xml:space="preserve"> </w:t>
      </w:r>
      <w:r>
        <w:t xml:space="preserve">Civcir</w:t>
      </w:r>
      <w:r>
        <w:rPr>
          <w:vertAlign w:val="superscript"/>
        </w:rPr>
        <w:t xml:space="preserve">2</w:t>
      </w:r>
      <w:r>
        <w:t xml:space="preserve">*,</w:t>
      </w:r>
      <w:r>
        <w:t xml:space="preserve"> </w:t>
      </w:r>
      <w:r>
        <w:t xml:space="preserve">Hüseyin</w:t>
      </w:r>
      <w:r>
        <w:t xml:space="preserve"> </w:t>
      </w:r>
      <w:r>
        <w:t xml:space="preserve">Özdeşer</w:t>
      </w:r>
      <w:r>
        <w:rPr>
          <w:vertAlign w:val="superscript"/>
        </w:rPr>
        <w:t xml:space="preserve">3</w:t>
      </w:r>
    </w:p>
    <w:p>
      <w:pPr>
        <w:pStyle w:val="FirstParagraph"/>
      </w:pPr>
      <w:r>
        <w:rPr>
          <w:vertAlign w:val="superscript"/>
        </w:rPr>
        <w:t xml:space="preserve">1</w:t>
      </w:r>
      <w:r>
        <w:t xml:space="preserve">Faculty of Economics and Administrative Sciences, Near East University, North Cyprus,</w:t>
      </w:r>
      <w:r>
        <w:t xml:space="preserve"> </w:t>
      </w:r>
      <w:hyperlink r:id="rId20">
        <w:r>
          <w:rPr>
            <w:rStyle w:val="Hyperlink"/>
          </w:rPr>
          <w:t xml:space="preserve">sagirumati@gmail.com</w:t>
        </w:r>
      </w:hyperlink>
    </w:p>
    <w:p>
      <w:pPr>
        <w:pStyle w:val="BodyText"/>
      </w:pPr>
      <w:r>
        <w:rPr>
          <w:vertAlign w:val="superscript"/>
        </w:rPr>
        <w:t xml:space="preserve">2</w:t>
      </w:r>
      <w:r>
        <w:t xml:space="preserve">Faculty of Polical Science, Ankara University, Turkey,</w:t>
      </w:r>
      <w:r>
        <w:t xml:space="preserve"> </w:t>
      </w:r>
      <w:hyperlink r:id="rId21">
        <w:r>
          <w:rPr>
            <w:rStyle w:val="Hyperlink"/>
          </w:rPr>
          <w:t xml:space="preserve">civcir@politics.ankara.edu.tr</w:t>
        </w:r>
      </w:hyperlink>
      <w:r>
        <w:t xml:space="preserve">.</w:t>
      </w:r>
    </w:p>
    <w:p>
      <w:pPr>
        <w:pStyle w:val="BodyText"/>
      </w:pPr>
      <w:r>
        <w:rPr>
          <w:vertAlign w:val="superscript"/>
        </w:rPr>
        <w:t xml:space="preserve">3</w:t>
      </w:r>
      <w:r>
        <w:t xml:space="preserve">Faculty of Economics and Administrative Sciences, Near East University, North Cyprus,</w:t>
      </w:r>
      <w:r>
        <w:t xml:space="preserve"> </w:t>
      </w:r>
      <w:hyperlink r:id="rId22">
        <w:r>
          <w:rPr>
            <w:rStyle w:val="Hyperlink"/>
          </w:rPr>
          <w:t xml:space="preserve">huseyinozdeser@neu.edu.tr</w:t>
        </w:r>
      </w:hyperlink>
    </w:p>
    <w:p>
      <w:pPr>
        <w:pStyle w:val="BodyText"/>
      </w:pPr>
      <w:r>
        <w:t xml:space="preserve"> </w:t>
      </w:r>
      <w:r>
        <w:t xml:space="preserve"> </w:t>
      </w:r>
      <w:r>
        <w:t xml:space="preserve">members have been working towards creating a monetary union since 1975.</w:t>
      </w:r>
      <w:r>
        <w:t xml:space="preserve"> </w:t>
      </w:r>
      <w:r>
        <w:t xml:space="preserve"> </w:t>
      </w:r>
      <w:r>
        <w:t xml:space="preserve">members adopted a resolution in 2007, which introduced ECOWAS Vision 2020. This study attempts to provide the economic reasons why this vision is a mirage or possibility. Unlike the previous studies, the interaction of global, regional and domestic inflation rates is used to assess the feasibility of actualizing</w:t>
      </w:r>
      <w:r>
        <w:t xml:space="preserve"> </w:t>
      </w:r>
      <w:r>
        <w:t xml:space="preserve"> </w:t>
      </w:r>
      <w:r>
        <w:t xml:space="preserve">Vision 2020 aimed at creating a monetary union. With the help of</w:t>
      </w:r>
      <w:r>
        <w:t xml:space="preserve"> </w:t>
      </w:r>
      <w:r>
        <w:t xml:space="preserve"> </w:t>
      </w:r>
      <w:r>
        <w:t xml:space="preserve"> </w:t>
      </w:r>
      <w:r>
        <w:t xml:space="preserve">using</w:t>
      </w:r>
      <w:r>
        <w:t xml:space="preserve"> </w:t>
      </w:r>
      <w:r>
        <w:t xml:space="preserve"> </w:t>
      </w:r>
      <w:r>
        <w:t xml:space="preserve">decomposition over the sample of 1975:05 to 2018:08, questions pertaining to symmetry of inflationary shocks, dominance of regional shocks and response of domestic inflation to a given shock are assessed. Impulse response, variance decomposition as well as correlation of domestic inflationary shocks are employed to assess whether this vision is a mirage or possibility. It is found that although the vision is a mirage, creating a common currency can serve as a shock absorber against the negative spillovers of global and regional inflationary shocks. The study recommends that Nigeria can be part of the WAEMU and that more coordination among ECOWAS members is needed before actualizing this vision.</w:t>
      </w:r>
    </w:p>
    <w:p>
      <w:pPr>
        <w:pStyle w:val="BodyText"/>
      </w:pPr>
      <w:r>
        <w:rPr>
          <w:b/>
        </w:rPr>
        <w:t xml:space="preserve">Keywords:</w:t>
      </w:r>
      <w:r>
        <w:t xml:space="preserve"> </w:t>
      </w:r>
      <w:r>
        <w:t xml:space="preserve">Monetary Union, Optimal Currency Area, ECOWAS, WAEMU, SVAR,</w:t>
      </w:r>
      <w:r>
        <w:t xml:space="preserve"> </w:t>
      </w:r>
      <w:r>
        <w:t xml:space="preserve"> </w:t>
      </w:r>
      <w:r>
        <w:t xml:space="preserve">Decomposition.</w:t>
      </w:r>
    </w:p>
    <w:p>
      <w:pPr>
        <w:pStyle w:val="BodyText"/>
      </w:pPr>
      <w:r>
        <w:rPr>
          <w:b/>
        </w:rPr>
        <w:t xml:space="preserve">JEL classification:</w:t>
      </w:r>
      <w:r>
        <w:t xml:space="preserve"> </w:t>
      </w:r>
      <w:r>
        <w:t xml:space="preserve">C13, E31, E52, E58, F33, F42.</w:t>
      </w:r>
    </w:p>
    <w:p>
      <w:pPr>
        <w:pStyle w:val="BodyText"/>
      </w:pPr>
      <w:r>
        <w:t xml:space="preserve">*Corresponding Author:</w:t>
      </w:r>
      <w:r>
        <w:t xml:space="preserve"> </w:t>
      </w:r>
      <w:hyperlink r:id="rId21">
        <w:r>
          <w:rPr>
            <w:rStyle w:val="Hyperlink"/>
          </w:rPr>
          <w:t xml:space="preserve">civcir@politics.ankara.edu.tr</w:t>
        </w:r>
      </w:hyperlink>
      <w:r>
        <w:t xml:space="preserve"> </w:t>
      </w:r>
      <w:r>
        <w:t xml:space="preserve"> </w:t>
      </w:r>
      <w:r>
        <w:t xml:space="preserve"> </w:t>
      </w:r>
    </w:p>
    <w:p>
      <w:pPr>
        <w:pStyle w:val="Heading1"/>
      </w:pPr>
      <w:bookmarkStart w:id="23" w:name="introduction"/>
      <w:r>
        <w:t xml:space="preserve">Introduction</w:t>
      </w:r>
      <w:bookmarkEnd w:id="23"/>
    </w:p>
    <w:p>
      <w:pPr>
        <w:pStyle w:val="FirstParagraph"/>
      </w:pPr>
      <w:r>
        <w:t xml:space="preserve">After establishment of the</w:t>
      </w:r>
      <w:r>
        <w:t xml:space="preserve"> </w:t>
      </w:r>
      <w:r>
        <w:t xml:space="preserve"> </w:t>
      </w:r>
      <w:r>
        <w:t xml:space="preserve"> </w:t>
      </w:r>
      <w:r>
        <w:t xml:space="preserve">which led to the creation of Euro as single currency, several groups of countries attempt to follow suit. One of these groups of countries is Economic Community of West African States (ECOWAS, or it’s French and Portuguese abbreviation CEDEAO)</w:t>
      </w:r>
      <w:r>
        <w:rPr>
          <w:rStyle w:val="FootnoteReference"/>
        </w:rPr>
        <w:footnoteReference w:id="24"/>
      </w:r>
      <w:r>
        <w:t xml:space="preserve"> </w:t>
      </w:r>
      <w:r>
        <w:t xml:space="preserve">, which is similar to the European Union (EU) in terms of structure and operation. After the Treaty of Lagos signed on 28th May, 1975, members of ECOWAS have been working towards creating a common central bank, single currency similar to Euro to be called Eco, and unified monetary policy. In order to accomplish this objective, ECOWAS in June 2007 adopted a resolution, which introduced ECOWAS Vision 2020. Some economic criteria known as convergence criteria, similar to Maastricht Treaty of the EMU, are adopted in the name of</w:t>
      </w:r>
      <w:r>
        <w:t xml:space="preserve"> </w:t>
      </w:r>
      <w:r>
        <w:rPr>
          <w:i/>
        </w:rPr>
        <w:t xml:space="preserve">Decision A/DEC.17/12/01</w:t>
      </w:r>
      <w:r>
        <w:t xml:space="preserve"> </w:t>
      </w:r>
      <w:r>
        <w:t xml:space="preserve">in December, 2001. These criteria were modified in</w:t>
      </w:r>
      <w:r>
        <w:t xml:space="preserve"> </w:t>
      </w:r>
      <w:r>
        <w:rPr>
          <w:i/>
        </w:rPr>
        <w:t xml:space="preserve">Supplementary Act A/SA/4/06/12</w:t>
      </w:r>
      <w:r>
        <w:t xml:space="preserve"> </w:t>
      </w:r>
      <w:r>
        <w:t xml:space="preserve">of 29</w:t>
      </w:r>
      <w:r>
        <w:rPr>
          <w:vertAlign w:val="superscript"/>
        </w:rPr>
        <w:t xml:space="preserve">th</w:t>
      </w:r>
      <w:r>
        <w:t xml:space="preserve"> </w:t>
      </w:r>
      <w:r>
        <w:t xml:space="preserve">June, 2012 on convergence agreement and macroeconomic stability between ECOWAS Member States</w:t>
      </w:r>
      <w:r>
        <w:t xml:space="preserve"> </w:t>
      </w:r>
      <w:r>
        <w:t xml:space="preserve">(ECOWAS,</w:t>
      </w:r>
      <w:r>
        <w:t xml:space="preserve"> </w:t>
      </w:r>
      <w:hyperlink w:anchor="ref-ECOWAS2017">
        <w:r>
          <w:rPr>
            <w:rStyle w:val="Hyperlink"/>
          </w:rPr>
          <w:t xml:space="preserve">2017</w:t>
        </w:r>
      </w:hyperlink>
      <w:r>
        <w:t xml:space="preserve">)</w:t>
      </w:r>
      <w:r>
        <w:t xml:space="preserve">. The Convergence criteria contain two categories, primary criteria and secondary criteria. The primary criteria stipulate that deficit-GDP ratio should be less than 3 per cent, annual average inflation rate less than 10 per cent, gross external reserves greater than 3 months of imports. The secondary criteria require that debt-GDP ratio to be lower than 70 per cent, Central bank financing of the budget deficit should not be above 10 per cent of the previous year’s tax revenue, and variation of nominal exchange rate to be within the band of ±10 per cent. This study attempts to provide the economic reasons why this vision is a mirage or possibility. Towards this end, this study is grounded on the</w:t>
      </w:r>
      <w:r>
        <w:t xml:space="preserve"> </w:t>
      </w:r>
      <w:r>
        <w:t xml:space="preserve"> </w:t>
      </w:r>
      <w:r>
        <w:t xml:space="preserve">, the theory developed by</w:t>
      </w:r>
      <w:r>
        <w:t xml:space="preserve"> </w:t>
      </w:r>
      <w:r>
        <w:t xml:space="preserve">Mundell (</w:t>
      </w:r>
      <w:hyperlink w:anchor="ref-mundell1961theory">
        <w:r>
          <w:rPr>
            <w:rStyle w:val="Hyperlink"/>
          </w:rPr>
          <w:t xml:space="preserve">1961</w:t>
        </w:r>
      </w:hyperlink>
      <w:r>
        <w:t xml:space="preserve">)</w:t>
      </w:r>
      <w:r>
        <w:t xml:space="preserve">,</w:t>
      </w:r>
      <w:r>
        <w:t xml:space="preserve"> </w:t>
      </w:r>
      <w:r>
        <w:t xml:space="preserve">McKinnon (</w:t>
      </w:r>
      <w:hyperlink w:anchor="ref-McKinnon1963">
        <w:r>
          <w:rPr>
            <w:rStyle w:val="Hyperlink"/>
          </w:rPr>
          <w:t xml:space="preserve">1963</w:t>
        </w:r>
      </w:hyperlink>
      <w:r>
        <w:t xml:space="preserve">)</w:t>
      </w:r>
      <w:r>
        <w:t xml:space="preserve"> </w:t>
      </w:r>
      <w:r>
        <w:t xml:space="preserve">and</w:t>
      </w:r>
      <w:r>
        <w:t xml:space="preserve"> </w:t>
      </w:r>
      <w:r>
        <w:t xml:space="preserve">Kenen (</w:t>
      </w:r>
      <w:hyperlink w:anchor="ref-kenen1969theory">
        <w:r>
          <w:rPr>
            <w:rStyle w:val="Hyperlink"/>
          </w:rPr>
          <w:t xml:space="preserve">1969</w:t>
        </w:r>
      </w:hyperlink>
      <w:r>
        <w:t xml:space="preserve">)</w:t>
      </w:r>
      <w:r>
        <w:t xml:space="preserve"> </w:t>
      </w:r>
      <w:r>
        <w:t xml:space="preserve">to explain the economic conditions necessary for a beneficial monetary unification.</w:t>
      </w:r>
      <w:r>
        <w:t xml:space="preserve"> </w:t>
      </w:r>
      <w:r>
        <w:t xml:space="preserve">OCA is one of the theories used to assess the costs and benefits of forming or joining</w:t>
      </w:r>
      <w:r>
        <w:t xml:space="preserve"> </w:t>
      </w:r>
      <w:r>
        <w:t xml:space="preserve"> </w:t>
      </w:r>
      <w:r>
        <w:t xml:space="preserve">an MU</w:t>
      </w:r>
      <w:r>
        <w:t xml:space="preserve"> </w:t>
      </w:r>
      <w:r>
        <w:t xml:space="preserve">(Bayoumi &amp; Eichengreen,</w:t>
      </w:r>
      <w:r>
        <w:t xml:space="preserve"> </w:t>
      </w:r>
      <w:hyperlink w:anchor="ref-BAYOUMI1997761">
        <w:r>
          <w:rPr>
            <w:rStyle w:val="Hyperlink"/>
          </w:rPr>
          <w:t xml:space="preserve">1997</w:t>
        </w:r>
      </w:hyperlink>
      <w:r>
        <w:t xml:space="preserve">; Capie &amp; Wood,</w:t>
      </w:r>
      <w:r>
        <w:t xml:space="preserve"> </w:t>
      </w:r>
      <w:hyperlink w:anchor="ref-capie2003monetary">
        <w:r>
          <w:rPr>
            <w:rStyle w:val="Hyperlink"/>
          </w:rPr>
          <w:t xml:space="preserve">2003</w:t>
        </w:r>
      </w:hyperlink>
      <w:r>
        <w:t xml:space="preserve">; Plasmans, Engwerda, Van Aarle, Di Bartolomeo, &amp; Michalak,</w:t>
      </w:r>
      <w:r>
        <w:t xml:space="preserve"> </w:t>
      </w:r>
      <w:hyperlink w:anchor="ref-plasmans2006dynamic">
        <w:r>
          <w:rPr>
            <w:rStyle w:val="Hyperlink"/>
          </w:rPr>
          <w:t xml:space="preserve">2006</w:t>
        </w:r>
      </w:hyperlink>
      <w:r>
        <w:t xml:space="preserve">)</w:t>
      </w:r>
      <w:r>
        <w:t xml:space="preserve">, or the nature of macroeconomic shocks among the members of an MU</w:t>
      </w:r>
      <w:r>
        <w:t xml:space="preserve"> </w:t>
      </w:r>
      <w:r>
        <w:t xml:space="preserve">(see for example, De Grauwe,</w:t>
      </w:r>
      <w:r>
        <w:t xml:space="preserve"> </w:t>
      </w:r>
      <w:hyperlink w:anchor="ref-de2000monetary">
        <w:r>
          <w:rPr>
            <w:rStyle w:val="Hyperlink"/>
          </w:rPr>
          <w:t xml:space="preserve">2000</w:t>
        </w:r>
      </w:hyperlink>
      <w:r>
        <w:t xml:space="preserve">; Chow &amp; Kim,</w:t>
      </w:r>
      <w:r>
        <w:t xml:space="preserve"> </w:t>
      </w:r>
      <w:hyperlink w:anchor="ref-Chow2003">
        <w:r>
          <w:rPr>
            <w:rStyle w:val="Hyperlink"/>
          </w:rPr>
          <w:t xml:space="preserve">2003</w:t>
        </w:r>
      </w:hyperlink>
      <w:r>
        <w:t xml:space="preserve">; Khamfula &amp; Huizinga,</w:t>
      </w:r>
      <w:r>
        <w:t xml:space="preserve"> </w:t>
      </w:r>
      <w:hyperlink w:anchor="ref-khamfula2004southern">
        <w:r>
          <w:rPr>
            <w:rStyle w:val="Hyperlink"/>
          </w:rPr>
          <w:t xml:space="preserve">2004</w:t>
        </w:r>
      </w:hyperlink>
      <w:r>
        <w:t xml:space="preserve">; Lee &amp; Azali,</w:t>
      </w:r>
      <w:r>
        <w:t xml:space="preserve"> </w:t>
      </w:r>
      <w:hyperlink w:anchor="ref-lee2012east">
        <w:r>
          <w:rPr>
            <w:rStyle w:val="Hyperlink"/>
          </w:rPr>
          <w:t xml:space="preserve">2012</w:t>
        </w:r>
      </w:hyperlink>
      <w:r>
        <w:t xml:space="preserve">; Legrand,</w:t>
      </w:r>
      <w:r>
        <w:t xml:space="preserve"> </w:t>
      </w:r>
      <w:hyperlink w:anchor="ref-LEGRAND2014136">
        <w:r>
          <w:rPr>
            <w:rStyle w:val="Hyperlink"/>
          </w:rPr>
          <w:t xml:space="preserve">2014</w:t>
        </w:r>
      </w:hyperlink>
      <w:r>
        <w:t xml:space="preserve">; Regmi, Nikolsko-Rzhevskyy, &amp; Thornton,</w:t>
      </w:r>
      <w:r>
        <w:t xml:space="preserve"> </w:t>
      </w:r>
      <w:hyperlink w:anchor="ref-Regmi2015">
        <w:r>
          <w:rPr>
            <w:rStyle w:val="Hyperlink"/>
          </w:rPr>
          <w:t xml:space="preserve">2015</w:t>
        </w:r>
      </w:hyperlink>
      <w:r>
        <w:t xml:space="preserve">; Zhao &amp; Kim,</w:t>
      </w:r>
      <w:r>
        <w:t xml:space="preserve"> </w:t>
      </w:r>
      <w:hyperlink w:anchor="ref-Zhao2009">
        <w:r>
          <w:rPr>
            <w:rStyle w:val="Hyperlink"/>
          </w:rPr>
          <w:t xml:space="preserve">2009</w:t>
        </w:r>
      </w:hyperlink>
      <w:r>
        <w:t xml:space="preserve">)</w:t>
      </w:r>
      <w:r>
        <w:t xml:space="preserve">. Some of the conditions proposed by</w:t>
      </w:r>
      <w:r>
        <w:t xml:space="preserve"> </w:t>
      </w:r>
      <w:r>
        <w:t xml:space="preserve"> </w:t>
      </w:r>
      <w:r>
        <w:t xml:space="preserve">for a beneficial monetary unification include symmetry of shocks and similar business cycle among the members of the</w:t>
      </w:r>
      <w:r>
        <w:t xml:space="preserve"> </w:t>
      </w:r>
      <w:r>
        <w:t xml:space="preserve">. The higher the compatibility of an MU with</w:t>
      </w:r>
      <w:r>
        <w:t xml:space="preserve"> </w:t>
      </w:r>
      <w:r>
        <w:t xml:space="preserve">, the larger the benefit to all members, and vice versa</w:t>
      </w:r>
      <w:r>
        <w:t xml:space="preserve"> </w:t>
      </w:r>
      <w:r>
        <w:t xml:space="preserve">(De Grauwe,</w:t>
      </w:r>
      <w:r>
        <w:t xml:space="preserve"> </w:t>
      </w:r>
      <w:hyperlink w:anchor="ref-de2000monetary">
        <w:r>
          <w:rPr>
            <w:rStyle w:val="Hyperlink"/>
          </w:rPr>
          <w:t xml:space="preserve">2000</w:t>
        </w:r>
      </w:hyperlink>
      <w:r>
        <w:t xml:space="preserve">)</w:t>
      </w:r>
      <w:r>
        <w:t xml:space="preserve">. The magnitude of benefit or cost of joining an MU depends on the frequency, nature, and transmission of the shocks which impact the</w:t>
      </w:r>
      <w:r>
        <w:t xml:space="preserve"> </w:t>
      </w:r>
      <w:r>
        <w:t xml:space="preserve">. If the nature of the shocks is symmetric (asymmetric), the benefit (cost) of joining</w:t>
      </w:r>
      <w:r>
        <w:t xml:space="preserve"> </w:t>
      </w:r>
      <w:r>
        <w:t xml:space="preserve"> </w:t>
      </w:r>
      <w:r>
        <w:t xml:space="preserve">is substantial</w:t>
      </w:r>
      <w:r>
        <w:t xml:space="preserve"> </w:t>
      </w:r>
      <w:r>
        <w:t xml:space="preserve">(Plasmans et al.,</w:t>
      </w:r>
      <w:r>
        <w:t xml:space="preserve"> </w:t>
      </w:r>
      <w:hyperlink w:anchor="ref-plasmans2006dynamic">
        <w:r>
          <w:rPr>
            <w:rStyle w:val="Hyperlink"/>
          </w:rPr>
          <w:t xml:space="preserve">2006</w:t>
        </w:r>
      </w:hyperlink>
      <w:r>
        <w:t xml:space="preserve">)</w:t>
      </w:r>
      <w:r>
        <w:t xml:space="preserve">.</w:t>
      </w:r>
    </w:p>
    <w:p>
      <w:pPr>
        <w:pStyle w:val="BodyText"/>
      </w:pPr>
      <w:r>
        <w:t xml:space="preserve">Despite this giant vision, there exist very few empirical studies to examine the possibility or otherwise of actualizing this vision. Moreover, these studies employ other methodologies than the</w:t>
      </w:r>
      <w:r>
        <w:t xml:space="preserve"> </w:t>
      </w:r>
      <w:r>
        <w:t xml:space="preserve"> </w:t>
      </w:r>
      <w:r>
        <w:t xml:space="preserve">decomposition and focus on</w:t>
      </w:r>
      <w:r>
        <w:t xml:space="preserve"> </w:t>
      </w:r>
      <w:r>
        <w:t xml:space="preserve"> </w:t>
      </w:r>
      <w:r>
        <w:rPr>
          <w:rStyle w:val="FootnoteReference"/>
        </w:rPr>
        <w:footnoteReference w:id="25"/>
      </w:r>
      <w:r>
        <w:t xml:space="preserve"> </w:t>
      </w:r>
      <w:r>
        <w:t xml:space="preserve">and</w:t>
      </w:r>
      <w:r>
        <w:t xml:space="preserve"> </w:t>
      </w:r>
      <w:r>
        <w:t xml:space="preserve"> </w:t>
      </w:r>
      <w:r>
        <w:t xml:space="preserve">, see for example</w:t>
      </w:r>
      <w:r>
        <w:t xml:space="preserve"> </w:t>
      </w:r>
      <w:r>
        <w:t xml:space="preserve">(Fielding &amp; Shields,</w:t>
      </w:r>
      <w:r>
        <w:t xml:space="preserve"> </w:t>
      </w:r>
      <w:hyperlink w:anchor="ref-Fielding2005">
        <w:r>
          <w:rPr>
            <w:rStyle w:val="Hyperlink"/>
          </w:rPr>
          <w:t xml:space="preserve">2005</w:t>
        </w:r>
      </w:hyperlink>
      <w:r>
        <w:t xml:space="preserve">; Hefeker,</w:t>
      </w:r>
      <w:r>
        <w:t xml:space="preserve"> </w:t>
      </w:r>
      <w:hyperlink w:anchor="ref-hefeker2010fiscal">
        <w:r>
          <w:rPr>
            <w:rStyle w:val="Hyperlink"/>
          </w:rPr>
          <w:t xml:space="preserve">2010</w:t>
        </w:r>
      </w:hyperlink>
      <w:r>
        <w:t xml:space="preserve">; Masson &amp; Pattillo,</w:t>
      </w:r>
      <w:r>
        <w:t xml:space="preserve"> </w:t>
      </w:r>
      <w:hyperlink w:anchor="ref-masson2001monetary">
        <w:r>
          <w:rPr>
            <w:rStyle w:val="Hyperlink"/>
          </w:rPr>
          <w:t xml:space="preserve">2001</w:t>
        </w:r>
      </w:hyperlink>
      <w:r>
        <w:t xml:space="preserve">; Tsangarides &amp; Qureshi,</w:t>
      </w:r>
      <w:r>
        <w:t xml:space="preserve"> </w:t>
      </w:r>
      <w:hyperlink w:anchor="ref-TSANGARIDES20081261">
        <w:r>
          <w:rPr>
            <w:rStyle w:val="Hyperlink"/>
          </w:rPr>
          <w:t xml:space="preserve">2008</w:t>
        </w:r>
      </w:hyperlink>
      <w:r>
        <w:t xml:space="preserve">)</w:t>
      </w:r>
      <w:r>
        <w:t xml:space="preserve">. It differs from other similar studies in terms of methodology, variables, data frequency and sample size. This paper attempts to empirically establish whether the</w:t>
      </w:r>
      <w:r>
        <w:t xml:space="preserve"> </w:t>
      </w:r>
      <w:r>
        <w:t xml:space="preserve">’s vision 2020 is a mirage or possibility in the light of OCA. For this the study attempts to answer the following research questions; i. Do members of the ECOWAS meet the primary and secondary convergence criteria?; ii. Are the shocks in ECOWAS countries symmetric?; iii. Is the members’ source of shocks regional?; iv. Are the responses of ECOWAS countries to a given shock similar? If the answer to each of the above set of questions is no (yes), then the implication is that ECOWAS’s Vision 2020 is a mirage (possibility). Having either yes or no as an answer to the individual question implies different conclusion from having either yes or no to all the questions. Having yes (no) as an answer to the second and fourth questions, individually or collectively, implies that the ECOWAS members are ready (not ready) for a single monetary policy. On the other hand, having yes (no) as an answer to question 3 signifies that the ECOWAS members could benefit (suffer) from using a single currency.</w:t>
      </w:r>
    </w:p>
    <w:p>
      <w:pPr>
        <w:pStyle w:val="Heading1"/>
      </w:pPr>
      <w:bookmarkStart w:id="26" w:name="overview-of-ecowas"/>
      <w:r>
        <w:t xml:space="preserve">Overview of ECOWAS</w:t>
      </w:r>
      <w:bookmarkEnd w:id="26"/>
    </w:p>
    <w:p>
      <w:pPr>
        <w:pStyle w:val="FirstParagraph"/>
      </w:pPr>
      <w:r>
        <w:t xml:space="preserve">The organization currently comprises fifteen (15) member countries. They include Benin (BEN), Burkina Faso (BFA), Cote d’Ivoire (CIV), Guinea Bissau (GNB), Mali (MLI), Niger (NER), Senegal (SEN), Togo (TGO), the Gambia (GMB), Ghana (GHA), Guinea (GUI), Nigeria (NGA), Sierra Leone (SLE), Cabo Verde (CPV) and Liberia (LBR), see Masson and Pattillo (2001). The West African Economic and Monetary Union (WAEMU) is made up of the first eight members, while the last two are not part of any monetary union. The remaining members comprise the West African Monetary Zone (WAMZ)</w:t>
      </w:r>
      <w:r>
        <w:rPr>
          <w:rStyle w:val="FootnoteReference"/>
        </w:rPr>
        <w:footnoteReference w:id="27"/>
      </w:r>
      <w:r>
        <w:t xml:space="preserve">. Only three Member States, namely Guinea, Liberia and Nigeria met the first of the primary criteria (deficit-GDP ratio less than 3 per cent) as opposed to six in 2015, which were Benin (6.2%), the Gambia (9.5%), Ghana (10.9%) Niger (6.1%), Sierra Leone (6.4%) and Togo (8.5%). As for the second of the primary criteria (annual average inflation less than 10 per cent), only Ghana, Nigeria, and Sierra Leone recorded an inflation rate of more than ten percent (10%) in 2016. In 2015, all ECOWAS members other than Ghana recorded an inflation rate of less than 10%. The Anglophone countries recorded higher inflation rates. The higher inflation rates could be attributable to the depreciation of the currencies of these members in 2015 and 2016. The target of the third primary criterion (gross external reserves greater than 3 months of imports) was previously six months of imports, but was reduced to three months of import in 2015. In 2016, only the Gambia (2.4 months), Ghana (2,8 months) and Guinea (1.4 months) did not meet this criterion. Nigeria (6.5 months) and Cabo Verde (6.4 months) had the largest coverage of imports in both 2015 and 2016</w:t>
      </w:r>
      <w:r>
        <w:t xml:space="preserve"> </w:t>
      </w:r>
      <w:r>
        <w:t xml:space="preserve">(ECOWAS,</w:t>
      </w:r>
      <w:r>
        <w:t xml:space="preserve"> </w:t>
      </w:r>
      <w:hyperlink w:anchor="ref-ECOWAS2017">
        <w:r>
          <w:rPr>
            <w:rStyle w:val="Hyperlink"/>
          </w:rPr>
          <w:t xml:space="preserve">2017</w:t>
        </w:r>
      </w:hyperlink>
      <w:r>
        <w:t xml:space="preserve">)</w:t>
      </w:r>
      <w:r>
        <w:t xml:space="preserve">.</w:t>
      </w:r>
    </w:p>
    <w:p>
      <w:pPr>
        <w:pStyle w:val="BodyText"/>
      </w:pPr>
      <w:r>
        <w:t xml:space="preserve">Only Cabo Verde (128.6%), The Gambia (117.3%) and Togo (79.4%) have not met the first of the secondary criteria (debt-GDP ratio lower than 70 per cent). Guinea, Nigeria, the Gambia and Sierra Leone did not meet the second of the secondary criteria (Central bank financing of deficit above 10 per cent of the previous year’s tax revenue). Regarding the third secondary criterion (variation of nominal exchange rate within the band of ±10 per cent), three currencies in 2016, compared to two in 2015, experienced an average variation outside the ±10% band. The affected currencies are Guinea franc (16.4%), Nigerian naira (23.5%) and Sierra Leone leone (19.1%) as reported by</w:t>
      </w:r>
      <w:r>
        <w:t xml:space="preserve"> </w:t>
      </w:r>
      <w:r>
        <w:t xml:space="preserve">(ECOWAS,</w:t>
      </w:r>
      <w:r>
        <w:t xml:space="preserve"> </w:t>
      </w:r>
      <w:hyperlink w:anchor="ref-ECOWAS2017">
        <w:r>
          <w:rPr>
            <w:rStyle w:val="Hyperlink"/>
          </w:rPr>
          <w:t xml:space="preserve">2017</w:t>
        </w:r>
      </w:hyperlink>
      <w:r>
        <w:t xml:space="preserve">)</w:t>
      </w:r>
      <w:r>
        <w:t xml:space="preserve">.</w:t>
      </w:r>
    </w:p>
    <w:p>
      <w:pPr>
        <w:pStyle w:val="Heading1"/>
      </w:pPr>
      <w:bookmarkStart w:id="28" w:name="literature-review"/>
      <w:r>
        <w:t xml:space="preserve">Literature review</w:t>
      </w:r>
      <w:bookmarkEnd w:id="28"/>
    </w:p>
    <w:p>
      <w:pPr>
        <w:pStyle w:val="FirstParagraph"/>
      </w:pPr>
      <w:r>
        <w:t xml:space="preserve">The preconditions of forming an MU guided by the OCA include the existence of symmetry of shocks across all the members</w:t>
      </w:r>
      <w:r>
        <w:t xml:space="preserve"> </w:t>
      </w:r>
      <w:r>
        <w:t xml:space="preserve">(Mundell,</w:t>
      </w:r>
      <w:r>
        <w:t xml:space="preserve"> </w:t>
      </w:r>
      <w:hyperlink w:anchor="ref-mundell1961theory">
        <w:r>
          <w:rPr>
            <w:rStyle w:val="Hyperlink"/>
          </w:rPr>
          <w:t xml:space="preserve">1961</w:t>
        </w:r>
      </w:hyperlink>
      <w:r>
        <w:t xml:space="preserve">)</w:t>
      </w:r>
      <w:r>
        <w:t xml:space="preserve">, open economies</w:t>
      </w:r>
      <w:r>
        <w:t xml:space="preserve"> </w:t>
      </w:r>
      <w:r>
        <w:t xml:space="preserve">(Kenen,</w:t>
      </w:r>
      <w:r>
        <w:t xml:space="preserve"> </w:t>
      </w:r>
      <w:hyperlink w:anchor="ref-kenen1969theory">
        <w:r>
          <w:rPr>
            <w:rStyle w:val="Hyperlink"/>
          </w:rPr>
          <w:t xml:space="preserve">1969</w:t>
        </w:r>
      </w:hyperlink>
      <w:r>
        <w:t xml:space="preserve">)</w:t>
      </w:r>
      <w:r>
        <w:t xml:space="preserve"> </w:t>
      </w:r>
      <w:r>
        <w:t xml:space="preserve">as well as well-diversified economies</w:t>
      </w:r>
      <w:r>
        <w:t xml:space="preserve"> </w:t>
      </w:r>
      <w:r>
        <w:t xml:space="preserve">(McKinnon,</w:t>
      </w:r>
      <w:r>
        <w:t xml:space="preserve"> </w:t>
      </w:r>
      <w:hyperlink w:anchor="ref-McKinnon1963">
        <w:r>
          <w:rPr>
            <w:rStyle w:val="Hyperlink"/>
          </w:rPr>
          <w:t xml:space="preserve">1963</w:t>
        </w:r>
      </w:hyperlink>
      <w:r>
        <w:t xml:space="preserve">)</w:t>
      </w:r>
      <w:r>
        <w:t xml:space="preserve">.</w:t>
      </w:r>
      <w:r>
        <w:t xml:space="preserve"> </w:t>
      </w:r>
      <w:r>
        <w:t xml:space="preserve">Hsu (</w:t>
      </w:r>
      <w:hyperlink w:anchor="ref-hsu2010common">
        <w:r>
          <w:rPr>
            <w:rStyle w:val="Hyperlink"/>
          </w:rPr>
          <w:t xml:space="preserve">2010</w:t>
        </w:r>
      </w:hyperlink>
      <w:r>
        <w:t xml:space="preserve">)</w:t>
      </w:r>
      <w:r>
        <w:t xml:space="preserve"> </w:t>
      </w:r>
      <w:r>
        <w:t xml:space="preserve">and</w:t>
      </w:r>
      <w:r>
        <w:t xml:space="preserve"> </w:t>
      </w:r>
      <w:r>
        <w:t xml:space="preserve">Regmi et al. (</w:t>
      </w:r>
      <w:hyperlink w:anchor="ref-Regmi2015">
        <w:r>
          <w:rPr>
            <w:rStyle w:val="Hyperlink"/>
          </w:rPr>
          <w:t xml:space="preserve">2015</w:t>
        </w:r>
      </w:hyperlink>
      <w:r>
        <w:t xml:space="preserve">)</w:t>
      </w:r>
      <w:r>
        <w:t xml:space="preserve"> </w:t>
      </w:r>
      <w:r>
        <w:t xml:space="preserve">highlight the common empirical methodologies for operationalizing the OCA:</w:t>
      </w:r>
      <w:r>
        <w:t xml:space="preserve"> </w:t>
      </w:r>
      <w:r>
        <w:t xml:space="preserve">Agbeyegbe (</w:t>
      </w:r>
      <w:hyperlink w:anchor="ref-agbeyegbe2008feasibility">
        <w:r>
          <w:rPr>
            <w:rStyle w:val="Hyperlink"/>
          </w:rPr>
          <w:t xml:space="preserve">2008</w:t>
        </w:r>
      </w:hyperlink>
      <w:r>
        <w:t xml:space="preserve">)</w:t>
      </w:r>
      <w:r>
        <w:t xml:space="preserve">, for example, assesses the</w:t>
      </w:r>
      <w:r>
        <w:t xml:space="preserve"> </w:t>
      </w:r>
      <w:r>
        <w:rPr>
          <w:i/>
        </w:rPr>
        <w:t xml:space="preserve">convergence criteria</w:t>
      </w:r>
      <w:r>
        <w:t xml:space="preserve"> </w:t>
      </w:r>
      <w:r>
        <w:t xml:space="preserve">of the MU candidates,</w:t>
      </w:r>
      <w:r>
        <w:t xml:space="preserve"> </w:t>
      </w:r>
      <w:r>
        <w:t xml:space="preserve">Chow &amp; Kim (</w:t>
      </w:r>
      <w:hyperlink w:anchor="ref-Chow2003">
        <w:r>
          <w:rPr>
            <w:rStyle w:val="Hyperlink"/>
          </w:rPr>
          <w:t xml:space="preserve">2003</w:t>
        </w:r>
      </w:hyperlink>
      <w:r>
        <w:t xml:space="preserve">)</w:t>
      </w:r>
      <w:r>
        <w:t xml:space="preserve"> </w:t>
      </w:r>
      <w:r>
        <w:t xml:space="preserve">assesses the nature of (a)symmetry of macroeconomic shocks, analyzing the correlation of macroeconomic variables of the potential MU members</w:t>
      </w:r>
      <w:r>
        <w:t xml:space="preserve"> </w:t>
      </w:r>
      <w:r>
        <w:t xml:space="preserve">(see for example, Rana,</w:t>
      </w:r>
      <w:r>
        <w:t xml:space="preserve"> </w:t>
      </w:r>
      <w:hyperlink w:anchor="ref-RANA2007711">
        <w:r>
          <w:rPr>
            <w:rStyle w:val="Hyperlink"/>
          </w:rPr>
          <w:t xml:space="preserve">2007</w:t>
        </w:r>
      </w:hyperlink>
      <w:r>
        <w:t xml:space="preserve">)</w:t>
      </w:r>
      <w:r>
        <w:t xml:space="preserve">.</w:t>
      </w:r>
    </w:p>
    <w:p>
      <w:pPr>
        <w:pStyle w:val="BodyText"/>
      </w:pPr>
      <w:r>
        <w:t xml:space="preserve">Employing fractional integration and cointegration as econometric methodology,</w:t>
      </w:r>
      <w:r>
        <w:t xml:space="preserve"> </w:t>
      </w:r>
      <w:r>
        <w:t xml:space="preserve">Alagidede, Coleman, &amp; Cuestas (</w:t>
      </w:r>
      <w:hyperlink w:anchor="ref-ALAGIDEDE2012460">
        <w:r>
          <w:rPr>
            <w:rStyle w:val="Hyperlink"/>
          </w:rPr>
          <w:t xml:space="preserve">2012</w:t>
        </w:r>
      </w:hyperlink>
      <w:r>
        <w:t xml:space="preserve">)</w:t>
      </w:r>
      <w:r>
        <w:t xml:space="preserve"> </w:t>
      </w:r>
      <w:r>
        <w:t xml:space="preserve">find the existence of significant heterogeneity in the behavior of inflation among the WAMZ countries. They suggested the enhancement of policy coordination among central banks the members before signing the treaty for a single currency. In contrast to other studies,</w:t>
      </w:r>
      <w:r>
        <w:t xml:space="preserve"> </w:t>
      </w:r>
      <w:r>
        <w:t xml:space="preserve">Debrun, Masson, &amp; Pattillo (</w:t>
      </w:r>
      <w:hyperlink w:anchor="ref-debrun2005monetary">
        <w:r>
          <w:rPr>
            <w:rStyle w:val="Hyperlink"/>
          </w:rPr>
          <w:t xml:space="preserve">2005</w:t>
        </w:r>
      </w:hyperlink>
      <w:r>
        <w:t xml:space="preserve">)</w:t>
      </w:r>
      <w:r>
        <w:t xml:space="preserve"> </w:t>
      </w:r>
      <w:r>
        <w:t xml:space="preserve">develop and calibrate a model in which the incentives to join an MU is provided by the negative spillover from the independent monetary policy. They identified lack of fiscal convergence as the main hindrance of actualizing an MU in West Africa. Their findings are in contradiction with the conclusions of other studies, which identify that asymmetric shocks or low level of regional trade as the main constraints of establishing the MU. Correlation analysis was employed by</w:t>
      </w:r>
      <w:r>
        <w:t xml:space="preserve"> </w:t>
      </w:r>
      <w:r>
        <w:t xml:space="preserve">Fielding, Lee, &amp; Shields (</w:t>
      </w:r>
      <w:hyperlink w:anchor="ref-Fielding2004">
        <w:r>
          <w:rPr>
            <w:rStyle w:val="Hyperlink"/>
          </w:rPr>
          <w:t xml:space="preserve">2004</w:t>
        </w:r>
      </w:hyperlink>
      <w:r>
        <w:t xml:space="preserve">)</w:t>
      </w:r>
      <w:r>
        <w:t xml:space="preserve"> </w:t>
      </w:r>
      <w:r>
        <w:t xml:space="preserve">to establish that monetary integration among the members of</w:t>
      </w:r>
      <w:r>
        <w:t xml:space="preserve"> </w:t>
      </w:r>
      <w:r>
        <w:t xml:space="preserve">led to the improvement of macroeconomic integration. After applying both soft and hard clustering algorithms on some variables, selected based on OCA and convergence criteria,</w:t>
      </w:r>
      <w:r>
        <w:t xml:space="preserve"> </w:t>
      </w:r>
      <w:r>
        <w:t xml:space="preserve">Tsangarides &amp; Qureshi (</w:t>
      </w:r>
      <w:hyperlink w:anchor="ref-TSANGARIDES20081261">
        <w:r>
          <w:rPr>
            <w:rStyle w:val="Hyperlink"/>
          </w:rPr>
          <w:t xml:space="preserve">2008</w:t>
        </w:r>
      </w:hyperlink>
      <w:r>
        <w:t xml:space="preserve">)</w:t>
      </w:r>
      <w:r>
        <w:t xml:space="preserve"> </w:t>
      </w:r>
      <w:r>
        <w:t xml:space="preserve">examine the suitability of an MU among WAMZ as well as ECOWAS countries. The outcome of their cluster analysis shows significant dissimilarities among the MU candidates, especially the WAMZ countries. They further reveal that it would be costly for Ghana and Nigeria to be in WAMZ because they are</w:t>
      </w:r>
      <w:r>
        <w:t xml:space="preserve"> </w:t>
      </w:r>
      <w:r>
        <w:t xml:space="preserve">‘</w:t>
      </w:r>
      <w:r>
        <w:t xml:space="preserve">singletons</w:t>
      </w:r>
      <w:r>
        <w:t xml:space="preserve">’</w:t>
      </w:r>
      <w:r>
        <w:t xml:space="preserve">.</w:t>
      </w:r>
      <w:r>
        <w:t xml:space="preserve"> </w:t>
      </w:r>
      <w:r>
        <w:t xml:space="preserve">Hefeker (</w:t>
      </w:r>
      <w:hyperlink w:anchor="ref-hefeker2010fiscal">
        <w:r>
          <w:rPr>
            <w:rStyle w:val="Hyperlink"/>
          </w:rPr>
          <w:t xml:space="preserve">2010</w:t>
        </w:r>
      </w:hyperlink>
      <w:r>
        <w:t xml:space="preserve">)</w:t>
      </w:r>
      <w:r>
        <w:t xml:space="preserve"> </w:t>
      </w:r>
      <w:r>
        <w:t xml:space="preserve">examines how fiscal policy, structural reform, and monetary union interact. His conclusions reveal that symmetric monetary policy may play a role in influencing fiscal authorities to adopt a distortionary fiscal policy, which subsequently reduces their structural reform effort. He further argues that asymmetric monetary union causes further polarization among the member countries.</w:t>
      </w:r>
      <w:r>
        <w:t xml:space="preserve"> </w:t>
      </w:r>
      <w:r>
        <w:t xml:space="preserve">Gros &amp; Thygesen (</w:t>
      </w:r>
      <w:hyperlink w:anchor="ref-gros1998european">
        <w:r>
          <w:rPr>
            <w:rStyle w:val="Hyperlink"/>
          </w:rPr>
          <w:t xml:space="preserve">1998</w:t>
        </w:r>
      </w:hyperlink>
      <w:r>
        <w:t xml:space="preserve">)</w:t>
      </w:r>
      <w:r>
        <w:t xml:space="preserve"> </w:t>
      </w:r>
      <w:r>
        <w:t xml:space="preserve">and</w:t>
      </w:r>
      <w:r>
        <w:t xml:space="preserve"> </w:t>
      </w:r>
      <w:r>
        <w:t xml:space="preserve">Chown (</w:t>
      </w:r>
      <w:hyperlink w:anchor="ref-chown2003history">
        <w:r>
          <w:rPr>
            <w:rStyle w:val="Hyperlink"/>
          </w:rPr>
          <w:t xml:space="preserve">2003</w:t>
        </w:r>
      </w:hyperlink>
      <w:r>
        <w:t xml:space="preserve">)</w:t>
      </w:r>
      <w:r>
        <w:t xml:space="preserve"> </w:t>
      </w:r>
      <w:r>
        <w:t xml:space="preserve">provide the historical account of monetary arrangement in the world,</w:t>
      </w:r>
      <w:r>
        <w:t xml:space="preserve"> </w:t>
      </w:r>
      <w:r>
        <w:t xml:space="preserve">(Kunroo,</w:t>
      </w:r>
      <w:r>
        <w:t xml:space="preserve"> </w:t>
      </w:r>
      <w:hyperlink w:anchor="ref-Kunroo2015">
        <w:r>
          <w:rPr>
            <w:rStyle w:val="Hyperlink"/>
          </w:rPr>
          <w:t xml:space="preserve">2015</w:t>
        </w:r>
      </w:hyperlink>
      <w:r>
        <w:t xml:space="preserve">)</w:t>
      </w:r>
      <w:r>
        <w:t xml:space="preserve"> </w:t>
      </w:r>
      <w:r>
        <w:t xml:space="preserve">explores the most recent literature survey on OCA.</w:t>
      </w:r>
    </w:p>
    <w:p>
      <w:pPr>
        <w:pStyle w:val="BodyText"/>
      </w:pPr>
      <w:r>
        <w:t xml:space="preserve">In the light of the foregoing literature review, it could be safe to argue that no study employs OCA in conjunction with BQ decomposition to analyze the mirage (possibility) of forming an MU among the ECOWAS members. The studies that utilize this methodology mostly focus on the Asian countries</w:t>
      </w:r>
      <w:r>
        <w:t xml:space="preserve"> </w:t>
      </w:r>
      <w:r>
        <w:t xml:space="preserve">(see, Chow &amp; Kim,</w:t>
      </w:r>
      <w:r>
        <w:t xml:space="preserve"> </w:t>
      </w:r>
      <w:hyperlink w:anchor="ref-Chow2003">
        <w:r>
          <w:rPr>
            <w:rStyle w:val="Hyperlink"/>
          </w:rPr>
          <w:t xml:space="preserve">2003</w:t>
        </w:r>
      </w:hyperlink>
      <w:r>
        <w:t xml:space="preserve">; Hsu,</w:t>
      </w:r>
      <w:r>
        <w:t xml:space="preserve"> </w:t>
      </w:r>
      <w:hyperlink w:anchor="ref-hsu2010common">
        <w:r>
          <w:rPr>
            <w:rStyle w:val="Hyperlink"/>
          </w:rPr>
          <w:t xml:space="preserve">2010</w:t>
        </w:r>
      </w:hyperlink>
      <w:r>
        <w:t xml:space="preserve">; Lee &amp; Azali,</w:t>
      </w:r>
      <w:r>
        <w:t xml:space="preserve"> </w:t>
      </w:r>
      <w:hyperlink w:anchor="ref-lee2012east">
        <w:r>
          <w:rPr>
            <w:rStyle w:val="Hyperlink"/>
          </w:rPr>
          <w:t xml:space="preserve">2012</w:t>
        </w:r>
      </w:hyperlink>
      <w:r>
        <w:t xml:space="preserve">)</w:t>
      </w:r>
      <w:r>
        <w:t xml:space="preserve"> </w:t>
      </w:r>
      <w:r>
        <w:t xml:space="preserve">and the European countries</w:t>
      </w:r>
      <w:r>
        <w:t xml:space="preserve"> </w:t>
      </w:r>
      <w:r>
        <w:t xml:space="preserve">(see Eichengreen &amp; Bayoumi,</w:t>
      </w:r>
      <w:r>
        <w:t xml:space="preserve"> </w:t>
      </w:r>
      <w:hyperlink w:anchor="ref-eichengreen1996asia">
        <w:r>
          <w:rPr>
            <w:rStyle w:val="Hyperlink"/>
          </w:rPr>
          <w:t xml:space="preserve">1996</w:t>
        </w:r>
      </w:hyperlink>
      <w:r>
        <w:t xml:space="preserve">; Boivin, Giannoni, &amp; Mojon,</w:t>
      </w:r>
      <w:r>
        <w:t xml:space="preserve"> </w:t>
      </w:r>
      <w:hyperlink w:anchor="ref-Boivin2008">
        <w:r>
          <w:rPr>
            <w:rStyle w:val="Hyperlink"/>
          </w:rPr>
          <w:t xml:space="preserve">2008</w:t>
        </w:r>
      </w:hyperlink>
      <w:r>
        <w:t xml:space="preserve">; Legrand,</w:t>
      </w:r>
      <w:r>
        <w:t xml:space="preserve"> </w:t>
      </w:r>
      <w:hyperlink w:anchor="ref-LEGRAND2014136">
        <w:r>
          <w:rPr>
            <w:rStyle w:val="Hyperlink"/>
          </w:rPr>
          <w:t xml:space="preserve">2014</w:t>
        </w:r>
      </w:hyperlink>
      <w:r>
        <w:t xml:space="preserve">)</w:t>
      </w:r>
      <w:r>
        <w:t xml:space="preserve">. It is believed that employing BQ decomposition can provide further insight into the mirage or possibility of the ECOWAS members to form a full-fledged MU.</w:t>
      </w:r>
    </w:p>
    <w:p>
      <w:pPr>
        <w:pStyle w:val="Heading1"/>
      </w:pPr>
      <w:bookmarkStart w:id="29" w:name="data-and-methodology"/>
      <w:r>
        <w:t xml:space="preserve">Data and Methodology</w:t>
      </w:r>
      <w:bookmarkEnd w:id="29"/>
    </w:p>
    <w:p>
      <w:pPr>
        <w:pStyle w:val="FirstParagraph"/>
      </w:pPr>
      <w:r>
        <w:t xml:space="preserve">The monthly series of</w:t>
      </w:r>
      <w:r>
        <w:t xml:space="preserve"> </w:t>
      </w:r>
      <w:r>
        <w:t xml:space="preserve"> </w:t>
      </w:r>
      <w:r>
        <w:rPr>
          <w:rStyle w:val="FootnoteReference"/>
        </w:rPr>
        <w:footnoteReference w:id="30"/>
      </w:r>
      <w:r>
        <w:t xml:space="preserve"> </w:t>
      </w:r>
      <w:r>
        <w:t xml:space="preserve">which is used to calculate the inflation rate is obtained from International Financial Statistics (IFS). Annual percentage change in CPI measures the inflation level</w:t>
      </w:r>
      <w:r>
        <w:rPr>
          <w:rStyle w:val="FootnoteReference"/>
        </w:rPr>
        <w:footnoteReference w:id="31"/>
      </w:r>
      <w:r>
        <w:t xml:space="preserve"> </w:t>
      </w:r>
      <w:r>
        <w:t xml:space="preserve">. The CPI monthly series from May 1975 to August, 2018 is employed for the analysis. The choice of sample period reflects the date Treaty of Lagos was signed.</w:t>
      </w:r>
    </w:p>
    <w:p>
      <w:pPr>
        <w:pStyle w:val="BodyText"/>
      </w:pPr>
      <w:r>
        <w:t xml:space="preserve"> </w:t>
      </w:r>
      <w:r>
        <w:t xml:space="preserve">and</w:t>
      </w:r>
      <w:r>
        <w:t xml:space="preserve"> </w:t>
      </w:r>
      <w:r>
        <w:t xml:space="preserve"> </w:t>
      </w:r>
      <w:r>
        <w:t xml:space="preserve"> </w:t>
      </w:r>
      <w:r>
        <w:t xml:space="preserve">are calculated from the weighted averages of Global CPI and Regional CPI respectively</w:t>
      </w:r>
      <w:r>
        <w:rPr>
          <w:rStyle w:val="FootnoteReference"/>
        </w:rPr>
        <w:footnoteReference w:id="32"/>
      </w:r>
      <w:r>
        <w:t xml:space="preserve">. The United States of America (USA), United Kingdom (UK), France and China are taken as global economies, because these economies exert influence on the ECOWAS countries. Some studies consider the USA to represent the global economy</w:t>
      </w:r>
      <w:r>
        <w:t xml:space="preserve"> </w:t>
      </w:r>
      <w:r>
        <w:t xml:space="preserve">(see for example Chow &amp; Kim,</w:t>
      </w:r>
      <w:r>
        <w:t xml:space="preserve"> </w:t>
      </w:r>
      <w:hyperlink w:anchor="ref-Chow2003">
        <w:r>
          <w:rPr>
            <w:rStyle w:val="Hyperlink"/>
          </w:rPr>
          <w:t xml:space="preserve">2003</w:t>
        </w:r>
      </w:hyperlink>
      <w:r>
        <w:t xml:space="preserve">; Regmi et al.,</w:t>
      </w:r>
      <w:r>
        <w:t xml:space="preserve"> </w:t>
      </w:r>
      <w:hyperlink w:anchor="ref-Regmi2015">
        <w:r>
          <w:rPr>
            <w:rStyle w:val="Hyperlink"/>
          </w:rPr>
          <w:t xml:space="preserve">2015</w:t>
        </w:r>
      </w:hyperlink>
      <w:r>
        <w:t xml:space="preserve">)</w:t>
      </w:r>
      <w:r>
        <w:t xml:space="preserve">. Due to a lack of CPI data for some ECOWAS countries over the full sample, only eight ECOWAS countries are considered in this study. These countries include Nigeria (NGA), Gambia (GMB), Ghana (GHA), Cote d’Ivoire (CIV), Burkina Faso (BFA), Niger (NER), Senegal (SEN) and Togo (TGO). The values of CPI for Togo are missing over the range of 1995:1 and 1995:07. However, we use the forecast values from an ARIMA(2,1,2) model to create the missing values as it is important to include Togo as part of the analysis because it is one of the founders of ECOWAS. The first three countries are members of the WAMZ, and the rest are member of the WAEMU.</w:t>
      </w:r>
      <w:r>
        <w:t xml:space="preserve"> </w:t>
      </w:r>
      <w:r>
        <w:t xml:space="preserve">For the data analysis and estimation, this study uses long-run restrictions to identify the structural global shocks (GS), regional shocks (RS) and domestic shocks (DS). This form of identification is based on</w:t>
      </w:r>
      <w:r>
        <w:t xml:space="preserve"> </w:t>
      </w:r>
      <w:r>
        <w:t xml:space="preserve">Blanchard &amp; Quah (</w:t>
      </w:r>
      <w:hyperlink w:anchor="ref-Blanchard1989">
        <w:r>
          <w:rPr>
            <w:rStyle w:val="Hyperlink"/>
          </w:rPr>
          <w:t xml:space="preserve">1989</w:t>
        </w:r>
      </w:hyperlink>
      <w:r>
        <w:t xml:space="preserve">)</w:t>
      </w:r>
      <w:r>
        <w:t xml:space="preserve"> </w:t>
      </w:r>
      <w:r>
        <w:t xml:space="preserve">decomposition which is also adopted by</w:t>
      </w:r>
      <w:r>
        <w:t xml:space="preserve"> </w:t>
      </w:r>
      <w:r>
        <w:t xml:space="preserve">Chow &amp; Kim (</w:t>
      </w:r>
      <w:hyperlink w:anchor="ref-Chow2003">
        <w:r>
          <w:rPr>
            <w:rStyle w:val="Hyperlink"/>
          </w:rPr>
          <w:t xml:space="preserve">2003</w:t>
        </w:r>
      </w:hyperlink>
      <w:r>
        <w:t xml:space="preserve">)</w:t>
      </w:r>
      <w:r>
        <w:t xml:space="preserve">,</w:t>
      </w:r>
      <w:r>
        <w:t xml:space="preserve"> </w:t>
      </w:r>
      <w:r>
        <w:t xml:space="preserve">Hsu (</w:t>
      </w:r>
      <w:hyperlink w:anchor="ref-hsu2010common">
        <w:r>
          <w:rPr>
            <w:rStyle w:val="Hyperlink"/>
          </w:rPr>
          <w:t xml:space="preserve">2010</w:t>
        </w:r>
      </w:hyperlink>
      <w:r>
        <w:t xml:space="preserve">)</w:t>
      </w:r>
      <w:r>
        <w:t xml:space="preserve"> </w:t>
      </w:r>
      <w:r>
        <w:t xml:space="preserve">and</w:t>
      </w:r>
      <w:r>
        <w:t xml:space="preserve"> </w:t>
      </w:r>
      <w:r>
        <w:t xml:space="preserve">Regmi et al. (</w:t>
      </w:r>
      <w:hyperlink w:anchor="ref-Regmi2015">
        <w:r>
          <w:rPr>
            <w:rStyle w:val="Hyperlink"/>
          </w:rPr>
          <w:t xml:space="preserve">2015</w:t>
        </w:r>
      </w:hyperlink>
      <w:r>
        <w:t xml:space="preserve">)</w:t>
      </w:r>
      <w:r>
        <w:t xml:space="preserve"> </w:t>
      </w:r>
      <w:r>
        <w:t xml:space="preserve">. Specifically, the model involves estimating the following equation;</w:t>
      </w:r>
      <w:r>
        <w:t xml:space="preserve"> </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sSub>
                      <m:e>
                        <m:r>
                          <m:t>ξ</m:t>
                        </m:r>
                      </m:e>
                      <m:sub>
                        <m:r>
                          <m:t>12</m:t>
                        </m:r>
                      </m:sub>
                    </m:sSub>
                  </m:e>
                  <m:e>
                    <m:sSub>
                      <m:e>
                        <m:r>
                          <m:t>ξ</m:t>
                        </m:r>
                      </m:e>
                      <m:sub>
                        <m:r>
                          <m:t>13</m:t>
                        </m:r>
                      </m:sub>
                    </m:sSub>
                  </m:e>
                </m:mr>
                <m:mr>
                  <m:e>
                    <m:sSub>
                      <m:e>
                        <m:r>
                          <m:t>ξ</m:t>
                        </m:r>
                      </m:e>
                      <m:sub>
                        <m:r>
                          <m:t>21</m:t>
                        </m:r>
                      </m:sub>
                    </m:sSub>
                  </m:e>
                  <m:e>
                    <m:r>
                      <m:t>1</m:t>
                    </m:r>
                  </m:e>
                  <m:e>
                    <m:sSub>
                      <m:e>
                        <m:r>
                          <m:t>ξ</m:t>
                        </m:r>
                      </m:e>
                      <m:sub>
                        <m:r>
                          <m:t>23</m:t>
                        </m:r>
                      </m:sub>
                    </m:sSub>
                  </m:e>
                </m:mr>
                <m:mr>
                  <m:e>
                    <m:sSub>
                      <m:e>
                        <m:r>
                          <m:t>ξ</m:t>
                        </m:r>
                      </m:e>
                      <m:sub>
                        <m:r>
                          <m:t>31</m:t>
                        </m:r>
                      </m:sub>
                    </m:sSub>
                  </m:e>
                  <m:e>
                    <m:sSub>
                      <m:e>
                        <m:r>
                          <m:t>ξ</m:t>
                        </m:r>
                      </m:e>
                      <m:sub>
                        <m:r>
                          <m:t>32</m:t>
                        </m:r>
                      </m:sub>
                    </m:sSub>
                  </m:e>
                  <m:e>
                    <m:sSub>
                      <m:e>
                        <m:r>
                          <m:t>ξ</m:t>
                        </m:r>
                      </m:e>
                      <m:sub>
                        <m:r>
                          <m:t>33</m:t>
                        </m:r>
                      </m:sub>
                    </m:sSub>
                  </m:e>
                </m:mr>
              </m:m>
            </m:e>
          </m:d>
          <m:d>
            <m:dPr>
              <m:begChr m:val="["/>
              <m:endChr m:val="]"/>
              <m:grow/>
            </m:dPr>
            <m:e>
              <m:m>
                <m:mPr>
                  <m:baseJc m:val="center"/>
                  <m:plcHide m:val="1"/>
                  <m:mcs>
                    <m:mc>
                      <m:mcPr>
                        <m:mcJc m:val="center"/>
                        <m:count m:val="1"/>
                      </m:mcPr>
                    </m:mc>
                  </m:mcs>
                </m:mPr>
                <m:mr>
                  <m:e>
                    <m:sSup>
                      <m:e>
                        <m:r>
                          <m:t>π</m:t>
                        </m:r>
                      </m:e>
                      <m:sup>
                        <m:r>
                          <m:t>g</m:t>
                        </m:r>
                      </m:sup>
                    </m:sSup>
                  </m:e>
                </m:mr>
                <m:mr>
                  <m:e>
                    <m:sSup>
                      <m:e>
                        <m:r>
                          <m:t>π</m:t>
                        </m:r>
                      </m:e>
                      <m:sup>
                        <m:r>
                          <m:t>r</m:t>
                        </m:r>
                      </m:sup>
                    </m:sSup>
                  </m:e>
                </m:mr>
                <m:mr>
                  <m:e>
                    <m:sSup>
                      <m:e>
                        <m:r>
                          <m:t>π</m:t>
                        </m:r>
                      </m:e>
                      <m:sup>
                        <m:r>
                          <m:t>d</m:t>
                        </m:r>
                      </m:sup>
                    </m:sSup>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λ</m:t>
                        </m:r>
                      </m:e>
                      <m:sub>
                        <m:r>
                          <m:t>11</m:t>
                        </m:r>
                      </m:sub>
                    </m:sSub>
                    <m:r>
                      <m:t>(</m:t>
                    </m:r>
                    <m:r>
                      <m:t>L</m:t>
                    </m:r>
                    <m:r>
                      <m:t>)</m:t>
                    </m:r>
                  </m:e>
                  <m:e>
                    <m:sSub>
                      <m:e>
                        <m:r>
                          <m:t>λ</m:t>
                        </m:r>
                      </m:e>
                      <m:sub>
                        <m:r>
                          <m:t>12</m:t>
                        </m:r>
                      </m:sub>
                    </m:sSub>
                    <m:r>
                      <m:t>(</m:t>
                    </m:r>
                    <m:r>
                      <m:t>L</m:t>
                    </m:r>
                    <m:r>
                      <m:t>)</m:t>
                    </m:r>
                  </m:e>
                  <m:e>
                    <m:sSub>
                      <m:e>
                        <m:r>
                          <m:t>λ</m:t>
                        </m:r>
                      </m:e>
                      <m:sub>
                        <m:r>
                          <m:t>13</m:t>
                        </m:r>
                      </m:sub>
                    </m:sSub>
                    <m:r>
                      <m:t>(</m:t>
                    </m:r>
                    <m:r>
                      <m:t>L</m:t>
                    </m:r>
                    <m:r>
                      <m:t>)</m:t>
                    </m:r>
                  </m:e>
                </m:mr>
                <m:mr>
                  <m:e>
                    <m:sSub>
                      <m:e>
                        <m:r>
                          <m:t>λ</m:t>
                        </m:r>
                      </m:e>
                      <m:sub>
                        <m:r>
                          <m:t>21</m:t>
                        </m:r>
                      </m:sub>
                    </m:sSub>
                    <m:r>
                      <m:t>(</m:t>
                    </m:r>
                    <m:r>
                      <m:t>L</m:t>
                    </m:r>
                    <m:r>
                      <m:t>)</m:t>
                    </m:r>
                  </m:e>
                  <m:e>
                    <m:sSub>
                      <m:e>
                        <m:r>
                          <m:t>λ</m:t>
                        </m:r>
                      </m:e>
                      <m:sub>
                        <m:r>
                          <m:t>22</m:t>
                        </m:r>
                      </m:sub>
                    </m:sSub>
                    <m:r>
                      <m:t>(</m:t>
                    </m:r>
                    <m:r>
                      <m:t>L</m:t>
                    </m:r>
                    <m:r>
                      <m:t>)</m:t>
                    </m:r>
                  </m:e>
                  <m:e>
                    <m:sSub>
                      <m:e>
                        <m:r>
                          <m:t>λ</m:t>
                        </m:r>
                      </m:e>
                      <m:sub>
                        <m:r>
                          <m:t>23</m:t>
                        </m:r>
                      </m:sub>
                    </m:sSub>
                    <m:r>
                      <m:t>(</m:t>
                    </m:r>
                    <m:r>
                      <m:t>L</m:t>
                    </m:r>
                    <m:r>
                      <m:t>)</m:t>
                    </m:r>
                  </m:e>
                </m:mr>
                <m:mr>
                  <m:e>
                    <m:sSub>
                      <m:e>
                        <m:r>
                          <m:t>λ</m:t>
                        </m:r>
                      </m:e>
                      <m:sub>
                        <m:r>
                          <m:t>31</m:t>
                        </m:r>
                      </m:sub>
                    </m:sSub>
                    <m:r>
                      <m:t>(</m:t>
                    </m:r>
                    <m:r>
                      <m:t>L</m:t>
                    </m:r>
                    <m:r>
                      <m:t>)</m:t>
                    </m:r>
                  </m:e>
                  <m:e>
                    <m:sSub>
                      <m:e>
                        <m:r>
                          <m:t>λ</m:t>
                        </m:r>
                      </m:e>
                      <m:sub>
                        <m:r>
                          <m:t>32</m:t>
                        </m:r>
                      </m:sub>
                    </m:sSub>
                    <m:r>
                      <m:t>(</m:t>
                    </m:r>
                    <m:r>
                      <m:t>L</m:t>
                    </m:r>
                    <m:r>
                      <m:t>)</m:t>
                    </m:r>
                  </m:e>
                  <m:e>
                    <m:sSub>
                      <m:e>
                        <m:r>
                          <m:t>λ</m:t>
                        </m:r>
                      </m:e>
                      <m:sub>
                        <m:r>
                          <m:t>33</m:t>
                        </m:r>
                      </m:sub>
                    </m:sSub>
                    <m:r>
                      <m:t>(</m:t>
                    </m:r>
                    <m:r>
                      <m:t>L</m:t>
                    </m:r>
                    <m:r>
                      <m:t>)</m:t>
                    </m:r>
                  </m:e>
                </m:mr>
              </m:m>
            </m:e>
          </m:d>
          <m:d>
            <m:dPr>
              <m:begChr m:val="["/>
              <m:endChr m:val="]"/>
              <m:grow/>
            </m:dPr>
            <m:e>
              <m:m>
                <m:mPr>
                  <m:baseJc m:val="center"/>
                  <m:plcHide m:val="1"/>
                  <m:mcs>
                    <m:mc>
                      <m:mcPr>
                        <m:mcJc m:val="center"/>
                        <m:count m:val="1"/>
                      </m:mcPr>
                    </m:mc>
                  </m:mcs>
                </m:mPr>
                <m:mr>
                  <m:e>
                    <m:sSubSup>
                      <m:e>
                        <m:r>
                          <m:t>π</m:t>
                        </m:r>
                      </m:e>
                      <m:sub>
                        <m:r>
                          <m:t>t</m:t>
                        </m:r>
                        <m:r>
                          <m:t>−</m:t>
                        </m:r>
                        <m:r>
                          <m:t>1</m:t>
                        </m:r>
                      </m:sub>
                      <m:sup>
                        <m:r>
                          <m:t>g</m:t>
                        </m:r>
                      </m:sup>
                    </m:sSubSup>
                  </m:e>
                </m:mr>
                <m:mr>
                  <m:e>
                    <m:sSubSup>
                      <m:e>
                        <m:r>
                          <m:t>π</m:t>
                        </m:r>
                      </m:e>
                      <m:sub>
                        <m:r>
                          <m:t>t</m:t>
                        </m:r>
                        <m:r>
                          <m:t>−</m:t>
                        </m:r>
                        <m:r>
                          <m:t>1</m:t>
                        </m:r>
                      </m:sub>
                      <m:sup>
                        <m:r>
                          <m:t>r</m:t>
                        </m:r>
                      </m:sup>
                    </m:sSubSup>
                  </m:e>
                </m:mr>
                <m:mr>
                  <m:e>
                    <m:sSubSup>
                      <m:e>
                        <m:r>
                          <m:t>π</m:t>
                        </m:r>
                      </m:e>
                      <m:sub>
                        <m:r>
                          <m:t>t</m:t>
                        </m:r>
                        <m:r>
                          <m:t>−</m:t>
                        </m:r>
                        <m:r>
                          <m:t>1</m:t>
                        </m:r>
                      </m:sub>
                      <m:sup>
                        <m:r>
                          <m:t>g</m:t>
                        </m:r>
                      </m:sup>
                    </m:sSubSup>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γ</m:t>
                        </m:r>
                      </m:e>
                      <m:sub>
                        <m:r>
                          <m:t>11</m:t>
                        </m:r>
                      </m:sub>
                    </m:sSub>
                  </m:e>
                  <m:e>
                    <m:r>
                      <m:t>0</m:t>
                    </m:r>
                  </m:e>
                  <m:e>
                    <m:r>
                      <m:t>0</m:t>
                    </m:r>
                  </m:e>
                </m:mr>
                <m:mr>
                  <m:e>
                    <m:r>
                      <m:t>0</m:t>
                    </m:r>
                  </m:e>
                  <m:e>
                    <m:sSub>
                      <m:e>
                        <m:r>
                          <m:t>γ</m:t>
                        </m:r>
                      </m:e>
                      <m:sub>
                        <m:r>
                          <m:t>22</m:t>
                        </m:r>
                      </m:sub>
                    </m:sSub>
                  </m:e>
                  <m:e>
                    <m:r>
                      <m:t>0</m:t>
                    </m:r>
                  </m:e>
                </m:mr>
                <m:mr>
                  <m:e>
                    <m:r>
                      <m:t>0</m:t>
                    </m:r>
                  </m:e>
                  <m:e>
                    <m:r>
                      <m:t>0</m:t>
                    </m:r>
                  </m:e>
                  <m:e>
                    <m:sSub>
                      <m:e>
                        <m:r>
                          <m:t>γ</m:t>
                        </m:r>
                      </m:e>
                      <m:sub>
                        <m:r>
                          <m:t>33</m:t>
                        </m:r>
                      </m:sub>
                    </m:sSub>
                  </m:e>
                </m:mr>
              </m:m>
            </m:e>
          </m:d>
          <m:d>
            <m:dPr>
              <m:begChr m:val="["/>
              <m:endChr m:val="]"/>
              <m:grow/>
            </m:dPr>
            <m:e>
              <m:m>
                <m:mPr>
                  <m:baseJc m:val="center"/>
                  <m:plcHide m:val="1"/>
                  <m:mcs>
                    <m:mc>
                      <m:mcPr>
                        <m:mcJc m:val="center"/>
                        <m:count m:val="1"/>
                      </m:mcPr>
                    </m:mc>
                  </m:mcs>
                </m:mPr>
                <m:mr>
                  <m:e>
                    <m:sSub>
                      <m:e>
                        <m:r>
                          <m:t>d</m:t>
                        </m:r>
                      </m:e>
                      <m:sub>
                        <m:r>
                          <m:t>1</m:t>
                        </m:r>
                        <m:r>
                          <m:t>t</m:t>
                        </m:r>
                      </m:sub>
                    </m:sSub>
                  </m:e>
                </m:mr>
                <m:mr>
                  <m:e>
                    <m:sSub>
                      <m:e>
                        <m:r>
                          <m:t>d</m:t>
                        </m:r>
                      </m:e>
                      <m:sub>
                        <m:r>
                          <m:t>2</m:t>
                        </m:r>
                        <m:r>
                          <m:t>t</m:t>
                        </m:r>
                      </m:sub>
                    </m:sSub>
                  </m:e>
                </m:mr>
                <m:mr>
                  <m:e>
                    <m:sSub>
                      <m:e>
                        <m:r>
                          <m:t>d</m:t>
                        </m:r>
                      </m:e>
                      <m:sub>
                        <m:r>
                          <m:t>3</m:t>
                        </m:r>
                        <m:r>
                          <m:t>t</m:t>
                        </m:r>
                      </m:sub>
                    </m:sSub>
                  </m:e>
                </m:mr>
              </m:m>
            </m:e>
          </m:d>
          <m:r>
            <m:t>+</m:t>
          </m:r>
          <m:d>
            <m:dPr>
              <m:begChr m:val="["/>
              <m:endChr m:val="]"/>
              <m:grow/>
            </m:dPr>
            <m:e>
              <m:m>
                <m:mPr>
                  <m:baseJc m:val="center"/>
                  <m:plcHide m:val="1"/>
                  <m:mcs>
                    <m:mc>
                      <m:mcPr>
                        <m:mcJc m:val="center"/>
                        <m:count m:val="1"/>
                      </m:mcPr>
                    </m:mc>
                  </m:mcs>
                </m:mPr>
                <m:mr>
                  <m:e>
                    <m:sSub>
                      <m:e>
                        <m:r>
                          <m:t>ε</m:t>
                        </m:r>
                      </m:e>
                      <m:sub>
                        <m:r>
                          <m:t>1</m:t>
                        </m:r>
                        <m:r>
                          <m:t>t</m:t>
                        </m:r>
                      </m:sub>
                    </m:sSub>
                  </m:e>
                </m:mr>
                <m:mr>
                  <m:e>
                    <m:sSub>
                      <m:e>
                        <m:r>
                          <m:t>ε</m:t>
                        </m:r>
                      </m:e>
                      <m:sub>
                        <m:r>
                          <m:t>2</m:t>
                        </m:r>
                        <m:r>
                          <m:t>t</m:t>
                        </m:r>
                      </m:sub>
                    </m:sSub>
                  </m:e>
                </m:mr>
                <m:mr>
                  <m:e>
                    <m:sSub>
                      <m:e>
                        <m:r>
                          <m:t>ε</m:t>
                        </m:r>
                      </m:e>
                      <m:sub>
                        <m:r>
                          <m:t>3</m:t>
                        </m:r>
                        <m:r>
                          <m:t>t</m:t>
                        </m:r>
                      </m:sub>
                    </m:sSub>
                  </m:e>
                </m:mr>
              </m:m>
            </m:e>
          </m:d>
          <m:r>
            <m:t>  </m:t>
          </m:r>
          <m:r>
            <m:t>(</m:t>
          </m:r>
          <m:r>
            <m:t>1</m:t>
          </m:r>
          <m:r>
            <m:t>)</m:t>
          </m:r>
        </m:oMath>
      </m:oMathPara>
    </w:p>
    <w:p>
      <w:pPr>
        <w:pStyle w:val="FirstParagraph"/>
      </w:pPr>
      <w:r>
        <w:t xml:space="preserve">Equation (1) can be represented compactly as</w:t>
      </w:r>
    </w:p>
    <w:p>
      <w:pPr>
        <w:pStyle w:val="BodyText"/>
      </w:pPr>
      <m:oMathPara>
        <m:oMathParaPr>
          <m:jc m:val="center"/>
        </m:oMathParaPr>
        <m:oMath>
          <m:r>
            <m:t>Ξ</m:t>
          </m:r>
          <m:sSub>
            <m:e>
              <m:r>
                <m:t>X</m:t>
              </m:r>
            </m:e>
            <m:sub>
              <m:r>
                <m:t>t</m:t>
              </m:r>
            </m:sub>
          </m:sSub>
          <m:r>
            <m:t>=</m:t>
          </m:r>
          <m:r>
            <m:t>Λ</m:t>
          </m:r>
          <m:r>
            <m:t>(</m:t>
          </m:r>
          <m:r>
            <m:t>L</m:t>
          </m:r>
          <m:r>
            <m:t>)</m:t>
          </m:r>
          <m:sSub>
            <m:e>
              <m:r>
                <m:t>X</m:t>
              </m:r>
            </m:e>
            <m:sub>
              <m:r>
                <m:t>t</m:t>
              </m:r>
              <m:r>
                <m:t>−</m:t>
              </m:r>
              <m:r>
                <m:t>1</m:t>
              </m:r>
            </m:sub>
          </m:sSub>
          <m:r>
            <m:t>+</m:t>
          </m:r>
          <m:r>
            <m:t>Γ</m:t>
          </m:r>
          <m:sSub>
            <m:e>
              <m:r>
                <m:t>D</m:t>
              </m:r>
            </m:e>
            <m:sub>
              <m:r>
                <m:t>t</m:t>
              </m:r>
            </m:sub>
          </m:sSub>
          <m:r>
            <m:t>+</m:t>
          </m:r>
          <m:sSub>
            <m:e>
              <m:r>
                <m:t>ε</m:t>
              </m:r>
            </m:e>
            <m:sub>
              <m:r>
                <m:t>t</m:t>
              </m:r>
            </m:sub>
          </m:sSub>
          <m:r>
            <m:t>  </m:t>
          </m:r>
          <m:r>
            <m:t>(</m:t>
          </m:r>
          <m:r>
            <m:t>2</m:t>
          </m:r>
          <m:r>
            <m:t>)</m:t>
          </m:r>
        </m:oMath>
      </m:oMathPara>
    </w:p>
    <w:p>
      <w:pPr>
        <w:pStyle w:val="FirstParagraph"/>
      </w:pPr>
      <w:r>
        <w:t xml:space="preserve">Where</w:t>
      </w:r>
      <w:r>
        <w:t xml:space="preserve"> </w:t>
      </w:r>
      <m:oMath>
        <m:r>
          <m:t>Ξ</m:t>
        </m:r>
      </m:oMath>
      <w:r>
        <w:t xml:space="preserve"> </w:t>
      </w:r>
      <w:r>
        <w:t xml:space="preserve">represents the matrix of coefficients of the endogenous variables,</w:t>
      </w:r>
      <w:r>
        <w:t xml:space="preserve"> </w:t>
      </w:r>
      <m:oMath>
        <m:r>
          <m:t>Λ</m:t>
        </m:r>
      </m:oMath>
      <w:r>
        <w:t xml:space="preserve"> </w:t>
      </w:r>
      <w:r>
        <w:t xml:space="preserve">is the matrix of coefficients of the lagged endogenous variables, and</w:t>
      </w:r>
      <w:r>
        <w:t xml:space="preserve"> </w:t>
      </w:r>
      <m:oMath>
        <m:r>
          <m:t>Γ</m:t>
        </m:r>
      </m:oMath>
      <w:r>
        <w:t xml:space="preserve"> </w:t>
      </w:r>
      <w:r>
        <w:t xml:space="preserve">is the matrix of coefficients of the dummy variables.</w:t>
      </w:r>
    </w:p>
    <w:p>
      <w:pPr>
        <w:pStyle w:val="BodyText"/>
      </w:pPr>
      <w:r>
        <w:t xml:space="preserve">Or, in reduced form:</w:t>
      </w:r>
    </w:p>
    <w:p>
      <w:pPr>
        <w:pStyle w:val="BodyText"/>
      </w:pPr>
      <m:oMathPara>
        <m:oMathParaPr>
          <m:jc m:val="center"/>
        </m:oMathParaPr>
        <m:oMath>
          <m:sSub>
            <m:e>
              <m:r>
                <m:t>X</m:t>
              </m:r>
            </m:e>
            <m:sub>
              <m:r>
                <m:t>t</m:t>
              </m:r>
            </m:sub>
          </m:sSub>
          <m:r>
            <m:t>=</m:t>
          </m:r>
          <m:r>
            <m:t>Ψ</m:t>
          </m:r>
          <m:sSub>
            <m:e>
              <m:r>
                <m:t>X</m:t>
              </m:r>
            </m:e>
            <m:sub>
              <m:r>
                <m:t>t</m:t>
              </m:r>
              <m:r>
                <m:t>−</m:t>
              </m:r>
              <m:r>
                <m:t>1</m:t>
              </m:r>
            </m:sub>
          </m:sSub>
          <m:r>
            <m:t>+</m:t>
          </m:r>
          <m:r>
            <m:t>φ</m:t>
          </m:r>
          <m:sSub>
            <m:e>
              <m:r>
                <m:t>D</m:t>
              </m:r>
            </m:e>
            <m:sub>
              <m:r>
                <m:t>t</m:t>
              </m:r>
            </m:sub>
          </m:sSub>
          <m:r>
            <m:t>+</m:t>
          </m:r>
          <m:sSub>
            <m:e>
              <m:r>
                <m:t>e</m:t>
              </m:r>
            </m:e>
            <m:sub>
              <m:r>
                <m:t>t</m:t>
              </m:r>
            </m:sub>
          </m:sSub>
          <m:r>
            <m:t>  </m:t>
          </m:r>
          <m:r>
            <m:t>(</m:t>
          </m:r>
          <m:r>
            <m:t>3</m:t>
          </m:r>
          <m:r>
            <m:t>)</m:t>
          </m:r>
        </m:oMath>
      </m:oMathPara>
    </w:p>
    <w:p>
      <w:pPr>
        <w:pStyle w:val="FirstParagraph"/>
      </w:pPr>
      <w:r>
        <w:t xml:space="preserve">Where</w:t>
      </w:r>
      <w:r>
        <w:t xml:space="preserve"> </w:t>
      </w:r>
      <m:oMath>
        <m:r>
          <m:t>Ψ</m:t>
        </m:r>
        <m:r>
          <m:t>=</m:t>
        </m:r>
        <m:sSup>
          <m:e>
            <m:r>
              <m:t>Ξ</m:t>
            </m:r>
          </m:e>
          <m:sup>
            <m:r>
              <m:t>−</m:t>
            </m:r>
            <m:r>
              <m:t>1</m:t>
            </m:r>
          </m:sup>
        </m:sSup>
        <m:r>
          <m:t>Λ</m:t>
        </m:r>
        <m:r>
          <m:t>(</m:t>
        </m:r>
        <m:r>
          <m:t>L</m:t>
        </m:r>
        <m:r>
          <m:t>)</m:t>
        </m:r>
      </m:oMath>
      <w:r>
        <w:t xml:space="preserve">,</w:t>
      </w:r>
      <w:r>
        <w:t xml:space="preserve"> </w:t>
      </w:r>
      <m:oMath>
        <m:r>
          <m:t>φ</m:t>
        </m:r>
        <m:r>
          <m:t>=</m:t>
        </m:r>
        <m:sSup>
          <m:e>
            <m:r>
              <m:t>Ξ</m:t>
            </m:r>
          </m:e>
          <m:sup>
            <m:r>
              <m:t>−</m:t>
            </m:r>
            <m:r>
              <m:t>1</m:t>
            </m:r>
          </m:sup>
        </m:sSup>
        <m:r>
          <m:t>Λ</m:t>
        </m:r>
        <m:r>
          <m:t>Γ</m:t>
        </m:r>
      </m:oMath>
      <w:r>
        <w:t xml:space="preserve"> </w:t>
      </w:r>
      <w:r>
        <w:t xml:space="preserve">and</w:t>
      </w:r>
      <w:r>
        <w:t xml:space="preserve"> </w:t>
      </w:r>
      <m:oMath>
        <m:sSub>
          <m:e>
            <m:r>
              <m:t>e</m:t>
            </m:r>
          </m:e>
          <m:sub>
            <m:r>
              <m:t>t</m:t>
            </m:r>
          </m:sub>
        </m:sSub>
        <m:r>
          <m:t>=</m:t>
        </m:r>
        <m:sSup>
          <m:e>
            <m:r>
              <m:t>Ξ</m:t>
            </m:r>
          </m:e>
          <m:sup>
            <m:r>
              <m:t>−</m:t>
            </m:r>
            <m:r>
              <m:t>1</m:t>
            </m:r>
          </m:sup>
        </m:sSup>
        <m:sSub>
          <m:e>
            <m:r>
              <m:t>ε</m:t>
            </m:r>
          </m:e>
          <m:sub>
            <m:r>
              <m:t>t</m:t>
            </m:r>
          </m:sub>
        </m:sSub>
      </m:oMath>
      <w:r>
        <w:t xml:space="preserve">.</w:t>
      </w:r>
    </w:p>
    <w:p>
      <w:pPr>
        <w:pStyle w:val="BodyText"/>
      </w:pPr>
      <w:r>
        <w:t xml:space="preserve">Equation (2) is a stationary VAR with vector</w:t>
      </w:r>
      <w:r>
        <w:t xml:space="preserve"> </w:t>
      </w:r>
      <m:oMath>
        <m:sSub>
          <m:e>
            <m:r>
              <m:t>X</m:t>
            </m:r>
          </m:e>
          <m:sub>
            <m:r>
              <m:t>t</m:t>
            </m:r>
          </m:sub>
        </m:sSub>
      </m:oMath>
      <w:r>
        <w:t xml:space="preserve"> </w:t>
      </w:r>
      <w:r>
        <w:t xml:space="preserve">containing the variables, specifically, global inflation (GI)</w:t>
      </w:r>
      <w:r>
        <w:t xml:space="preserve"> </w:t>
      </w:r>
      <m:oMath>
        <m:sSup>
          <m:e>
            <m:r>
              <m:t>π</m:t>
            </m:r>
          </m:e>
          <m:sup>
            <m:r>
              <m:t>g</m:t>
            </m:r>
          </m:sup>
        </m:sSup>
      </m:oMath>
      <w:r>
        <w:t xml:space="preserve">, regional inflation (RI)</w:t>
      </w:r>
      <w:r>
        <w:t xml:space="preserve"> </w:t>
      </w:r>
      <m:oMath>
        <m:sSup>
          <m:e>
            <m:r>
              <m:t>π</m:t>
            </m:r>
          </m:e>
          <m:sup>
            <m:r>
              <m:t>r</m:t>
            </m:r>
          </m:sup>
        </m:sSup>
      </m:oMath>
      <w:r>
        <w:t xml:space="preserve">, and domestic inflation (DI)</w:t>
      </w:r>
      <w:r>
        <w:t xml:space="preserve"> </w:t>
      </w:r>
      <m:oMath>
        <m:sSup>
          <m:e>
            <m:r>
              <m:t>π</m:t>
            </m:r>
          </m:e>
          <m:sup>
            <m:r>
              <m:t>d</m:t>
            </m:r>
          </m:sup>
        </m:sSup>
      </m:oMath>
      <w:r>
        <w:t xml:space="preserve">. The set of dummy variables is represented by</w:t>
      </w:r>
      <w:r>
        <w:t xml:space="preserve"> </w:t>
      </w:r>
      <m:oMath>
        <m:sSub>
          <m:e>
            <m:r>
              <m:t>D</m:t>
            </m:r>
          </m:e>
          <m:sub>
            <m:r>
              <m:t>t</m:t>
            </m:r>
          </m:sub>
        </m:sSub>
      </m:oMath>
      <w:r>
        <w:t xml:space="preserve">, which captures the break dates for GI, RI and DI. The Greek letters</w:t>
      </w:r>
      <w:r>
        <w:t xml:space="preserve"> </w:t>
      </w:r>
      <m:oMath>
        <m:r>
          <m:t>Ξ</m:t>
        </m:r>
      </m:oMath>
      <w:r>
        <w:t xml:space="preserve"> </w:t>
      </w:r>
      <w:r>
        <w:t xml:space="preserve">and</w:t>
      </w:r>
      <w:r>
        <w:t xml:space="preserve"> </w:t>
      </w:r>
      <m:oMath>
        <m:r>
          <m:t>Λ</m:t>
        </m:r>
      </m:oMath>
      <w:r>
        <w:t xml:space="preserve"> </w:t>
      </w:r>
      <w:r>
        <w:t xml:space="preserve">are</w:t>
      </w:r>
      <w:r>
        <w:t xml:space="preserve"> </w:t>
      </w:r>
      <m:oMath>
        <m:sSup>
          <m:e>
            <m:r>
              <m:rPr>
                <m:sty m:val="p"/>
                <m:scr m:val="double-struck"/>
              </m:rPr>
              <m:t>R</m:t>
            </m:r>
          </m:e>
          <m:sup>
            <m:r>
              <m:t>n</m:t>
            </m:r>
            <m:r>
              <m:t>×</m:t>
            </m:r>
            <m:r>
              <m:t>n</m:t>
            </m:r>
          </m:sup>
        </m:sSup>
      </m:oMath>
      <w:r>
        <w:t xml:space="preserve"> </w:t>
      </w:r>
      <w:r>
        <w:t xml:space="preserve">matrices of parameters. Similarly,</w:t>
      </w:r>
      <w:r>
        <w:t xml:space="preserve"> </w:t>
      </w:r>
      <m:oMath>
        <m:sSub>
          <m:e>
            <m:r>
              <m:t>ε</m:t>
            </m:r>
          </m:e>
          <m:sub>
            <m:r>
              <m:t>t</m:t>
            </m:r>
          </m:sub>
        </m:sSub>
      </m:oMath>
      <w:r>
        <w:t xml:space="preserve"> </w:t>
      </w:r>
      <w:r>
        <w:t xml:space="preserve">is a vector containing the inflationary shocks, GS, RS and DS. Equation (2) provides the compact representation of equation (1) and equation (3) is the reduced form VAR.</w:t>
      </w:r>
    </w:p>
    <w:p>
      <w:pPr>
        <w:pStyle w:val="BodyText"/>
      </w:pPr>
      <w:r>
        <w:t xml:space="preserve">Using Wold representation, the vector moving average of equation (1) can be represented as follows</w:t>
      </w:r>
      <w:r>
        <w:t xml:space="preserve"> </w:t>
      </w:r>
      <w:r>
        <w:t xml:space="preserve">(Enders,</w:t>
      </w:r>
      <w:r>
        <w:t xml:space="preserve"> </w:t>
      </w:r>
      <w:hyperlink w:anchor="ref-enders2015applied">
        <w:r>
          <w:rPr>
            <w:rStyle w:val="Hyperlink"/>
          </w:rPr>
          <w:t xml:space="preserve">2015</w:t>
        </w:r>
      </w:hyperlink>
      <w:r>
        <w:t xml:space="preserve">)</w:t>
      </w:r>
      <w:r>
        <w:t xml:space="preserve">.</w:t>
      </w:r>
    </w:p>
    <w:p>
      <w:pPr>
        <w:pStyle w:val="BodyText"/>
      </w:pPr>
      <m:oMathPara>
        <m:oMathParaPr>
          <m:jc m:val="center"/>
        </m:oMathParaPr>
        <m:oMath>
          <m:sSup>
            <m:e>
              <m:r>
                <m:t>π</m:t>
              </m:r>
            </m:e>
            <m:sup>
              <m:r>
                <m:t>g</m:t>
              </m:r>
            </m:sup>
          </m:sSup>
          <m:r>
            <m:t>=</m:t>
          </m:r>
          <m:nary>
            <m:naryPr>
              <m:chr m:val="∑"/>
              <m:limLoc m:val="undOvr"/>
              <m:subHide m:val="0"/>
              <m:supHide m:val="0"/>
            </m:naryPr>
            <m:sub>
              <m:r>
                <m:t>q</m:t>
              </m:r>
              <m:r>
                <m:t>=</m:t>
              </m:r>
              <m:r>
                <m:t>0</m:t>
              </m:r>
            </m:sub>
            <m:sup>
              <m:r>
                <m:t>∞</m:t>
              </m:r>
            </m:sup>
            <m:e>
              <m:sSub>
                <m:e>
                  <m:r>
                    <m:t>λ</m:t>
                  </m:r>
                </m:e>
                <m:sub>
                  <m:r>
                    <m:t>11</m:t>
                  </m:r>
                </m:sub>
              </m:sSub>
            </m:e>
          </m:nary>
          <m:r>
            <m:t>(</m:t>
          </m:r>
          <m:r>
            <m:t>q</m:t>
          </m:r>
          <m:r>
            <m:t>)</m:t>
          </m:r>
          <m:sSubSup>
            <m:e>
              <m:r>
                <m:t>ε</m:t>
              </m:r>
            </m:e>
            <m:sub>
              <m:r>
                <m:t>t</m:t>
              </m:r>
              <m:r>
                <m:t>−</m:t>
              </m:r>
              <m:r>
                <m:t>q</m:t>
              </m:r>
            </m:sub>
            <m:sup>
              <m:r>
                <m:t>g</m:t>
              </m:r>
            </m:sup>
          </m:sSubSup>
          <m:r>
            <m:t>+</m:t>
          </m:r>
          <m:nary>
            <m:naryPr>
              <m:chr m:val="∑"/>
              <m:limLoc m:val="undOvr"/>
              <m:subHide m:val="0"/>
              <m:supHide m:val="0"/>
            </m:naryPr>
            <m:sub>
              <m:r>
                <m:t>q</m:t>
              </m:r>
              <m:r>
                <m:t>=</m:t>
              </m:r>
              <m:r>
                <m:t>0</m:t>
              </m:r>
            </m:sub>
            <m:sup>
              <m:r>
                <m:t>∞</m:t>
              </m:r>
            </m:sup>
            <m:e>
              <m:sSub>
                <m:e>
                  <m:r>
                    <m:t>λ</m:t>
                  </m:r>
                </m:e>
                <m:sub>
                  <m:r>
                    <m:t>12</m:t>
                  </m:r>
                </m:sub>
              </m:sSub>
            </m:e>
          </m:nary>
          <m:r>
            <m:t>(</m:t>
          </m:r>
          <m:r>
            <m:t>q</m:t>
          </m:r>
          <m:r>
            <m:t>)</m:t>
          </m:r>
          <m:sSubSup>
            <m:e>
              <m:r>
                <m:t>ε</m:t>
              </m:r>
            </m:e>
            <m:sub>
              <m:r>
                <m:t>t</m:t>
              </m:r>
              <m:r>
                <m:t>−</m:t>
              </m:r>
              <m:r>
                <m:t>q</m:t>
              </m:r>
            </m:sub>
            <m:sup>
              <m:r>
                <m:t>r</m:t>
              </m:r>
            </m:sup>
          </m:sSubSup>
          <m:r>
            <m:t>+</m:t>
          </m:r>
          <m:nary>
            <m:naryPr>
              <m:chr m:val="∑"/>
              <m:limLoc m:val="undOvr"/>
              <m:subHide m:val="0"/>
              <m:supHide m:val="0"/>
            </m:naryPr>
            <m:sub>
              <m:r>
                <m:t>q</m:t>
              </m:r>
              <m:r>
                <m:t>=</m:t>
              </m:r>
              <m:r>
                <m:t>0</m:t>
              </m:r>
            </m:sub>
            <m:sup>
              <m:r>
                <m:t>∞</m:t>
              </m:r>
            </m:sup>
            <m:e>
              <m:sSub>
                <m:e>
                  <m:r>
                    <m:t>λ</m:t>
                  </m:r>
                </m:e>
                <m:sub>
                  <m:r>
                    <m:t>13</m:t>
                  </m:r>
                </m:sub>
              </m:sSub>
            </m:e>
          </m:nary>
          <m:r>
            <m:t>(</m:t>
          </m:r>
          <m:r>
            <m:t>q</m:t>
          </m:r>
          <m:r>
            <m:t>)</m:t>
          </m:r>
          <m:sSubSup>
            <m:e>
              <m:r>
                <m:t>ε</m:t>
              </m:r>
            </m:e>
            <m:sub>
              <m:r>
                <m:t>t</m:t>
              </m:r>
              <m:r>
                <m:t>−</m:t>
              </m:r>
              <m:r>
                <m:t>q</m:t>
              </m:r>
            </m:sub>
            <m:sup>
              <m:r>
                <m:t>d</m:t>
              </m:r>
            </m:sup>
          </m:sSubSup>
          <m:r>
            <m:t>  </m:t>
          </m:r>
          <m:r>
            <m:t>(</m:t>
          </m:r>
          <m:r>
            <m:t>4</m:t>
          </m:r>
          <m:r>
            <m:t>)</m:t>
          </m:r>
        </m:oMath>
      </m:oMathPara>
    </w:p>
    <w:p>
      <w:pPr>
        <w:pStyle w:val="FirstParagraph"/>
      </w:pPr>
      <m:oMathPara>
        <m:oMathParaPr>
          <m:jc m:val="center"/>
        </m:oMathParaPr>
        <m:oMath>
          <m:sSup>
            <m:e>
              <m:r>
                <m:t>π</m:t>
              </m:r>
            </m:e>
            <m:sup>
              <m:r>
                <m:t>r</m:t>
              </m:r>
            </m:sup>
          </m:sSup>
          <m:r>
            <m:t>=</m:t>
          </m:r>
          <m:nary>
            <m:naryPr>
              <m:chr m:val="∑"/>
              <m:limLoc m:val="undOvr"/>
              <m:subHide m:val="0"/>
              <m:supHide m:val="0"/>
            </m:naryPr>
            <m:sub>
              <m:r>
                <m:t>q</m:t>
              </m:r>
              <m:r>
                <m:t>=</m:t>
              </m:r>
              <m:r>
                <m:t>0</m:t>
              </m:r>
            </m:sub>
            <m:sup>
              <m:r>
                <m:t>∞</m:t>
              </m:r>
            </m:sup>
            <m:e>
              <m:sSub>
                <m:e>
                  <m:r>
                    <m:t>λ</m:t>
                  </m:r>
                </m:e>
                <m:sub>
                  <m:r>
                    <m:t>11</m:t>
                  </m:r>
                </m:sub>
              </m:sSub>
            </m:e>
          </m:nary>
          <m:r>
            <m:t>(</m:t>
          </m:r>
          <m:r>
            <m:t>q</m:t>
          </m:r>
          <m:r>
            <m:t>)</m:t>
          </m:r>
          <m:sSubSup>
            <m:e>
              <m:r>
                <m:t>ε</m:t>
              </m:r>
            </m:e>
            <m:sub>
              <m:r>
                <m:t>t</m:t>
              </m:r>
              <m:r>
                <m:t>−</m:t>
              </m:r>
              <m:r>
                <m:t>q</m:t>
              </m:r>
            </m:sub>
            <m:sup>
              <m:r>
                <m:t>g</m:t>
              </m:r>
            </m:sup>
          </m:sSubSup>
          <m:r>
            <m:t>+</m:t>
          </m:r>
          <m:nary>
            <m:naryPr>
              <m:chr m:val="∑"/>
              <m:limLoc m:val="undOvr"/>
              <m:subHide m:val="0"/>
              <m:supHide m:val="0"/>
            </m:naryPr>
            <m:sub>
              <m:r>
                <m:t>q</m:t>
              </m:r>
              <m:r>
                <m:t>=</m:t>
              </m:r>
              <m:r>
                <m:t>0</m:t>
              </m:r>
            </m:sub>
            <m:sup>
              <m:r>
                <m:t>∞</m:t>
              </m:r>
            </m:sup>
            <m:e>
              <m:sSub>
                <m:e>
                  <m:r>
                    <m:t>λ</m:t>
                  </m:r>
                </m:e>
                <m:sub>
                  <m:r>
                    <m:t>12</m:t>
                  </m:r>
                </m:sub>
              </m:sSub>
            </m:e>
          </m:nary>
          <m:r>
            <m:t>(</m:t>
          </m:r>
          <m:r>
            <m:t>q</m:t>
          </m:r>
          <m:r>
            <m:t>)</m:t>
          </m:r>
          <m:sSubSup>
            <m:e>
              <m:r>
                <m:t>ε</m:t>
              </m:r>
            </m:e>
            <m:sub>
              <m:r>
                <m:t>t</m:t>
              </m:r>
              <m:r>
                <m:t>−</m:t>
              </m:r>
              <m:r>
                <m:t>q</m:t>
              </m:r>
            </m:sub>
            <m:sup>
              <m:r>
                <m:t>r</m:t>
              </m:r>
            </m:sup>
          </m:sSubSup>
          <m:r>
            <m:t>+</m:t>
          </m:r>
          <m:nary>
            <m:naryPr>
              <m:chr m:val="∑"/>
              <m:limLoc m:val="undOvr"/>
              <m:subHide m:val="0"/>
              <m:supHide m:val="0"/>
            </m:naryPr>
            <m:sub>
              <m:r>
                <m:t>q</m:t>
              </m:r>
              <m:r>
                <m:t>=</m:t>
              </m:r>
              <m:r>
                <m:t>0</m:t>
              </m:r>
            </m:sub>
            <m:sup>
              <m:r>
                <m:t>∞</m:t>
              </m:r>
            </m:sup>
            <m:e>
              <m:sSub>
                <m:e>
                  <m:r>
                    <m:t>λ</m:t>
                  </m:r>
                </m:e>
                <m:sub>
                  <m:r>
                    <m:t>13</m:t>
                  </m:r>
                </m:sub>
              </m:sSub>
            </m:e>
          </m:nary>
          <m:r>
            <m:t>(</m:t>
          </m:r>
          <m:r>
            <m:t>q</m:t>
          </m:r>
          <m:r>
            <m:t>)</m:t>
          </m:r>
          <m:sSubSup>
            <m:e>
              <m:r>
                <m:t>ε</m:t>
              </m:r>
            </m:e>
            <m:sub>
              <m:r>
                <m:t>t</m:t>
              </m:r>
              <m:r>
                <m:t>−</m:t>
              </m:r>
              <m:r>
                <m:t>q</m:t>
              </m:r>
            </m:sub>
            <m:sup>
              <m:r>
                <m:t>d</m:t>
              </m:r>
            </m:sup>
          </m:sSubSup>
          <m:r>
            <m:t>  </m:t>
          </m:r>
          <m:r>
            <m:t>(</m:t>
          </m:r>
          <m:r>
            <m:t>5</m:t>
          </m:r>
          <m:r>
            <m:t>)</m:t>
          </m:r>
        </m:oMath>
      </m:oMathPara>
    </w:p>
    <w:p>
      <w:pPr>
        <w:pStyle w:val="FirstParagraph"/>
      </w:pPr>
      <m:oMathPara>
        <m:oMathParaPr>
          <m:jc m:val="center"/>
        </m:oMathParaPr>
        <m:oMath>
          <m:sSup>
            <m:e>
              <m:r>
                <m:t>π</m:t>
              </m:r>
            </m:e>
            <m:sup>
              <m:r>
                <m:t>d</m:t>
              </m:r>
            </m:sup>
          </m:sSup>
          <m:r>
            <m:t>=</m:t>
          </m:r>
          <m:nary>
            <m:naryPr>
              <m:chr m:val="∑"/>
              <m:limLoc m:val="undOvr"/>
              <m:subHide m:val="0"/>
              <m:supHide m:val="0"/>
            </m:naryPr>
            <m:sub>
              <m:r>
                <m:t>q</m:t>
              </m:r>
              <m:r>
                <m:t>=</m:t>
              </m:r>
              <m:r>
                <m:t>0</m:t>
              </m:r>
            </m:sub>
            <m:sup>
              <m:r>
                <m:t>∞</m:t>
              </m:r>
            </m:sup>
            <m:e>
              <m:sSub>
                <m:e>
                  <m:r>
                    <m:t>λ</m:t>
                  </m:r>
                </m:e>
                <m:sub>
                  <m:r>
                    <m:t>11</m:t>
                  </m:r>
                </m:sub>
              </m:sSub>
            </m:e>
          </m:nary>
          <m:r>
            <m:t>(</m:t>
          </m:r>
          <m:r>
            <m:t>q</m:t>
          </m:r>
          <m:r>
            <m:t>)</m:t>
          </m:r>
          <m:sSubSup>
            <m:e>
              <m:r>
                <m:t>ε</m:t>
              </m:r>
            </m:e>
            <m:sub>
              <m:r>
                <m:t>t</m:t>
              </m:r>
              <m:r>
                <m:t>−</m:t>
              </m:r>
              <m:r>
                <m:t>q</m:t>
              </m:r>
            </m:sub>
            <m:sup>
              <m:r>
                <m:t>g</m:t>
              </m:r>
            </m:sup>
          </m:sSubSup>
          <m:r>
            <m:t>+</m:t>
          </m:r>
          <m:nary>
            <m:naryPr>
              <m:chr m:val="∑"/>
              <m:limLoc m:val="undOvr"/>
              <m:subHide m:val="0"/>
              <m:supHide m:val="0"/>
            </m:naryPr>
            <m:sub>
              <m:r>
                <m:t>q</m:t>
              </m:r>
              <m:r>
                <m:t>=</m:t>
              </m:r>
              <m:r>
                <m:t>0</m:t>
              </m:r>
            </m:sub>
            <m:sup>
              <m:r>
                <m:t>∞</m:t>
              </m:r>
            </m:sup>
            <m:e>
              <m:sSub>
                <m:e>
                  <m:r>
                    <m:t>λ</m:t>
                  </m:r>
                </m:e>
                <m:sub>
                  <m:r>
                    <m:t>12</m:t>
                  </m:r>
                </m:sub>
              </m:sSub>
            </m:e>
          </m:nary>
          <m:r>
            <m:t>(</m:t>
          </m:r>
          <m:r>
            <m:t>q</m:t>
          </m:r>
          <m:r>
            <m:t>)</m:t>
          </m:r>
          <m:sSubSup>
            <m:e>
              <m:r>
                <m:t>ε</m:t>
              </m:r>
            </m:e>
            <m:sub>
              <m:r>
                <m:t>t</m:t>
              </m:r>
              <m:r>
                <m:t>−</m:t>
              </m:r>
              <m:r>
                <m:t>q</m:t>
              </m:r>
            </m:sub>
            <m:sup>
              <m:r>
                <m:t>r</m:t>
              </m:r>
            </m:sup>
          </m:sSubSup>
          <m:r>
            <m:t>+</m:t>
          </m:r>
          <m:nary>
            <m:naryPr>
              <m:chr m:val="∑"/>
              <m:limLoc m:val="undOvr"/>
              <m:subHide m:val="0"/>
              <m:supHide m:val="0"/>
            </m:naryPr>
            <m:sub>
              <m:r>
                <m:t>q</m:t>
              </m:r>
              <m:r>
                <m:t>=</m:t>
              </m:r>
              <m:r>
                <m:t>0</m:t>
              </m:r>
            </m:sub>
            <m:sup>
              <m:r>
                <m:t>∞</m:t>
              </m:r>
            </m:sup>
            <m:e>
              <m:sSub>
                <m:e>
                  <m:r>
                    <m:t>λ</m:t>
                  </m:r>
                </m:e>
                <m:sub>
                  <m:r>
                    <m:t>13</m:t>
                  </m:r>
                </m:sub>
              </m:sSub>
            </m:e>
          </m:nary>
          <m:r>
            <m:t>(</m:t>
          </m:r>
          <m:r>
            <m:t>q</m:t>
          </m:r>
          <m:r>
            <m:t>)</m:t>
          </m:r>
          <m:sSubSup>
            <m:e>
              <m:r>
                <m:t>ε</m:t>
              </m:r>
            </m:e>
            <m:sub>
              <m:r>
                <m:t>t</m:t>
              </m:r>
              <m:r>
                <m:t>−</m:t>
              </m:r>
              <m:r>
                <m:t>q</m:t>
              </m:r>
            </m:sub>
            <m:sup>
              <m:r>
                <m:t>d</m:t>
              </m:r>
            </m:sup>
          </m:sSubSup>
          <m:r>
            <m:t>  </m:t>
          </m:r>
          <m:r>
            <m:t>(</m:t>
          </m:r>
          <m:r>
            <m:t>6</m:t>
          </m:r>
          <m:r>
            <m:t>)</m:t>
          </m:r>
        </m:oMath>
      </m:oMathPara>
    </w:p>
    <w:p>
      <w:pPr>
        <w:pStyle w:val="FirstParagraph"/>
      </w:pPr>
      <w:r>
        <w:t xml:space="preserve">Or compactly as</w:t>
      </w:r>
    </w:p>
    <w:p>
      <w:pPr>
        <w:pStyle w:val="BodyText"/>
      </w:pPr>
      <m:oMathPara>
        <m:oMathParaPr>
          <m:jc m:val="center"/>
        </m:oMathParaPr>
        <m:oMath>
          <m:d>
            <m:dPr>
              <m:begChr m:val="["/>
              <m:endChr m:val="]"/>
              <m:grow/>
            </m:dPr>
            <m:e>
              <m:m>
                <m:mPr>
                  <m:baseJc m:val="center"/>
                  <m:plcHide m:val="1"/>
                  <m:mcs>
                    <m:mc>
                      <m:mcPr>
                        <m:mcJc m:val="center"/>
                        <m:count m:val="1"/>
                      </m:mcPr>
                    </m:mc>
                  </m:mcs>
                </m:mPr>
                <m:mr>
                  <m:e>
                    <m:sSup>
                      <m:e>
                        <m:r>
                          <m:t>π</m:t>
                        </m:r>
                      </m:e>
                      <m:sup>
                        <m:r>
                          <m:t>g</m:t>
                        </m:r>
                      </m:sup>
                    </m:sSup>
                  </m:e>
                </m:mr>
                <m:mr>
                  <m:e>
                    <m:sSup>
                      <m:e>
                        <m:r>
                          <m:t>π</m:t>
                        </m:r>
                      </m:e>
                      <m:sup>
                        <m:r>
                          <m:t>r</m:t>
                        </m:r>
                      </m:sup>
                    </m:sSup>
                  </m:e>
                </m:mr>
                <m:mr>
                  <m:e>
                    <m:sSup>
                      <m:e>
                        <m:r>
                          <m:t>π</m:t>
                        </m:r>
                      </m:e>
                      <m:sup>
                        <m:r>
                          <m:t>d</m:t>
                        </m:r>
                      </m:sup>
                    </m:sSup>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Ω</m:t>
                        </m:r>
                      </m:e>
                      <m:sub>
                        <m:r>
                          <m:t>11</m:t>
                        </m:r>
                      </m:sub>
                    </m:sSub>
                  </m:e>
                  <m:e>
                    <m:sSub>
                      <m:e>
                        <m:r>
                          <m:t>Ω</m:t>
                        </m:r>
                      </m:e>
                      <m:sub>
                        <m:r>
                          <m:t>12</m:t>
                        </m:r>
                      </m:sub>
                    </m:sSub>
                  </m:e>
                  <m:e>
                    <m:sSub>
                      <m:e>
                        <m:r>
                          <m:t>Ω</m:t>
                        </m:r>
                      </m:e>
                      <m:sub>
                        <m:r>
                          <m:t>13</m:t>
                        </m:r>
                      </m:sub>
                    </m:sSub>
                  </m:e>
                </m:mr>
                <m:mr>
                  <m:e>
                    <m:sSub>
                      <m:e>
                        <m:r>
                          <m:t>Ω</m:t>
                        </m:r>
                      </m:e>
                      <m:sub>
                        <m:r>
                          <m:t>21</m:t>
                        </m:r>
                      </m:sub>
                    </m:sSub>
                  </m:e>
                  <m:e>
                    <m:sSub>
                      <m:e>
                        <m:r>
                          <m:t>Ω</m:t>
                        </m:r>
                      </m:e>
                      <m:sub>
                        <m:r>
                          <m:t>22</m:t>
                        </m:r>
                      </m:sub>
                    </m:sSub>
                  </m:e>
                  <m:e>
                    <m:sSub>
                      <m:e>
                        <m:r>
                          <m:t>Ω</m:t>
                        </m:r>
                      </m:e>
                      <m:sub>
                        <m:r>
                          <m:t>23</m:t>
                        </m:r>
                      </m:sub>
                    </m:sSub>
                  </m:e>
                </m:mr>
                <m:mr>
                  <m:e>
                    <m:sSub>
                      <m:e>
                        <m:r>
                          <m:t>Ω</m:t>
                        </m:r>
                      </m:e>
                      <m:sub>
                        <m:r>
                          <m:t>31</m:t>
                        </m:r>
                      </m:sub>
                    </m:sSub>
                  </m:e>
                  <m:e>
                    <m:sSub>
                      <m:e>
                        <m:r>
                          <m:t>Ω</m:t>
                        </m:r>
                      </m:e>
                      <m:sub>
                        <m:r>
                          <m:t>32</m:t>
                        </m:r>
                      </m:sub>
                    </m:sSub>
                  </m:e>
                  <m:e>
                    <m:sSub>
                      <m:e>
                        <m:r>
                          <m:t>Ω</m:t>
                        </m:r>
                      </m:e>
                      <m:sub>
                        <m:r>
                          <m:t>33</m:t>
                        </m:r>
                      </m:sub>
                    </m:sSub>
                  </m:e>
                </m:mr>
              </m:m>
            </m:e>
          </m:d>
          <m:r>
            <m:t>×</m:t>
          </m:r>
          <m:d>
            <m:dPr>
              <m:begChr m:val="["/>
              <m:endChr m:val="]"/>
              <m:grow/>
            </m:dPr>
            <m:e>
              <m:m>
                <m:mPr>
                  <m:baseJc m:val="center"/>
                  <m:plcHide m:val="1"/>
                  <m:mcs>
                    <m:mc>
                      <m:mcPr>
                        <m:mcJc m:val="center"/>
                        <m:count m:val="1"/>
                      </m:mcPr>
                    </m:mc>
                  </m:mcs>
                </m:mPr>
                <m:mr>
                  <m:e>
                    <m:sSubSup>
                      <m:e>
                        <m:r>
                          <m:t>ε</m:t>
                        </m:r>
                      </m:e>
                      <m:sub>
                        <m:r>
                          <m:t>t</m:t>
                        </m:r>
                      </m:sub>
                      <m:sup>
                        <m:r>
                          <m:t>g</m:t>
                        </m:r>
                      </m:sup>
                    </m:sSubSup>
                  </m:e>
                </m:mr>
                <m:mr>
                  <m:e>
                    <m:sSubSup>
                      <m:e>
                        <m:r>
                          <m:t>ε</m:t>
                        </m:r>
                      </m:e>
                      <m:sub>
                        <m:r>
                          <m:t>t</m:t>
                        </m:r>
                      </m:sub>
                      <m:sup>
                        <m:r>
                          <m:t>r</m:t>
                        </m:r>
                      </m:sup>
                    </m:sSubSup>
                  </m:e>
                </m:mr>
                <m:mr>
                  <m:e>
                    <m:sSubSup>
                      <m:e>
                        <m:r>
                          <m:t>ε</m:t>
                        </m:r>
                      </m:e>
                      <m:sub>
                        <m:r>
                          <m:t>t</m:t>
                        </m:r>
                      </m:sub>
                      <m:sup>
                        <m:r>
                          <m:t>d</m:t>
                        </m:r>
                      </m:sup>
                    </m:sSubSup>
                  </m:e>
                </m:mr>
              </m:m>
            </m:e>
          </m:d>
          <m:r>
            <m:t>  </m:t>
          </m:r>
          <m:r>
            <m:t>(</m:t>
          </m:r>
          <m:r>
            <m:t>7</m:t>
          </m:r>
          <m:r>
            <m:t>)</m:t>
          </m:r>
        </m:oMath>
      </m:oMathPara>
    </w:p>
    <w:p>
      <w:pPr>
        <w:pStyle w:val="FirstParagraph"/>
      </w:pPr>
      <w:r>
        <w:t xml:space="preserve">Where</w:t>
      </w:r>
      <w:r>
        <w:t xml:space="preserve"> </w:t>
      </w:r>
      <m:oMath>
        <m:sSub>
          <m:e>
            <m:r>
              <m:t>Ω</m:t>
            </m:r>
          </m:e>
          <m:sub>
            <m:r>
              <m:t>i</m:t>
            </m:r>
            <m:r>
              <m:t>j</m:t>
            </m:r>
          </m:sub>
        </m:sSub>
        <m:r>
          <m:t>=</m:t>
        </m:r>
        <m:sSub>
          <m:e>
            <m:r>
              <m:t>Λ</m:t>
            </m:r>
          </m:e>
          <m:sub>
            <m:r>
              <m:t>i</m:t>
            </m:r>
            <m:r>
              <m:t>j</m:t>
            </m:r>
          </m:sub>
        </m:sSub>
        <m:r>
          <m:t>(</m:t>
        </m:r>
        <m:r>
          <m:t>L</m:t>
        </m:r>
        <m:r>
          <m:t>)</m:t>
        </m:r>
      </m:oMath>
      <w:r>
        <w:t xml:space="preserve"> </w:t>
      </w:r>
      <w:r>
        <w:t xml:space="preserve">is a lag operator polynomial; therefore, equation (7) can be represented compactly as</w:t>
      </w:r>
    </w:p>
    <w:p>
      <w:pPr>
        <w:pStyle w:val="BodyText"/>
      </w:pPr>
      <m:oMathPara>
        <m:oMathParaPr>
          <m:jc m:val="center"/>
        </m:oMathParaPr>
        <m:oMath>
          <m:sSub>
            <m:e>
              <m:r>
                <m:t>X</m:t>
              </m:r>
            </m:e>
            <m:sub>
              <m:r>
                <m:t>t</m:t>
              </m:r>
            </m:sub>
          </m:sSub>
          <m:r>
            <m:t>=</m:t>
          </m:r>
          <m:r>
            <m:t>Ω</m:t>
          </m:r>
          <m:r>
            <m:t>(</m:t>
          </m:r>
          <m:r>
            <m:t>L</m:t>
          </m:r>
          <m:r>
            <m:t>)</m:t>
          </m:r>
          <m:sSub>
            <m:e>
              <m:r>
                <m:t>ε</m:t>
              </m:r>
            </m:e>
            <m:sub>
              <m:r>
                <m:t>t</m:t>
              </m:r>
            </m:sub>
          </m:sSub>
          <m:r>
            <m:t>  </m:t>
          </m:r>
          <m:r>
            <m:t>(</m:t>
          </m:r>
          <m:r>
            <m:t>8</m:t>
          </m:r>
          <m:r>
            <m:t>)</m:t>
          </m:r>
        </m:oMath>
      </m:oMathPara>
    </w:p>
    <w:p>
      <w:pPr>
        <w:pStyle w:val="FirstParagraph"/>
      </w:pPr>
      <w:r>
        <w:t xml:space="preserve">For equations (7) and (8) to be valid, the endogenous variables have to be stationary and that the structural shocks have unit variance and are uncorrelated</w:t>
      </w:r>
      <w:r>
        <w:t xml:space="preserve"> </w:t>
      </w:r>
      <w:r>
        <w:t xml:space="preserve">(Enders,</w:t>
      </w:r>
      <w:r>
        <w:t xml:space="preserve"> </w:t>
      </w:r>
      <w:hyperlink w:anchor="ref-enders2015applied">
        <w:r>
          <w:rPr>
            <w:rStyle w:val="Hyperlink"/>
          </w:rPr>
          <w:t xml:space="preserve">2015</w:t>
        </w:r>
      </w:hyperlink>
      <w:r>
        <w:t xml:space="preserve">; Juselius,</w:t>
      </w:r>
      <w:r>
        <w:t xml:space="preserve"> </w:t>
      </w:r>
      <w:hyperlink w:anchor="ref-juselius2006cointegrated">
        <w:r>
          <w:rPr>
            <w:rStyle w:val="Hyperlink"/>
          </w:rPr>
          <w:t xml:space="preserve">2006</w:t>
        </w:r>
      </w:hyperlink>
      <w:r>
        <w:t xml:space="preserve">; Lütkepohl, Krätzig, &amp; Phillips,</w:t>
      </w:r>
      <w:r>
        <w:t xml:space="preserve"> </w:t>
      </w:r>
      <w:hyperlink w:anchor="ref-lutkepohl2004applied">
        <w:r>
          <w:rPr>
            <w:rStyle w:val="Hyperlink"/>
          </w:rPr>
          <w:t xml:space="preserve">2004</w:t>
        </w:r>
      </w:hyperlink>
      <w:r>
        <w:t xml:space="preserve">)</w:t>
      </w:r>
      <w:r>
        <w:t xml:space="preserve">. The restrictions needed for identifying this system of the equations involve the following small country assumptions</w:t>
      </w:r>
      <w:r>
        <w:rPr>
          <w:rStyle w:val="FootnoteReference"/>
        </w:rPr>
        <w:footnoteReference w:id="33"/>
      </w:r>
      <w:r>
        <w:t xml:space="preserve">; i. domestic economies are small open economies and domestic inflation has no contemporaneous and lagged effects on global inflation ii. Idiosyncratic shocks of domestic economies have zero long-run effect on both regional and global economies iii. Regional shocks have no long-run impact on the global economy. Given these small country assumptions, Equation (1) is restricted such that</w:t>
      </w:r>
      <w:r>
        <w:t xml:space="preserve"> </w:t>
      </w:r>
      <m:oMath>
        <m:sSub>
          <m:e>
            <m:r>
              <m:t>λ</m:t>
            </m:r>
          </m:e>
          <m:sub>
            <m:r>
              <m:t>13</m:t>
            </m:r>
          </m:sub>
        </m:sSub>
        <m:r>
          <m:t>(</m:t>
        </m:r>
        <m:r>
          <m:t>L</m:t>
        </m:r>
        <m:r>
          <m:t>)</m:t>
        </m:r>
        <m:r>
          <m:t>=</m:t>
        </m:r>
        <m:r>
          <m:t>0</m:t>
        </m:r>
      </m:oMath>
      <w:r>
        <w:t xml:space="preserve">, so that domestic inflation does not have both contemporaneous and lagged effects on the global inflation. Three restrictions</w:t>
      </w:r>
      <w:r>
        <w:rPr>
          <w:rStyle w:val="FootnoteReference"/>
        </w:rPr>
        <w:footnoteReference w:id="34"/>
      </w:r>
      <w:r>
        <w:t xml:space="preserve"> </w:t>
      </w:r>
      <w:r>
        <w:t xml:space="preserve">need to be imposed in order to identify equation (1), hence the long-run restriction such that</w:t>
      </w:r>
      <w:r>
        <w:t xml:space="preserve"> </w:t>
      </w:r>
      <m:oMath>
        <m:sSub>
          <m:e>
            <m:r>
              <m:t>Ω</m:t>
            </m:r>
          </m:e>
          <m:sub>
            <m:r>
              <m:t>12</m:t>
            </m:r>
          </m:sub>
        </m:sSub>
        <m:r>
          <m:t>=</m:t>
        </m:r>
        <m:sSub>
          <m:e>
            <m:r>
              <m:t>Ω</m:t>
            </m:r>
          </m:e>
          <m:sub>
            <m:r>
              <m:t>13</m:t>
            </m:r>
          </m:sub>
        </m:sSub>
        <m:r>
          <m:t>=</m:t>
        </m:r>
        <m:sSub>
          <m:e>
            <m:r>
              <m:t>Ω</m:t>
            </m:r>
          </m:e>
          <m:sub>
            <m:r>
              <m:t>23</m:t>
            </m:r>
          </m:sub>
        </m:sSub>
        <m:r>
          <m:t>=</m:t>
        </m:r>
        <m:r>
          <m:t>0</m:t>
        </m:r>
      </m:oMath>
      <w:r>
        <w:t xml:space="preserve"> </w:t>
      </w:r>
      <w:r>
        <w:t xml:space="preserve">in equation (7) is required to recover the shocks.</w:t>
      </w:r>
    </w:p>
    <w:p>
      <w:pPr>
        <w:pStyle w:val="Heading1"/>
      </w:pPr>
      <w:bookmarkStart w:id="35" w:name="empirical-results"/>
      <w:r>
        <w:t xml:space="preserve">Empirical Results</w:t>
      </w:r>
      <w:bookmarkEnd w:id="35"/>
    </w:p>
    <w:p>
      <w:pPr>
        <w:pStyle w:val="FirstParagraph"/>
      </w:pPr>
      <w:r>
        <w:t xml:space="preserve">For the full sample of 1975:05 to 2018:08, all the inflation variables (GI, RI and DI) appear to be I(0) except the global inflation, Nigerian inflation and Gambian inflation, based on formal unit root tests developed by</w:t>
      </w:r>
      <w:r>
        <w:t xml:space="preserve"> </w:t>
      </w:r>
      <w:r>
        <w:t xml:space="preserve">Phillips &amp; Perron (</w:t>
      </w:r>
      <w:hyperlink w:anchor="ref-10.2307/2336182">
        <w:r>
          <w:rPr>
            <w:rStyle w:val="Hyperlink"/>
          </w:rPr>
          <w:t xml:space="preserve">1988</w:t>
        </w:r>
      </w:hyperlink>
      <w:r>
        <w:t xml:space="preserve">)</w:t>
      </w:r>
      <w:r>
        <w:t xml:space="preserve"> </w:t>
      </w:r>
      <w:r>
        <w:t xml:space="preserve">and</w:t>
      </w:r>
      <w:r>
        <w:t xml:space="preserve"> </w:t>
      </w:r>
      <w:r>
        <w:t xml:space="preserve">Dickey &amp; Fuller (</w:t>
      </w:r>
      <w:hyperlink w:anchor="ref-Dickey1979">
        <w:r>
          <w:rPr>
            <w:rStyle w:val="Hyperlink"/>
          </w:rPr>
          <w:t xml:space="preserve">1979</w:t>
        </w:r>
      </w:hyperlink>
      <w:r>
        <w:t xml:space="preserve">)</w:t>
      </w:r>
      <w:r>
        <w:t xml:space="preserve">. However, when structural breaks are taken into account, these integrated inflation variables become stationary. The structural breaks occurs at various dates, so a dummy variable is generated to capture each break date for each inflation variable, 1 is assigned for the specific break date and 0 otherwise</w:t>
      </w:r>
      <w:r>
        <w:rPr>
          <w:rStyle w:val="FootnoteReference"/>
        </w:rPr>
        <w:footnoteReference w:id="36"/>
      </w:r>
      <w:r>
        <w:t xml:space="preserve">. Formally</w:t>
      </w:r>
      <w:r>
        <w:t xml:space="preserve"> </w:t>
      </w:r>
      <m:oMath>
        <m:sSub>
          <m:e>
            <m:r>
              <m:t>D</m:t>
            </m:r>
          </m:e>
          <m:sub>
            <m:r>
              <m:t>i</m:t>
            </m:r>
            <m:r>
              <m:t>t</m:t>
            </m:r>
          </m:sub>
        </m:sSub>
        <m:r>
          <m:t>=</m:t>
        </m:r>
        <m:r>
          <m:t>1</m:t>
        </m:r>
      </m:oMath>
      <w:r>
        <w:t xml:space="preserve"> </w:t>
      </w:r>
      <w:r>
        <w:t xml:space="preserve">for</w:t>
      </w:r>
      <w:r>
        <w:t xml:space="preserve"> </w:t>
      </w:r>
      <m:oMath>
        <m:r>
          <m:t>t</m:t>
        </m:r>
        <m:r>
          <m:t>=</m:t>
        </m:r>
        <m:r>
          <m:t>i</m:t>
        </m:r>
      </m:oMath>
      <w:r>
        <w:t xml:space="preserve"> </w:t>
      </w:r>
      <w:r>
        <w:t xml:space="preserve">and</w:t>
      </w:r>
      <w:r>
        <w:t xml:space="preserve"> </w:t>
      </w:r>
      <m:oMath>
        <m:sSub>
          <m:e>
            <m:r>
              <m:t>D</m:t>
            </m:r>
          </m:e>
          <m:sub>
            <m:r>
              <m:t>i</m:t>
            </m:r>
            <m:r>
              <m:t>t</m:t>
            </m:r>
          </m:sub>
        </m:sSub>
        <m:r>
          <m:t>=</m:t>
        </m:r>
        <m:r>
          <m:t>0</m:t>
        </m:r>
      </m:oMath>
      <w:r>
        <w:t xml:space="preserve"> </w:t>
      </w:r>
      <w:r>
        <w:t xml:space="preserve">for</w:t>
      </w:r>
      <w:r>
        <w:t xml:space="preserve"> </w:t>
      </w:r>
      <m:oMath>
        <m:r>
          <m:t>t</m:t>
        </m:r>
        <m:r>
          <m:t>≠</m:t>
        </m:r>
        <m:r>
          <m:t>i</m:t>
        </m:r>
      </m:oMath>
      <w:r>
        <w:t xml:space="preserve">, where</w:t>
      </w:r>
      <w:r>
        <w:t xml:space="preserve"> </w:t>
      </w:r>
      <m:oMath>
        <m:r>
          <m:t>i</m:t>
        </m:r>
      </m:oMath>
      <w:r>
        <w:t xml:space="preserve"> </w:t>
      </w:r>
      <w:r>
        <w:t xml:space="preserve">is the break date. For the sake of comparison, four subsamples are considered; two samples capturing the period before and after establishment of WAEMU and other two samples covering the period before and after creation of WAMZ. New definition of global CPI, which includes China, is also used for the samples after creation of WAEMU and WAMZ because China becomes a major global player in recent years. VAR with two lags is estimated for all the countries in the form of equation (3)</w:t>
      </w:r>
      <w:r>
        <w:rPr>
          <w:rStyle w:val="FootnoteReference"/>
        </w:rPr>
        <w:footnoteReference w:id="37"/>
      </w:r>
      <w:r>
        <w:t xml:space="preserve"> </w:t>
      </w:r>
      <w:r>
        <w:t xml:space="preserve">. All the VAR models meet the diagnostic requirements of homoscedasticity, non-autocorrelation and stability</w:t>
      </w:r>
      <w:r>
        <w:rPr>
          <w:rStyle w:val="FootnoteReference"/>
        </w:rPr>
        <w:footnoteReference w:id="38"/>
      </w:r>
      <w:r>
        <w:t xml:space="preserve">. The models used in this study are defined in Table</w:t>
      </w:r>
      <w:r>
        <w:t xml:space="preserve"> </w:t>
      </w:r>
      <w:r>
        <w:t xml:space="preserve">1</w:t>
      </w:r>
      <w:r>
        <w:rPr>
          <w:rStyle w:val="FootnoteReference"/>
        </w:rPr>
        <w:footnoteReference w:id="39"/>
      </w:r>
    </w:p>
    <w:p>
      <w:pPr>
        <w:pStyle w:val="SourceCode"/>
      </w:pPr>
      <w:r>
        <w:rPr>
          <w:rStyle w:val="VerbatimChar"/>
        </w:rPr>
        <w:t xml:space="preserve">## Warning in kable_styling(., latex_options = c("basic", "hold_positon",</w:t>
      </w:r>
      <w:r>
        <w:br w:type="textWrapping"/>
      </w:r>
      <w:r>
        <w:rPr>
          <w:rStyle w:val="VerbatimChar"/>
        </w:rPr>
        <w:t xml:space="preserve">## "scale_down")): Please specify format in kable. kableExtra can customize</w:t>
      </w:r>
      <w:r>
        <w:br w:type="textWrapping"/>
      </w:r>
      <w:r>
        <w:rPr>
          <w:rStyle w:val="VerbatimChar"/>
        </w:rPr>
        <w:t xml:space="preserve">## either HTML or LaTeX outputs. See https://haozhu233.github.io/kableExtra/</w:t>
      </w:r>
      <w:r>
        <w:br w:type="textWrapping"/>
      </w:r>
      <w:r>
        <w:rPr>
          <w:rStyle w:val="VerbatimChar"/>
        </w:rPr>
        <w:t xml:space="preserve">## for details.</w:t>
      </w:r>
    </w:p>
    <w:p>
      <w:pPr>
        <w:pStyle w:val="SourceCode"/>
      </w:pPr>
      <w:r>
        <w:rPr>
          <w:rStyle w:val="VerbatimChar"/>
        </w:rPr>
        <w:t xml:space="preserve">## Warning in footnote(., general = "Note: a, b, c, d, and e stand for</w:t>
      </w:r>
      <w:r>
        <w:br w:type="textWrapping"/>
      </w:r>
      <w:r>
        <w:rPr>
          <w:rStyle w:val="VerbatimChar"/>
        </w:rPr>
        <w:t xml:space="preserve">## full sample, period before WAEMU, period after WAEMU, period before WAMZ</w:t>
      </w:r>
      <w:r>
        <w:br w:type="textWrapping"/>
      </w:r>
      <w:r>
        <w:rPr>
          <w:rStyle w:val="VerbatimChar"/>
        </w:rPr>
        <w:t xml:space="preserve">## and period after WAMZ respectively.", :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SourceCode"/>
      </w:pPr>
      <w:r>
        <w:rPr>
          <w:rStyle w:val="VerbatimChar"/>
        </w:rPr>
        <w:t xml:space="preserve">## Warning in add_header_above(., c(`Model name` = 1, Sample = 1, `Definition</w:t>
      </w:r>
      <w:r>
        <w:br w:type="textWrapping"/>
      </w:r>
      <w:r>
        <w:rPr>
          <w:rStyle w:val="VerbatimChar"/>
        </w:rPr>
        <w:t xml:space="preserve">## of global CPI` = 1), :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1: Sample, Model and Definition of Global Variable</w:t>
      </w:r>
    </w:p>
    <w:tbl>
      <w:tblPr>
        <w:tblStyle w:val="Table"/>
        <w:tblW w:type="pct" w:w="0.0"/>
        <w:tblLook w:firstRow="0"/>
        <w:tblCaption w:val="Table 1: Sample, Model and Definition of Global Variable"/>
      </w:tblPr>
      <w:tblGrid/>
      <w:tr>
        <w:tc>
          <w:p>
            <w:pPr>
              <w:pStyle w:val="Compact"/>
              <w:jc w:val="left"/>
            </w:pPr>
            <w:r>
              <w:t xml:space="preserve">M1</w:t>
            </w:r>
          </w:p>
        </w:tc>
        <w:tc>
          <w:p>
            <w:pPr>
              <w:pStyle w:val="Compact"/>
              <w:jc w:val="left"/>
            </w:pPr>
            <w:r>
              <w:t xml:space="preserve">1975 to 2018a</w:t>
            </w:r>
          </w:p>
        </w:tc>
        <w:tc>
          <w:p>
            <w:pPr>
              <w:pStyle w:val="Compact"/>
              <w:jc w:val="left"/>
            </w:pPr>
            <w:r>
              <w:t xml:space="preserve">Weighted averages of CPI’s of US, UK, and France used as a global CPI</w:t>
            </w:r>
          </w:p>
        </w:tc>
      </w:tr>
      <w:tr>
        <w:tc>
          <w:p>
            <w:pPr>
              <w:pStyle w:val="Compact"/>
              <w:jc w:val="left"/>
            </w:pPr>
            <w:r>
              <w:t xml:space="preserve">M2</w:t>
            </w:r>
          </w:p>
        </w:tc>
        <w:tc>
          <w:p>
            <w:pPr>
              <w:pStyle w:val="Compact"/>
              <w:jc w:val="left"/>
            </w:pPr>
            <w:r>
              <w:t xml:space="preserve">1975 to 1993b</w:t>
            </w:r>
          </w:p>
        </w:tc>
        <w:tc>
          <w:p>
            <w:pPr>
              <w:pStyle w:val="Compact"/>
              <w:jc w:val="left"/>
            </w:pPr>
            <w:r>
              <w:t xml:space="preserve">Definition of global CPI same as M1</w:t>
            </w:r>
          </w:p>
        </w:tc>
      </w:tr>
      <w:tr>
        <w:tc>
          <w:p>
            <w:pPr>
              <w:pStyle w:val="Compact"/>
              <w:jc w:val="left"/>
            </w:pPr>
            <w:r>
              <w:t xml:space="preserve">M3</w:t>
            </w:r>
          </w:p>
        </w:tc>
        <w:tc>
          <w:p>
            <w:pPr>
              <w:pStyle w:val="Compact"/>
              <w:jc w:val="left"/>
            </w:pPr>
            <w:r>
              <w:t xml:space="preserve">1994 to 2018c</w:t>
            </w:r>
          </w:p>
        </w:tc>
        <w:tc>
          <w:p>
            <w:pPr>
              <w:pStyle w:val="Compact"/>
              <w:jc w:val="left"/>
            </w:pPr>
            <w:r>
              <w:t xml:space="preserve">Definition of global CPI same as M1</w:t>
            </w:r>
          </w:p>
        </w:tc>
      </w:tr>
      <w:tr>
        <w:tc>
          <w:p>
            <w:pPr>
              <w:pStyle w:val="Compact"/>
              <w:jc w:val="left"/>
            </w:pPr>
            <w:r>
              <w:t xml:space="preserve">M4</w:t>
            </w:r>
          </w:p>
        </w:tc>
        <w:tc>
          <w:p>
            <w:pPr>
              <w:pStyle w:val="Compact"/>
              <w:jc w:val="left"/>
            </w:pPr>
            <w:r>
              <w:t xml:space="preserve">1994 to 2018c</w:t>
            </w:r>
          </w:p>
        </w:tc>
        <w:tc>
          <w:p>
            <w:pPr>
              <w:pStyle w:val="Compact"/>
              <w:jc w:val="left"/>
            </w:pPr>
            <w:r>
              <w:t xml:space="preserve">Weighted averages of CPI’s of US, UK, France and China used as a global CPI</w:t>
            </w:r>
          </w:p>
        </w:tc>
      </w:tr>
      <w:tr>
        <w:tc>
          <w:p>
            <w:pPr>
              <w:pStyle w:val="Compact"/>
              <w:jc w:val="left"/>
            </w:pPr>
            <w:r>
              <w:t xml:space="preserve">M5</w:t>
            </w:r>
          </w:p>
        </w:tc>
        <w:tc>
          <w:p>
            <w:pPr>
              <w:pStyle w:val="Compact"/>
              <w:jc w:val="left"/>
            </w:pPr>
            <w:r>
              <w:t xml:space="preserve">1975 to 1999d</w:t>
            </w:r>
          </w:p>
        </w:tc>
        <w:tc>
          <w:p>
            <w:pPr>
              <w:pStyle w:val="Compact"/>
              <w:jc w:val="left"/>
            </w:pPr>
            <w:r>
              <w:t xml:space="preserve">Definition of global CPI same as M1</w:t>
            </w:r>
          </w:p>
        </w:tc>
      </w:tr>
      <w:tr>
        <w:tc>
          <w:p>
            <w:pPr>
              <w:pStyle w:val="Compact"/>
              <w:jc w:val="left"/>
            </w:pPr>
            <w:r>
              <w:t xml:space="preserve">M6</w:t>
            </w:r>
          </w:p>
        </w:tc>
        <w:tc>
          <w:p>
            <w:pPr>
              <w:pStyle w:val="Compact"/>
              <w:jc w:val="left"/>
            </w:pPr>
            <w:r>
              <w:t xml:space="preserve">2000 to 2018e</w:t>
            </w:r>
          </w:p>
        </w:tc>
        <w:tc>
          <w:p>
            <w:pPr>
              <w:pStyle w:val="Compact"/>
              <w:jc w:val="left"/>
            </w:pPr>
            <w:r>
              <w:t xml:space="preserve">Definition of global CPI same as M1</w:t>
            </w:r>
          </w:p>
        </w:tc>
      </w:tr>
      <w:tr>
        <w:tc>
          <w:p>
            <w:pPr>
              <w:pStyle w:val="Compact"/>
              <w:jc w:val="left"/>
            </w:pPr>
            <w:r>
              <w:t xml:space="preserve">M7</w:t>
            </w:r>
          </w:p>
        </w:tc>
        <w:tc>
          <w:p>
            <w:pPr>
              <w:pStyle w:val="Compact"/>
              <w:jc w:val="left"/>
            </w:pPr>
            <w:r>
              <w:t xml:space="preserve">2000 to 2018e</w:t>
            </w:r>
          </w:p>
        </w:tc>
        <w:tc>
          <w:p>
            <w:pPr>
              <w:pStyle w:val="Compact"/>
              <w:jc w:val="left"/>
            </w:pPr>
            <w:r>
              <w:t xml:space="preserve">Definition global CPI same as M4</w:t>
            </w:r>
          </w:p>
        </w:tc>
      </w:tr>
    </w:tbl>
    <w:p>
      <w:pPr>
        <w:pStyle w:val="Heading2"/>
      </w:pPr>
      <w:bookmarkStart w:id="40" w:name="X98945a6e7efb58f342c793075d8d1953e43ec79"/>
      <w:r>
        <w:t xml:space="preserve">The Impulse Response of Domestic Inflation</w:t>
      </w:r>
      <w:bookmarkEnd w:id="40"/>
    </w:p>
    <w:p>
      <w:pPr>
        <w:pStyle w:val="FirstParagraph"/>
      </w:pPr>
      <w:r>
        <w:t xml:space="preserve">The purpose of this section is to observe how domestic inflation responds to both RS and GS similar to</w:t>
      </w:r>
      <w:r>
        <w:t xml:space="preserve"> </w:t>
      </w:r>
      <w:r>
        <w:t xml:space="preserve">Regmi et al. (</w:t>
      </w:r>
      <w:hyperlink w:anchor="ref-Regmi2015">
        <w:r>
          <w:rPr>
            <w:rStyle w:val="Hyperlink"/>
          </w:rPr>
          <w:t xml:space="preserve">2015</w:t>
        </w:r>
      </w:hyperlink>
      <w:r>
        <w:t xml:space="preserve">)</w:t>
      </w:r>
      <w:r>
        <w:t xml:space="preserve">. If the members of a monetary union respond to a given shock in a similar way, then common monetary policy could be used to address the consequence of the shocks, otherwise, each member country has to use its own monetary policy to address the shock. In essence, if the members’ responses to a given shock are similar, then monetary unification is beneficial, otherwise, it is costly.</w:t>
      </w:r>
    </w:p>
    <w:p>
      <w:pPr>
        <w:pStyle w:val="BodyText"/>
      </w:pPr>
      <w:r>
        <w:t xml:space="preserve">In order to gain insight into the responses of domestic economies to the regional and global shocks, impulse responses of M2 are compared with those of M3. Figure</w:t>
      </w:r>
      <w:r>
        <w:t xml:space="preserve"> </w:t>
      </w:r>
      <w:r>
        <w:t xml:space="preserve">1</w:t>
      </w:r>
      <w:r>
        <w:t xml:space="preserve"> </w:t>
      </w:r>
      <w:r>
        <w:t xml:space="preserve">reports the impulse responses of M2 and M3, while Figure</w:t>
      </w:r>
      <w:r>
        <w:t xml:space="preserve"> </w:t>
      </w:r>
      <w:r>
        <w:t xml:space="preserve">2</w:t>
      </w:r>
      <w:r>
        <w:t xml:space="preserve"> </w:t>
      </w:r>
      <w:r>
        <w:t xml:space="preserve">contains the impulse responses of M5 and M6. The top part of these figures represents the responses of domestic economies to global shocks, while the responses of domestic economies to regional shocks are depicted at the bottom of these figures. For simplicity of reference, M2-G implies sub-figure of M2 model showing response of domestic economies to global shocks, and M3-R signifies sub-figure of M3 model showing response of domestic economies to regional shocks.</w:t>
      </w:r>
    </w:p>
    <w:p>
      <w:pPr>
        <w:pStyle w:val="BodyText"/>
      </w:pPr>
      <w:r>
        <w:t xml:space="preserve">The first task is to compare the impulse responses of models before the establishment of WAEMU (M2) and WAMZ (M5) with the corresponding models representing period after their establishment. To this end, M2 is compared with M3, while M5 is compared with M6. Before the establishment of WAEMU, M2-G shows the response of Burkina Faso to global shocks could be as high as 1.72 and the response of Niger to global shock could be as low as -1.38. On the other hand, M3-G shows that the highest response to global shocks after creation of WAEMU is 0.78 recorded by Guinea Bissau and the lowest is -0.06 recorded by Niger, indicating a fall in the magnitude of the responses by 55 per cent and 96 per cent respectively. In addition to this, M2-G and M3-G indicate that the shocks disappear at shorter horizon in the latter model than in the former. As indicated by M2-R and M3-R, the level of responses to regional shocks are lower after WAEMU creation but shocks die out faster before the establishment of the WAEMU. Moreover, the paths of the responses to global shocks are similar except for Burkina Faso, Niger and Gambia for both M2 and M3, and the paths of responses to regional shocks are also similar except for Ghana in M2 and except for Ghana, Nigeria and the Gambia in M3.</w:t>
      </w:r>
    </w:p>
    <w:p>
      <w:pPr>
        <w:pStyle w:val="CaptionedFigure"/>
      </w:pPr>
      <w:r>
        <w:drawing>
          <wp:inline>
            <wp:extent cx="5334000" cy="4267200"/>
            <wp:effectExtent b="0" l="0" r="0" t="0"/>
            <wp:docPr descr="Figure 1: Response of Domestic Economies to Regional and Global Shocks (M2 and M3)" title="" id="1" name="Picture"/>
            <a:graphic>
              <a:graphicData uri="http://schemas.openxmlformats.org/drawingml/2006/picture">
                <pic:pic>
                  <pic:nvPicPr>
                    <pic:cNvPr descr="FIGURES/figure1.pdf"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Response of Domestic Economies to Regional and Global Shocks (M2 and M3)</w:t>
      </w:r>
    </w:p>
    <w:p>
      <w:pPr>
        <w:pStyle w:val="BodyText"/>
      </w:pPr>
      <w:r>
        <w:t xml:space="preserve">Figure</w:t>
      </w:r>
      <w:r>
        <w:t xml:space="preserve"> </w:t>
      </w:r>
      <w:r>
        <w:t xml:space="preserve">2</w:t>
      </w:r>
      <w:r>
        <w:t xml:space="preserve"> </w:t>
      </w:r>
      <w:r>
        <w:t xml:space="preserve">attempts to compare M5 and M6 in order to find out the dynamics of the responses before and after the establishment of the WAMZ. Based on the impulse responses, period after the creation of the WAMZ has not only shown lower responses of domestic economies to both the global and regional shocks but also faster disappearance of both the shocks. Additionally, the paths of the responses to global shocks are similar except for Burkina Faso, Niger and the Gambia for both M5 and M6, and the paths of responses to regional shocks are also similar except for Nigeria and the Gambia in M5.</w:t>
      </w:r>
    </w:p>
    <w:p>
      <w:pPr>
        <w:pStyle w:val="CaptionedFigure"/>
      </w:pPr>
      <w:r>
        <w:drawing>
          <wp:inline>
            <wp:extent cx="5334000" cy="4267200"/>
            <wp:effectExtent b="0" l="0" r="0" t="0"/>
            <wp:docPr descr="Figure 2: Response of Domestic Economies to Regional and Global Shocks (M5 and M6)" title="" id="1" name="Picture"/>
            <a:graphic>
              <a:graphicData uri="http://schemas.openxmlformats.org/drawingml/2006/picture">
                <pic:pic>
                  <pic:nvPicPr>
                    <pic:cNvPr descr="FIGURES/figure2.pdf"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Response of Domestic Economies to Regional and Global Shocks (M5 and M6)</w:t>
      </w:r>
    </w:p>
    <w:p>
      <w:pPr>
        <w:pStyle w:val="Heading2"/>
      </w:pPr>
      <w:bookmarkStart w:id="43" w:name="variance-decomposition"/>
      <w:r>
        <w:t xml:space="preserve">Variance Decomposition</w:t>
      </w:r>
      <w:bookmarkEnd w:id="43"/>
    </w:p>
    <w:p>
      <w:pPr>
        <w:pStyle w:val="FirstParagraph"/>
      </w:pPr>
      <w:r>
        <w:t xml:space="preserve">The idea is that a country should join an MU if the regional shocks dominate, opt for autonomous monetary policy if the shocks are idiosyncratic, or peg its currency against the global currency if the forecast error variance is dominated by the global shocks</w:t>
      </w:r>
      <w:r>
        <w:t xml:space="preserve"> </w:t>
      </w:r>
      <w:r>
        <w:t xml:space="preserve">(Chow &amp; Kim,</w:t>
      </w:r>
      <w:r>
        <w:t xml:space="preserve"> </w:t>
      </w:r>
      <w:hyperlink w:anchor="ref-Chow2003">
        <w:r>
          <w:rPr>
            <w:rStyle w:val="Hyperlink"/>
          </w:rPr>
          <w:t xml:space="preserve">2003</w:t>
        </w:r>
      </w:hyperlink>
      <w:r>
        <w:t xml:space="preserve">; Regmi et al.,</w:t>
      </w:r>
      <w:r>
        <w:t xml:space="preserve"> </w:t>
      </w:r>
      <w:hyperlink w:anchor="ref-Regmi2015">
        <w:r>
          <w:rPr>
            <w:rStyle w:val="Hyperlink"/>
          </w:rPr>
          <w:t xml:space="preserve">2015</w:t>
        </w:r>
      </w:hyperlink>
      <w:r>
        <w:t xml:space="preserve">)</w:t>
      </w:r>
    </w:p>
    <w:p>
      <w:pPr>
        <w:pStyle w:val="BodyText"/>
      </w:pPr>
      <w:r>
        <w:t xml:space="preserve">Tables</w:t>
      </w:r>
      <w:r>
        <w:t xml:space="preserve"> </w:t>
      </w:r>
      <w:r>
        <w:t xml:space="preserve">2</w:t>
      </w:r>
      <w:r>
        <w:t xml:space="preserve"> </w:t>
      </w:r>
      <w:r>
        <w:t xml:space="preserve">and</w:t>
      </w:r>
      <w:r>
        <w:t xml:space="preserve"> </w:t>
      </w:r>
      <w:r>
        <w:t xml:space="preserve">3</w:t>
      </w:r>
      <w:r>
        <w:t xml:space="preserve"> </w:t>
      </w:r>
      <w:r>
        <w:t xml:space="preserve">report the 2-month-ahead and 24-month-ahead variance forecast error of the inflation models. Comparison of M2 and M3 is presented in Table</w:t>
      </w:r>
      <w:r>
        <w:t xml:space="preserve"> </w:t>
      </w:r>
      <w:r>
        <w:t xml:space="preserve">2</w:t>
      </w:r>
      <w:r>
        <w:t xml:space="preserve">, M5 and M6 in Table</w:t>
      </w:r>
      <w:r>
        <w:t xml:space="preserve"> </w:t>
      </w:r>
      <w:r>
        <w:t xml:space="preserve">3</w:t>
      </w:r>
      <w:r>
        <w:t xml:space="preserve">. Again for easy reference, M2-2H denotes 2-month horizon variance decomposition of model M2, while M3-24H represents 24-month horizon variance decomposition of model M3 and so on.</w:t>
      </w:r>
    </w:p>
    <w:p>
      <w:pPr>
        <w:pStyle w:val="BodyText"/>
      </w:pPr>
      <w:r>
        <w:t xml:space="preserve">Comparison of M2 and M3 in Table</w:t>
      </w:r>
      <w:r>
        <w:t xml:space="preserve"> </w:t>
      </w:r>
      <w:r>
        <w:t xml:space="preserve">2</w:t>
      </w:r>
      <w:r>
        <w:t xml:space="preserve"> </w:t>
      </w:r>
      <w:r>
        <w:t xml:space="preserve">provides a greater insight. The M2-2H of the table shows that only Cote D’Ivoire, Niger and Togo had some significant magnitudes of RS before the birth of WAEMU. Their RS magnitudes were 31.07, 67.05 and 50.78 (2-month horizon) and 44.77, 55.92 and 40.47 (24-month horizon) respectively. However, the scenario changed after the birth of WAEMU as only the non-WAEMU Anglophone countries are not RS-dominated. The RS for Ghana, the Gambia and Nigeria after WAEMU creation are 0.24, 13.86 and 26.26 (2-month horizon) and 26.36, 9.68 and 81.59 (24-month horizon) respectively. The implication is that most members became suitable for the common currency after the creation of the common currency.</w:t>
      </w:r>
    </w:p>
    <w:p>
      <w:pPr>
        <w:pStyle w:val="SourceCode"/>
      </w:pPr>
      <w:r>
        <w:rPr>
          <w:rStyle w:val="VerbatimChar"/>
        </w:rPr>
        <w:t xml:space="preserve">## Warning in kable_styling(., latex_options = c("basic", "hold_position"),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VerbatimChar"/>
        </w:rPr>
        <w:t xml:space="preserve">## Warning in add_header_above(., c(` ` = 1, `2-month horizon (M2)` = 3, `2-</w:t>
      </w:r>
      <w:r>
        <w:br w:type="textWrapping"/>
      </w:r>
      <w:r>
        <w:rPr>
          <w:rStyle w:val="VerbatimChar"/>
        </w:rPr>
        <w:t xml:space="preserve">## month horizon (M3)` = 3, :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SourceCode"/>
      </w:pPr>
      <w:r>
        <w:rPr>
          <w:rStyle w:val="VerbatimChar"/>
        </w:rPr>
        <w:t xml:space="preserve">## Warning in row_spec(., row = 1, hline_after = T): Please specify format in</w:t>
      </w:r>
      <w:r>
        <w:br w:type="textWrapping"/>
      </w:r>
      <w:r>
        <w:rPr>
          <w:rStyle w:val="VerbatimChar"/>
        </w:rPr>
        <w:t xml:space="preserve">## kable. kableExtra can customize either HTML or LaTeX outputs. See https://</w:t>
      </w:r>
      <w:r>
        <w:br w:type="textWrapping"/>
      </w:r>
      <w:r>
        <w:rPr>
          <w:rStyle w:val="VerbatimChar"/>
        </w:rPr>
        <w:t xml:space="preserve">## haozhu233.github.io/kableExtra/ for details.</w:t>
      </w:r>
    </w:p>
    <w:p>
      <w:pPr>
        <w:pStyle w:val="SourceCode"/>
      </w:pPr>
      <w:r>
        <w:rPr>
          <w:rStyle w:val="VerbatimChar"/>
        </w:rPr>
        <w:t xml:space="preserve">## Warning in row_spec(., 1, bold = T):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TableCaption"/>
      </w:pPr>
      <w:r>
        <w:t xml:space="preserve">Table 2: Variance decomposition of inflation, M2 and M3</w:t>
      </w:r>
    </w:p>
    <w:tbl>
      <w:tblPr>
        <w:tblStyle w:val="Table"/>
        <w:tblW w:type="pct" w:w="0.0"/>
        <w:tblLook w:firstRow="0"/>
        <w:tblCaption w:val="Table 2: Variance decomposition of inflation, M2 and M3"/>
      </w:tblPr>
      <w:tblGrid/>
      <w:tr>
        <w:tc>
          <w:p>
            <w:pPr>
              <w:pStyle w:val="Compact"/>
              <w:jc w:val="left"/>
            </w:pPr>
            <w:r>
              <w:t xml:space="preserve">Country</w:t>
            </w:r>
          </w:p>
        </w:tc>
        <w:tc>
          <w:p>
            <w:pPr>
              <w:pStyle w:val="Compact"/>
              <w:jc w:val="left"/>
            </w:pPr>
            <w:r>
              <w:t xml:space="preserve">GS</w:t>
            </w:r>
          </w:p>
        </w:tc>
        <w:tc>
          <w:p>
            <w:pPr>
              <w:pStyle w:val="Compact"/>
              <w:jc w:val="left"/>
            </w:pPr>
            <w:r>
              <w:t xml:space="preserve">RS</w:t>
            </w:r>
          </w:p>
        </w:tc>
        <w:tc>
          <w:p>
            <w:pPr>
              <w:pStyle w:val="Compact"/>
              <w:jc w:val="left"/>
            </w:pPr>
            <w:r>
              <w:t xml:space="preserve">DS</w:t>
            </w:r>
          </w:p>
        </w:tc>
        <w:tc>
          <w:p>
            <w:pPr>
              <w:pStyle w:val="Compact"/>
              <w:jc w:val="left"/>
            </w:pPr>
            <w:r>
              <w:t xml:space="preserve">GS</w:t>
            </w:r>
          </w:p>
        </w:tc>
        <w:tc>
          <w:p>
            <w:pPr>
              <w:pStyle w:val="Compact"/>
              <w:jc w:val="left"/>
            </w:pPr>
            <w:r>
              <w:t xml:space="preserve">RS</w:t>
            </w:r>
          </w:p>
        </w:tc>
        <w:tc>
          <w:p>
            <w:pPr>
              <w:pStyle w:val="Compact"/>
              <w:jc w:val="left"/>
            </w:pPr>
            <w:r>
              <w:t xml:space="preserve">DS</w:t>
            </w:r>
          </w:p>
        </w:tc>
        <w:tc>
          <w:p>
            <w:pPr>
              <w:pStyle w:val="Compact"/>
              <w:jc w:val="left"/>
            </w:pPr>
            <w:r>
              <w:t xml:space="preserve">GS</w:t>
            </w:r>
          </w:p>
        </w:tc>
        <w:tc>
          <w:p>
            <w:pPr>
              <w:pStyle w:val="Compact"/>
              <w:jc w:val="left"/>
            </w:pPr>
            <w:r>
              <w:t xml:space="preserve">RS</w:t>
            </w:r>
          </w:p>
        </w:tc>
        <w:tc>
          <w:p>
            <w:pPr>
              <w:pStyle w:val="Compact"/>
              <w:jc w:val="left"/>
            </w:pPr>
            <w:r>
              <w:t xml:space="preserve">DS</w:t>
            </w:r>
          </w:p>
        </w:tc>
        <w:tc>
          <w:p>
            <w:pPr>
              <w:pStyle w:val="Compact"/>
              <w:jc w:val="left"/>
            </w:pPr>
            <w:r>
              <w:t xml:space="preserve">GS</w:t>
            </w:r>
          </w:p>
        </w:tc>
        <w:tc>
          <w:p>
            <w:pPr>
              <w:pStyle w:val="Compact"/>
              <w:jc w:val="left"/>
            </w:pPr>
            <w:r>
              <w:t xml:space="preserve">RS</w:t>
            </w:r>
          </w:p>
        </w:tc>
        <w:tc>
          <w:p>
            <w:pPr>
              <w:pStyle w:val="Compact"/>
              <w:jc w:val="left"/>
            </w:pPr>
            <w:r>
              <w:t xml:space="preserve">DS</w:t>
            </w:r>
          </w:p>
        </w:tc>
      </w:tr>
      <w:tr>
        <w:tc>
          <w:p>
            <w:pPr>
              <w:pStyle w:val="Compact"/>
              <w:jc w:val="left"/>
            </w:pPr>
            <w:r>
              <w:t xml:space="preserve">BFA</w:t>
            </w:r>
          </w:p>
        </w:tc>
        <w:tc>
          <w:p>
            <w:pPr>
              <w:pStyle w:val="Compact"/>
              <w:jc w:val="left"/>
            </w:pPr>
            <w:r>
              <w:t xml:space="preserve">1.93</w:t>
            </w:r>
          </w:p>
        </w:tc>
        <w:tc>
          <w:p>
            <w:pPr>
              <w:pStyle w:val="Compact"/>
              <w:jc w:val="left"/>
            </w:pPr>
            <w:r>
              <w:t xml:space="preserve">13.4</w:t>
            </w:r>
          </w:p>
        </w:tc>
        <w:tc>
          <w:p>
            <w:pPr>
              <w:pStyle w:val="Compact"/>
              <w:jc w:val="left"/>
            </w:pPr>
            <w:r>
              <w:t xml:space="preserve">84.67</w:t>
            </w:r>
          </w:p>
        </w:tc>
        <w:tc>
          <w:p>
            <w:pPr>
              <w:pStyle w:val="Compact"/>
              <w:jc w:val="left"/>
            </w:pPr>
            <w:r>
              <w:t xml:space="preserve">1.39</w:t>
            </w:r>
          </w:p>
        </w:tc>
        <w:tc>
          <w:p>
            <w:pPr>
              <w:pStyle w:val="Compact"/>
              <w:jc w:val="left"/>
            </w:pPr>
            <w:r>
              <w:t xml:space="preserve">75.56</w:t>
            </w:r>
          </w:p>
        </w:tc>
        <w:tc>
          <w:p>
            <w:pPr>
              <w:pStyle w:val="Compact"/>
              <w:jc w:val="left"/>
            </w:pPr>
            <w:r>
              <w:t xml:space="preserve">23.04</w:t>
            </w:r>
          </w:p>
        </w:tc>
        <w:tc>
          <w:p>
            <w:pPr>
              <w:pStyle w:val="Compact"/>
              <w:jc w:val="left"/>
            </w:pPr>
            <w:r>
              <w:t xml:space="preserve">11.97</w:t>
            </w:r>
          </w:p>
        </w:tc>
        <w:tc>
          <w:p>
            <w:pPr>
              <w:pStyle w:val="Compact"/>
              <w:jc w:val="left"/>
            </w:pPr>
            <w:r>
              <w:t xml:space="preserve">23.67</w:t>
            </w:r>
          </w:p>
        </w:tc>
        <w:tc>
          <w:p>
            <w:pPr>
              <w:pStyle w:val="Compact"/>
              <w:jc w:val="left"/>
            </w:pPr>
            <w:r>
              <w:t xml:space="preserve">64.36</w:t>
            </w:r>
          </w:p>
        </w:tc>
        <w:tc>
          <w:p>
            <w:pPr>
              <w:pStyle w:val="Compact"/>
              <w:jc w:val="left"/>
            </w:pPr>
            <w:r>
              <w:t xml:space="preserve">17.96</w:t>
            </w:r>
          </w:p>
        </w:tc>
        <w:tc>
          <w:p>
            <w:pPr>
              <w:pStyle w:val="Compact"/>
              <w:jc w:val="left"/>
            </w:pPr>
            <w:r>
              <w:t xml:space="preserve">73.51</w:t>
            </w:r>
          </w:p>
        </w:tc>
        <w:tc>
          <w:p>
            <w:pPr>
              <w:pStyle w:val="Compact"/>
              <w:jc w:val="left"/>
            </w:pPr>
            <w:r>
              <w:t xml:space="preserve">8.54</w:t>
            </w:r>
          </w:p>
        </w:tc>
      </w:tr>
      <w:tr>
        <w:tc>
          <w:p>
            <w:pPr>
              <w:pStyle w:val="Compact"/>
              <w:jc w:val="left"/>
            </w:pPr>
            <w:r>
              <w:t xml:space="preserve">CIV</w:t>
            </w:r>
          </w:p>
        </w:tc>
        <w:tc>
          <w:p>
            <w:pPr>
              <w:pStyle w:val="Compact"/>
              <w:jc w:val="left"/>
            </w:pPr>
            <w:r>
              <w:t xml:space="preserve">1.43</w:t>
            </w:r>
          </w:p>
        </w:tc>
        <w:tc>
          <w:p>
            <w:pPr>
              <w:pStyle w:val="Compact"/>
              <w:jc w:val="left"/>
            </w:pPr>
            <w:r>
              <w:t xml:space="preserve">31.07</w:t>
            </w:r>
          </w:p>
        </w:tc>
        <w:tc>
          <w:p>
            <w:pPr>
              <w:pStyle w:val="Compact"/>
              <w:jc w:val="left"/>
            </w:pPr>
            <w:r>
              <w:t xml:space="preserve">67.5</w:t>
            </w:r>
          </w:p>
        </w:tc>
        <w:tc>
          <w:p>
            <w:pPr>
              <w:pStyle w:val="Compact"/>
              <w:jc w:val="left"/>
            </w:pPr>
            <w:r>
              <w:t xml:space="preserve">1.39</w:t>
            </w:r>
          </w:p>
        </w:tc>
        <w:tc>
          <w:p>
            <w:pPr>
              <w:pStyle w:val="Compact"/>
              <w:jc w:val="left"/>
            </w:pPr>
            <w:r>
              <w:t xml:space="preserve">66.47</w:t>
            </w:r>
          </w:p>
        </w:tc>
        <w:tc>
          <w:p>
            <w:pPr>
              <w:pStyle w:val="Compact"/>
              <w:jc w:val="left"/>
            </w:pPr>
            <w:r>
              <w:t xml:space="preserve">32.14</w:t>
            </w:r>
          </w:p>
        </w:tc>
        <w:tc>
          <w:p>
            <w:pPr>
              <w:pStyle w:val="Compact"/>
              <w:jc w:val="left"/>
            </w:pPr>
            <w:r>
              <w:t xml:space="preserve">13.71</w:t>
            </w:r>
          </w:p>
        </w:tc>
        <w:tc>
          <w:p>
            <w:pPr>
              <w:pStyle w:val="Compact"/>
              <w:jc w:val="left"/>
            </w:pPr>
            <w:r>
              <w:t xml:space="preserve">44.77</w:t>
            </w:r>
          </w:p>
        </w:tc>
        <w:tc>
          <w:p>
            <w:pPr>
              <w:pStyle w:val="Compact"/>
              <w:jc w:val="left"/>
            </w:pPr>
            <w:r>
              <w:t xml:space="preserve">41.52</w:t>
            </w:r>
          </w:p>
        </w:tc>
        <w:tc>
          <w:p>
            <w:pPr>
              <w:pStyle w:val="Compact"/>
              <w:jc w:val="left"/>
            </w:pPr>
            <w:r>
              <w:t xml:space="preserve">8.49</w:t>
            </w:r>
          </w:p>
        </w:tc>
        <w:tc>
          <w:p>
            <w:pPr>
              <w:pStyle w:val="Compact"/>
              <w:jc w:val="left"/>
            </w:pPr>
            <w:r>
              <w:t xml:space="preserve">77.89</w:t>
            </w:r>
          </w:p>
        </w:tc>
        <w:tc>
          <w:p>
            <w:pPr>
              <w:pStyle w:val="Compact"/>
              <w:jc w:val="left"/>
            </w:pPr>
            <w:r>
              <w:t xml:space="preserve">13.62</w:t>
            </w:r>
          </w:p>
        </w:tc>
      </w:tr>
      <w:tr>
        <w:tc>
          <w:p>
            <w:pPr>
              <w:pStyle w:val="Compact"/>
              <w:jc w:val="left"/>
            </w:pPr>
            <w:r>
              <w:t xml:space="preserve">GHA</w:t>
            </w:r>
          </w:p>
        </w:tc>
        <w:tc>
          <w:p>
            <w:pPr>
              <w:pStyle w:val="Compact"/>
              <w:jc w:val="left"/>
            </w:pPr>
            <w:r>
              <w:t xml:space="preserve">2.86</w:t>
            </w:r>
          </w:p>
        </w:tc>
        <w:tc>
          <w:p>
            <w:pPr>
              <w:pStyle w:val="Compact"/>
              <w:jc w:val="left"/>
            </w:pPr>
            <w:r>
              <w:t xml:space="preserve">16.39</w:t>
            </w:r>
          </w:p>
        </w:tc>
        <w:tc>
          <w:p>
            <w:pPr>
              <w:pStyle w:val="Compact"/>
              <w:jc w:val="left"/>
            </w:pPr>
            <w:r>
              <w:t xml:space="preserve">80.75</w:t>
            </w:r>
          </w:p>
        </w:tc>
        <w:tc>
          <w:p>
            <w:pPr>
              <w:pStyle w:val="Compact"/>
              <w:jc w:val="left"/>
            </w:pPr>
            <w:r>
              <w:t xml:space="preserve">1.24</w:t>
            </w:r>
          </w:p>
        </w:tc>
        <w:tc>
          <w:p>
            <w:pPr>
              <w:pStyle w:val="Compact"/>
              <w:jc w:val="left"/>
            </w:pPr>
            <w:r>
              <w:t xml:space="preserve">0.24</w:t>
            </w:r>
          </w:p>
        </w:tc>
        <w:tc>
          <w:p>
            <w:pPr>
              <w:pStyle w:val="Compact"/>
              <w:jc w:val="left"/>
            </w:pPr>
            <w:r>
              <w:t xml:space="preserve">98.52</w:t>
            </w:r>
          </w:p>
        </w:tc>
        <w:tc>
          <w:p>
            <w:pPr>
              <w:pStyle w:val="Compact"/>
              <w:jc w:val="left"/>
            </w:pPr>
            <w:r>
              <w:t xml:space="preserve">6.17</w:t>
            </w:r>
          </w:p>
        </w:tc>
        <w:tc>
          <w:p>
            <w:pPr>
              <w:pStyle w:val="Compact"/>
              <w:jc w:val="left"/>
            </w:pPr>
            <w:r>
              <w:t xml:space="preserve">24.45</w:t>
            </w:r>
          </w:p>
        </w:tc>
        <w:tc>
          <w:p>
            <w:pPr>
              <w:pStyle w:val="Compact"/>
              <w:jc w:val="left"/>
            </w:pPr>
            <w:r>
              <w:t xml:space="preserve">69.38</w:t>
            </w:r>
          </w:p>
        </w:tc>
        <w:tc>
          <w:p>
            <w:pPr>
              <w:pStyle w:val="Compact"/>
              <w:jc w:val="left"/>
            </w:pPr>
            <w:r>
              <w:t xml:space="preserve">2.93</w:t>
            </w:r>
          </w:p>
        </w:tc>
        <w:tc>
          <w:p>
            <w:pPr>
              <w:pStyle w:val="Compact"/>
              <w:jc w:val="left"/>
            </w:pPr>
            <w:r>
              <w:t xml:space="preserve">26.36</w:t>
            </w:r>
          </w:p>
        </w:tc>
        <w:tc>
          <w:p>
            <w:pPr>
              <w:pStyle w:val="Compact"/>
              <w:jc w:val="left"/>
            </w:pPr>
            <w:r>
              <w:t xml:space="preserve">70.7</w:t>
            </w:r>
          </w:p>
        </w:tc>
      </w:tr>
      <w:tr>
        <w:tc>
          <w:p>
            <w:pPr>
              <w:pStyle w:val="Compact"/>
              <w:jc w:val="left"/>
            </w:pPr>
            <w:r>
              <w:t xml:space="preserve">GMB</w:t>
            </w:r>
          </w:p>
        </w:tc>
        <w:tc>
          <w:p>
            <w:pPr>
              <w:pStyle w:val="Compact"/>
              <w:jc w:val="left"/>
            </w:pPr>
            <w:r>
              <w:t xml:space="preserve">4.85</w:t>
            </w:r>
          </w:p>
        </w:tc>
        <w:tc>
          <w:p>
            <w:pPr>
              <w:pStyle w:val="Compact"/>
              <w:jc w:val="left"/>
            </w:pPr>
            <w:r>
              <w:t xml:space="preserve">7.89</w:t>
            </w:r>
          </w:p>
        </w:tc>
        <w:tc>
          <w:p>
            <w:pPr>
              <w:pStyle w:val="Compact"/>
              <w:jc w:val="left"/>
            </w:pPr>
            <w:r>
              <w:t xml:space="preserve">87.26</w:t>
            </w:r>
          </w:p>
        </w:tc>
        <w:tc>
          <w:p>
            <w:pPr>
              <w:pStyle w:val="Compact"/>
              <w:jc w:val="left"/>
            </w:pPr>
            <w:r>
              <w:t xml:space="preserve">0.04</w:t>
            </w:r>
          </w:p>
        </w:tc>
        <w:tc>
          <w:p>
            <w:pPr>
              <w:pStyle w:val="Compact"/>
              <w:jc w:val="left"/>
            </w:pPr>
            <w:r>
              <w:t xml:space="preserve">13.86</w:t>
            </w:r>
          </w:p>
        </w:tc>
        <w:tc>
          <w:p>
            <w:pPr>
              <w:pStyle w:val="Compact"/>
              <w:jc w:val="left"/>
            </w:pPr>
            <w:r>
              <w:t xml:space="preserve">86.1</w:t>
            </w:r>
          </w:p>
        </w:tc>
        <w:tc>
          <w:p>
            <w:pPr>
              <w:pStyle w:val="Compact"/>
              <w:jc w:val="left"/>
            </w:pPr>
            <w:r>
              <w:t xml:space="preserve">21.62</w:t>
            </w:r>
          </w:p>
        </w:tc>
        <w:tc>
          <w:p>
            <w:pPr>
              <w:pStyle w:val="Compact"/>
              <w:jc w:val="left"/>
            </w:pPr>
            <w:r>
              <w:t xml:space="preserve">4.79</w:t>
            </w:r>
          </w:p>
        </w:tc>
        <w:tc>
          <w:p>
            <w:pPr>
              <w:pStyle w:val="Compact"/>
              <w:jc w:val="left"/>
            </w:pPr>
            <w:r>
              <w:t xml:space="preserve">73.59</w:t>
            </w:r>
          </w:p>
        </w:tc>
        <w:tc>
          <w:p>
            <w:pPr>
              <w:pStyle w:val="Compact"/>
              <w:jc w:val="left"/>
            </w:pPr>
            <w:r>
              <w:t xml:space="preserve">0.25</w:t>
            </w:r>
          </w:p>
        </w:tc>
        <w:tc>
          <w:p>
            <w:pPr>
              <w:pStyle w:val="Compact"/>
              <w:jc w:val="left"/>
            </w:pPr>
            <w:r>
              <w:t xml:space="preserve">9.68</w:t>
            </w:r>
          </w:p>
        </w:tc>
        <w:tc>
          <w:p>
            <w:pPr>
              <w:pStyle w:val="Compact"/>
              <w:jc w:val="left"/>
            </w:pPr>
            <w:r>
              <w:t xml:space="preserve">90.07</w:t>
            </w:r>
          </w:p>
        </w:tc>
      </w:tr>
      <w:tr>
        <w:tc>
          <w:p>
            <w:pPr>
              <w:pStyle w:val="Compact"/>
              <w:jc w:val="left"/>
            </w:pPr>
            <w:r>
              <w:t xml:space="preserve">NER</w:t>
            </w:r>
          </w:p>
        </w:tc>
        <w:tc>
          <w:p>
            <w:pPr>
              <w:pStyle w:val="Compact"/>
              <w:jc w:val="left"/>
            </w:pPr>
            <w:r>
              <w:t xml:space="preserve">0.05</w:t>
            </w:r>
          </w:p>
        </w:tc>
        <w:tc>
          <w:p>
            <w:pPr>
              <w:pStyle w:val="Compact"/>
              <w:jc w:val="left"/>
            </w:pPr>
            <w:r>
              <w:t xml:space="preserve">67.05</w:t>
            </w:r>
          </w:p>
        </w:tc>
        <w:tc>
          <w:p>
            <w:pPr>
              <w:pStyle w:val="Compact"/>
              <w:jc w:val="left"/>
            </w:pPr>
            <w:r>
              <w:t xml:space="preserve">32.9</w:t>
            </w:r>
          </w:p>
        </w:tc>
        <w:tc>
          <w:p>
            <w:pPr>
              <w:pStyle w:val="Compact"/>
              <w:jc w:val="left"/>
            </w:pPr>
            <w:r>
              <w:t xml:space="preserve">1.24</w:t>
            </w:r>
          </w:p>
        </w:tc>
        <w:tc>
          <w:p>
            <w:pPr>
              <w:pStyle w:val="Compact"/>
              <w:jc w:val="left"/>
            </w:pPr>
            <w:r>
              <w:t xml:space="preserve">76.24</w:t>
            </w:r>
          </w:p>
        </w:tc>
        <w:tc>
          <w:p>
            <w:pPr>
              <w:pStyle w:val="Compact"/>
              <w:jc w:val="left"/>
            </w:pPr>
            <w:r>
              <w:t xml:space="preserve">22.52</w:t>
            </w:r>
          </w:p>
        </w:tc>
        <w:tc>
          <w:p>
            <w:pPr>
              <w:pStyle w:val="Compact"/>
              <w:jc w:val="left"/>
            </w:pPr>
            <w:r>
              <w:t xml:space="preserve">18.38</w:t>
            </w:r>
          </w:p>
        </w:tc>
        <w:tc>
          <w:p>
            <w:pPr>
              <w:pStyle w:val="Compact"/>
              <w:jc w:val="left"/>
            </w:pPr>
            <w:r>
              <w:t xml:space="preserve">55.92</w:t>
            </w:r>
          </w:p>
        </w:tc>
        <w:tc>
          <w:p>
            <w:pPr>
              <w:pStyle w:val="Compact"/>
              <w:jc w:val="left"/>
            </w:pPr>
            <w:r>
              <w:t xml:space="preserve">25.71</w:t>
            </w:r>
          </w:p>
        </w:tc>
        <w:tc>
          <w:p>
            <w:pPr>
              <w:pStyle w:val="Compact"/>
              <w:jc w:val="left"/>
            </w:pPr>
            <w:r>
              <w:t xml:space="preserve">10.19</w:t>
            </w:r>
          </w:p>
        </w:tc>
        <w:tc>
          <w:p>
            <w:pPr>
              <w:pStyle w:val="Compact"/>
              <w:jc w:val="left"/>
            </w:pPr>
            <w:r>
              <w:t xml:space="preserve">83.76</w:t>
            </w:r>
          </w:p>
        </w:tc>
        <w:tc>
          <w:p>
            <w:pPr>
              <w:pStyle w:val="Compact"/>
              <w:jc w:val="left"/>
            </w:pPr>
            <w:r>
              <w:t xml:space="preserve">6.04</w:t>
            </w:r>
          </w:p>
        </w:tc>
      </w:tr>
      <w:tr>
        <w:tc>
          <w:p>
            <w:pPr>
              <w:pStyle w:val="Compact"/>
              <w:jc w:val="left"/>
            </w:pPr>
            <w:r>
              <w:t xml:space="preserve">NGA</w:t>
            </w:r>
          </w:p>
        </w:tc>
        <w:tc>
          <w:p>
            <w:pPr>
              <w:pStyle w:val="Compact"/>
              <w:jc w:val="left"/>
            </w:pPr>
            <w:r>
              <w:t xml:space="preserve">2.07</w:t>
            </w:r>
          </w:p>
        </w:tc>
        <w:tc>
          <w:p>
            <w:pPr>
              <w:pStyle w:val="Compact"/>
              <w:jc w:val="left"/>
            </w:pPr>
            <w:r>
              <w:t xml:space="preserve">2.14</w:t>
            </w:r>
          </w:p>
        </w:tc>
        <w:tc>
          <w:p>
            <w:pPr>
              <w:pStyle w:val="Compact"/>
              <w:jc w:val="left"/>
            </w:pPr>
            <w:r>
              <w:t xml:space="preserve">95.8</w:t>
            </w:r>
          </w:p>
        </w:tc>
        <w:tc>
          <w:p>
            <w:pPr>
              <w:pStyle w:val="Compact"/>
              <w:jc w:val="left"/>
            </w:pPr>
            <w:r>
              <w:t xml:space="preserve">1.53</w:t>
            </w:r>
          </w:p>
        </w:tc>
        <w:tc>
          <w:p>
            <w:pPr>
              <w:pStyle w:val="Compact"/>
              <w:jc w:val="left"/>
            </w:pPr>
            <w:r>
              <w:t xml:space="preserve">26.26</w:t>
            </w:r>
          </w:p>
        </w:tc>
        <w:tc>
          <w:p>
            <w:pPr>
              <w:pStyle w:val="Compact"/>
              <w:jc w:val="left"/>
            </w:pPr>
            <w:r>
              <w:t xml:space="preserve">72.22</w:t>
            </w:r>
          </w:p>
        </w:tc>
        <w:tc>
          <w:p>
            <w:pPr>
              <w:pStyle w:val="Compact"/>
              <w:jc w:val="left"/>
            </w:pPr>
            <w:r>
              <w:t xml:space="preserve">13.15</w:t>
            </w:r>
          </w:p>
        </w:tc>
        <w:tc>
          <w:p>
            <w:pPr>
              <w:pStyle w:val="Compact"/>
              <w:jc w:val="left"/>
            </w:pPr>
            <w:r>
              <w:t xml:space="preserve">3.32</w:t>
            </w:r>
          </w:p>
        </w:tc>
        <w:tc>
          <w:p>
            <w:pPr>
              <w:pStyle w:val="Compact"/>
              <w:jc w:val="left"/>
            </w:pPr>
            <w:r>
              <w:t xml:space="preserve">83.53</w:t>
            </w:r>
          </w:p>
        </w:tc>
        <w:tc>
          <w:p>
            <w:pPr>
              <w:pStyle w:val="Compact"/>
              <w:jc w:val="left"/>
            </w:pPr>
            <w:r>
              <w:t xml:space="preserve">0.97</w:t>
            </w:r>
          </w:p>
        </w:tc>
        <w:tc>
          <w:p>
            <w:pPr>
              <w:pStyle w:val="Compact"/>
              <w:jc w:val="left"/>
            </w:pPr>
            <w:r>
              <w:t xml:space="preserve">81.59</w:t>
            </w:r>
          </w:p>
        </w:tc>
        <w:tc>
          <w:p>
            <w:pPr>
              <w:pStyle w:val="Compact"/>
              <w:jc w:val="left"/>
            </w:pPr>
            <w:r>
              <w:t xml:space="preserve">17.44</w:t>
            </w:r>
          </w:p>
        </w:tc>
      </w:tr>
      <w:tr>
        <w:tc>
          <w:p>
            <w:pPr>
              <w:pStyle w:val="Compact"/>
              <w:jc w:val="left"/>
            </w:pPr>
            <w:r>
              <w:t xml:space="preserve">SEN</w:t>
            </w:r>
          </w:p>
        </w:tc>
        <w:tc>
          <w:p>
            <w:pPr>
              <w:pStyle w:val="Compact"/>
              <w:jc w:val="left"/>
            </w:pPr>
            <w:r>
              <w:t xml:space="preserve">0.25</w:t>
            </w:r>
          </w:p>
        </w:tc>
        <w:tc>
          <w:p>
            <w:pPr>
              <w:pStyle w:val="Compact"/>
              <w:jc w:val="left"/>
            </w:pPr>
            <w:r>
              <w:t xml:space="preserve">4.07</w:t>
            </w:r>
          </w:p>
        </w:tc>
        <w:tc>
          <w:p>
            <w:pPr>
              <w:pStyle w:val="Compact"/>
              <w:jc w:val="left"/>
            </w:pPr>
            <w:r>
              <w:t xml:space="preserve">95.68</w:t>
            </w:r>
          </w:p>
        </w:tc>
        <w:tc>
          <w:p>
            <w:pPr>
              <w:pStyle w:val="Compact"/>
              <w:jc w:val="left"/>
            </w:pPr>
            <w:r>
              <w:t xml:space="preserve">0.39</w:t>
            </w:r>
          </w:p>
        </w:tc>
        <w:tc>
          <w:p>
            <w:pPr>
              <w:pStyle w:val="Compact"/>
              <w:jc w:val="left"/>
            </w:pPr>
            <w:r>
              <w:t xml:space="preserve">85.99</w:t>
            </w:r>
          </w:p>
        </w:tc>
        <w:tc>
          <w:p>
            <w:pPr>
              <w:pStyle w:val="Compact"/>
              <w:jc w:val="left"/>
            </w:pPr>
            <w:r>
              <w:t xml:space="preserve">13.62</w:t>
            </w:r>
          </w:p>
        </w:tc>
        <w:tc>
          <w:p>
            <w:pPr>
              <w:pStyle w:val="Compact"/>
              <w:jc w:val="left"/>
            </w:pPr>
            <w:r>
              <w:t xml:space="preserve">10.68</w:t>
            </w:r>
          </w:p>
        </w:tc>
        <w:tc>
          <w:p>
            <w:pPr>
              <w:pStyle w:val="Compact"/>
              <w:jc w:val="left"/>
            </w:pPr>
            <w:r>
              <w:t xml:space="preserve">12.38</w:t>
            </w:r>
          </w:p>
        </w:tc>
        <w:tc>
          <w:p>
            <w:pPr>
              <w:pStyle w:val="Compact"/>
              <w:jc w:val="left"/>
            </w:pPr>
            <w:r>
              <w:t xml:space="preserve">76.94</w:t>
            </w:r>
          </w:p>
        </w:tc>
        <w:tc>
          <w:p>
            <w:pPr>
              <w:pStyle w:val="Compact"/>
              <w:jc w:val="left"/>
            </w:pPr>
            <w:r>
              <w:t xml:space="preserve">6.3</w:t>
            </w:r>
          </w:p>
        </w:tc>
        <w:tc>
          <w:p>
            <w:pPr>
              <w:pStyle w:val="Compact"/>
              <w:jc w:val="left"/>
            </w:pPr>
            <w:r>
              <w:t xml:space="preserve">81.84</w:t>
            </w:r>
          </w:p>
        </w:tc>
        <w:tc>
          <w:p>
            <w:pPr>
              <w:pStyle w:val="Compact"/>
              <w:jc w:val="left"/>
            </w:pPr>
            <w:r>
              <w:t xml:space="preserve">11.87</w:t>
            </w:r>
          </w:p>
        </w:tc>
      </w:tr>
      <w:tr>
        <w:tc>
          <w:p>
            <w:pPr>
              <w:pStyle w:val="Compact"/>
              <w:jc w:val="left"/>
            </w:pPr>
            <w:r>
              <w:t xml:space="preserve">TGO</w:t>
            </w:r>
          </w:p>
        </w:tc>
        <w:tc>
          <w:p>
            <w:pPr>
              <w:pStyle w:val="Compact"/>
              <w:jc w:val="left"/>
            </w:pPr>
            <w:r>
              <w:t xml:space="preserve">0.85</w:t>
            </w:r>
          </w:p>
        </w:tc>
        <w:tc>
          <w:p>
            <w:pPr>
              <w:pStyle w:val="Compact"/>
              <w:jc w:val="left"/>
            </w:pPr>
            <w:r>
              <w:t xml:space="preserve">50.78</w:t>
            </w:r>
          </w:p>
        </w:tc>
        <w:tc>
          <w:p>
            <w:pPr>
              <w:pStyle w:val="Compact"/>
              <w:jc w:val="left"/>
            </w:pPr>
            <w:r>
              <w:t xml:space="preserve">48.37</w:t>
            </w:r>
          </w:p>
        </w:tc>
        <w:tc>
          <w:p>
            <w:pPr>
              <w:pStyle w:val="Compact"/>
              <w:jc w:val="left"/>
            </w:pPr>
            <w:r>
              <w:t xml:space="preserve">0.87</w:t>
            </w:r>
          </w:p>
        </w:tc>
        <w:tc>
          <w:p>
            <w:pPr>
              <w:pStyle w:val="Compact"/>
              <w:jc w:val="left"/>
            </w:pPr>
            <w:r>
              <w:t xml:space="preserve">32.97</w:t>
            </w:r>
          </w:p>
        </w:tc>
        <w:tc>
          <w:p>
            <w:pPr>
              <w:pStyle w:val="Compact"/>
              <w:jc w:val="left"/>
            </w:pPr>
            <w:r>
              <w:t xml:space="preserve">66.16</w:t>
            </w:r>
          </w:p>
        </w:tc>
        <w:tc>
          <w:p>
            <w:pPr>
              <w:pStyle w:val="Compact"/>
              <w:jc w:val="left"/>
            </w:pPr>
            <w:r>
              <w:t xml:space="preserve">19.92</w:t>
            </w:r>
          </w:p>
        </w:tc>
        <w:tc>
          <w:p>
            <w:pPr>
              <w:pStyle w:val="Compact"/>
              <w:jc w:val="left"/>
            </w:pPr>
            <w:r>
              <w:t xml:space="preserve">40.47</w:t>
            </w:r>
          </w:p>
        </w:tc>
        <w:tc>
          <w:p>
            <w:pPr>
              <w:pStyle w:val="Compact"/>
              <w:jc w:val="left"/>
            </w:pPr>
            <w:r>
              <w:t xml:space="preserve">39.6</w:t>
            </w:r>
          </w:p>
        </w:tc>
        <w:tc>
          <w:p>
            <w:pPr>
              <w:pStyle w:val="Compact"/>
              <w:jc w:val="left"/>
            </w:pPr>
            <w:r>
              <w:t xml:space="preserve">9.29</w:t>
            </w:r>
          </w:p>
        </w:tc>
        <w:tc>
          <w:p>
            <w:pPr>
              <w:pStyle w:val="Compact"/>
              <w:jc w:val="left"/>
            </w:pPr>
            <w:r>
              <w:t xml:space="preserve">59.92</w:t>
            </w:r>
          </w:p>
        </w:tc>
        <w:tc>
          <w:p>
            <w:pPr>
              <w:pStyle w:val="Compact"/>
              <w:jc w:val="left"/>
            </w:pPr>
            <w:r>
              <w:t xml:space="preserve">30.79</w:t>
            </w:r>
          </w:p>
        </w:tc>
      </w:tr>
    </w:tbl>
    <w:p>
      <w:pPr>
        <w:pStyle w:val="BodyText"/>
      </w:pPr>
      <w:r>
        <w:t xml:space="preserve">To make comparison between the period before and after the birth of WAMZ, Table</w:t>
      </w:r>
      <w:r>
        <w:t xml:space="preserve"> </w:t>
      </w:r>
      <w:r>
        <w:t xml:space="preserve">3</w:t>
      </w:r>
      <w:r>
        <w:t xml:space="preserve"> </w:t>
      </w:r>
      <w:r>
        <w:t xml:space="preserve">reports the variance decomposition of M5 and M6. According to M6-2H and M6-24H, Ghana, the Gambia and Nigeria are still not RS-dominated even after the creation of WAMZ, as their RS magnitudes are 45.70, 0.49 and 1.71 (2-month horizon) and 26.94, 0.30 and 5.78 (24-month horizon). This means that Anglophone countries are not ready for the common currency.</w:t>
      </w:r>
    </w:p>
    <w:p>
      <w:pPr>
        <w:pStyle w:val="SourceCode"/>
      </w:pPr>
      <w:r>
        <w:rPr>
          <w:rStyle w:val="VerbatimChar"/>
        </w:rPr>
        <w:t xml:space="preserve">## Warning in kable_styling(., latex_options = c("basic", "hold_position"),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VerbatimChar"/>
        </w:rPr>
        <w:t xml:space="preserve">## Warning in add_header_above(., c(` ` = 1, `2-month horizon (M5)` = 3, `2-</w:t>
      </w:r>
      <w:r>
        <w:br w:type="textWrapping"/>
      </w:r>
      <w:r>
        <w:rPr>
          <w:rStyle w:val="VerbatimChar"/>
        </w:rPr>
        <w:t xml:space="preserve">## month horizon (M6)` = 3, :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SourceCode"/>
      </w:pPr>
      <w:r>
        <w:rPr>
          <w:rStyle w:val="VerbatimChar"/>
        </w:rPr>
        <w:t xml:space="preserve">## Warning in row_spec(., row = 1, hline_after = T): Please specify format in</w:t>
      </w:r>
      <w:r>
        <w:br w:type="textWrapping"/>
      </w:r>
      <w:r>
        <w:rPr>
          <w:rStyle w:val="VerbatimChar"/>
        </w:rPr>
        <w:t xml:space="preserve">## kable. kableExtra can customize either HTML or LaTeX outputs. See https://</w:t>
      </w:r>
      <w:r>
        <w:br w:type="textWrapping"/>
      </w:r>
      <w:r>
        <w:rPr>
          <w:rStyle w:val="VerbatimChar"/>
        </w:rPr>
        <w:t xml:space="preserve">## haozhu233.github.io/kableExtra/ for details.</w:t>
      </w:r>
    </w:p>
    <w:p>
      <w:pPr>
        <w:pStyle w:val="SourceCode"/>
      </w:pPr>
      <w:r>
        <w:rPr>
          <w:rStyle w:val="VerbatimChar"/>
        </w:rPr>
        <w:t xml:space="preserve">## Warning in row_spec(., 1, bold = T):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TableCaption"/>
      </w:pPr>
      <w:r>
        <w:t xml:space="preserve">Table 3:</w:t>
      </w:r>
      <w:r>
        <w:t xml:space="preserve"> </w:t>
      </w:r>
    </w:p>
    <w:tbl>
      <w:tblPr>
        <w:tblStyle w:val="Table"/>
        <w:tblW w:type="pct" w:w="0.0"/>
        <w:tblLook w:firstRow="0"/>
        <w:tblCaption w:val="Table 3: "/>
      </w:tblPr>
      <w:tblGrid/>
      <w:tr>
        <w:tc>
          <w:p>
            <w:pPr>
              <w:pStyle w:val="Compact"/>
              <w:jc w:val="left"/>
            </w:pPr>
            <w:r>
              <w:t xml:space="preserve">Country</w:t>
            </w:r>
          </w:p>
        </w:tc>
        <w:tc>
          <w:p>
            <w:pPr>
              <w:pStyle w:val="Compact"/>
              <w:jc w:val="left"/>
            </w:pPr>
            <w:r>
              <w:t xml:space="preserve">GS</w:t>
            </w:r>
          </w:p>
        </w:tc>
        <w:tc>
          <w:p>
            <w:pPr>
              <w:pStyle w:val="Compact"/>
              <w:jc w:val="left"/>
            </w:pPr>
            <w:r>
              <w:t xml:space="preserve">RS</w:t>
            </w:r>
          </w:p>
        </w:tc>
        <w:tc>
          <w:p>
            <w:pPr>
              <w:pStyle w:val="Compact"/>
              <w:jc w:val="left"/>
            </w:pPr>
            <w:r>
              <w:t xml:space="preserve">DS</w:t>
            </w:r>
          </w:p>
        </w:tc>
        <w:tc>
          <w:p>
            <w:pPr>
              <w:pStyle w:val="Compact"/>
              <w:jc w:val="left"/>
            </w:pPr>
            <w:r>
              <w:t xml:space="preserve">GS</w:t>
            </w:r>
          </w:p>
        </w:tc>
        <w:tc>
          <w:p>
            <w:pPr>
              <w:pStyle w:val="Compact"/>
              <w:jc w:val="left"/>
            </w:pPr>
            <w:r>
              <w:t xml:space="preserve">RS</w:t>
            </w:r>
          </w:p>
        </w:tc>
        <w:tc>
          <w:p>
            <w:pPr>
              <w:pStyle w:val="Compact"/>
              <w:jc w:val="left"/>
            </w:pPr>
            <w:r>
              <w:t xml:space="preserve">DS</w:t>
            </w:r>
          </w:p>
        </w:tc>
        <w:tc>
          <w:p>
            <w:pPr>
              <w:pStyle w:val="Compact"/>
              <w:jc w:val="left"/>
            </w:pPr>
            <w:r>
              <w:t xml:space="preserve">GS</w:t>
            </w:r>
          </w:p>
        </w:tc>
        <w:tc>
          <w:p>
            <w:pPr>
              <w:pStyle w:val="Compact"/>
              <w:jc w:val="left"/>
            </w:pPr>
            <w:r>
              <w:t xml:space="preserve">RS</w:t>
            </w:r>
          </w:p>
        </w:tc>
        <w:tc>
          <w:p>
            <w:pPr>
              <w:pStyle w:val="Compact"/>
              <w:jc w:val="left"/>
            </w:pPr>
            <w:r>
              <w:t xml:space="preserve">DS</w:t>
            </w:r>
          </w:p>
        </w:tc>
        <w:tc>
          <w:p>
            <w:pPr>
              <w:pStyle w:val="Compact"/>
              <w:jc w:val="left"/>
            </w:pPr>
            <w:r>
              <w:t xml:space="preserve">GS</w:t>
            </w:r>
          </w:p>
        </w:tc>
        <w:tc>
          <w:p>
            <w:pPr>
              <w:pStyle w:val="Compact"/>
              <w:jc w:val="left"/>
            </w:pPr>
            <w:r>
              <w:t xml:space="preserve">RS</w:t>
            </w:r>
          </w:p>
        </w:tc>
        <w:tc>
          <w:p>
            <w:pPr>
              <w:pStyle w:val="Compact"/>
              <w:jc w:val="left"/>
            </w:pPr>
            <w:r>
              <w:t xml:space="preserve">DS</w:t>
            </w:r>
          </w:p>
        </w:tc>
      </w:tr>
      <w:tr>
        <w:tc>
          <w:p>
            <w:pPr>
              <w:pStyle w:val="Compact"/>
              <w:jc w:val="left"/>
            </w:pPr>
            <w:r>
              <w:t xml:space="preserve">BFA</w:t>
            </w:r>
          </w:p>
        </w:tc>
        <w:tc>
          <w:p>
            <w:pPr>
              <w:pStyle w:val="Compact"/>
              <w:jc w:val="left"/>
            </w:pPr>
            <w:r>
              <w:t xml:space="preserve">1.42</w:t>
            </w:r>
          </w:p>
        </w:tc>
        <w:tc>
          <w:p>
            <w:pPr>
              <w:pStyle w:val="Compact"/>
              <w:jc w:val="left"/>
            </w:pPr>
            <w:r>
              <w:t xml:space="preserve">22.41</w:t>
            </w:r>
          </w:p>
        </w:tc>
        <w:tc>
          <w:p>
            <w:pPr>
              <w:pStyle w:val="Compact"/>
              <w:jc w:val="left"/>
            </w:pPr>
            <w:r>
              <w:t xml:space="preserve">76.17</w:t>
            </w:r>
          </w:p>
        </w:tc>
        <w:tc>
          <w:p>
            <w:pPr>
              <w:pStyle w:val="Compact"/>
              <w:jc w:val="left"/>
            </w:pPr>
            <w:r>
              <w:t xml:space="preserve">0.83</w:t>
            </w:r>
          </w:p>
        </w:tc>
        <w:tc>
          <w:p>
            <w:pPr>
              <w:pStyle w:val="Compact"/>
              <w:jc w:val="left"/>
            </w:pPr>
            <w:r>
              <w:t xml:space="preserve">22.49</w:t>
            </w:r>
          </w:p>
        </w:tc>
        <w:tc>
          <w:p>
            <w:pPr>
              <w:pStyle w:val="Compact"/>
              <w:jc w:val="left"/>
            </w:pPr>
            <w:r>
              <w:t xml:space="preserve">76.68</w:t>
            </w:r>
          </w:p>
        </w:tc>
        <w:tc>
          <w:p>
            <w:pPr>
              <w:pStyle w:val="Compact"/>
              <w:jc w:val="left"/>
            </w:pPr>
            <w:r>
              <w:t xml:space="preserve">3.83</w:t>
            </w:r>
          </w:p>
        </w:tc>
        <w:tc>
          <w:p>
            <w:pPr>
              <w:pStyle w:val="Compact"/>
              <w:jc w:val="left"/>
            </w:pPr>
            <w:r>
              <w:t xml:space="preserve">47.36</w:t>
            </w:r>
          </w:p>
        </w:tc>
        <w:tc>
          <w:p>
            <w:pPr>
              <w:pStyle w:val="Compact"/>
              <w:jc w:val="left"/>
            </w:pPr>
            <w:r>
              <w:t xml:space="preserve">48.81</w:t>
            </w:r>
          </w:p>
        </w:tc>
        <w:tc>
          <w:p>
            <w:pPr>
              <w:pStyle w:val="Compact"/>
              <w:jc w:val="left"/>
            </w:pPr>
            <w:r>
              <w:t xml:space="preserve">19.22</w:t>
            </w:r>
          </w:p>
        </w:tc>
        <w:tc>
          <w:p>
            <w:pPr>
              <w:pStyle w:val="Compact"/>
              <w:jc w:val="left"/>
            </w:pPr>
            <w:r>
              <w:t xml:space="preserve">44.07</w:t>
            </w:r>
          </w:p>
        </w:tc>
        <w:tc>
          <w:p>
            <w:pPr>
              <w:pStyle w:val="Compact"/>
              <w:jc w:val="left"/>
            </w:pPr>
            <w:r>
              <w:t xml:space="preserve">36.71</w:t>
            </w:r>
          </w:p>
        </w:tc>
      </w:tr>
      <w:tr>
        <w:tc>
          <w:p>
            <w:pPr>
              <w:pStyle w:val="Compact"/>
              <w:jc w:val="left"/>
            </w:pPr>
            <w:r>
              <w:t xml:space="preserve">CIV</w:t>
            </w:r>
          </w:p>
        </w:tc>
        <w:tc>
          <w:p>
            <w:pPr>
              <w:pStyle w:val="Compact"/>
              <w:jc w:val="left"/>
            </w:pPr>
            <w:r>
              <w:t xml:space="preserve">1.23</w:t>
            </w:r>
          </w:p>
        </w:tc>
        <w:tc>
          <w:p>
            <w:pPr>
              <w:pStyle w:val="Compact"/>
              <w:jc w:val="left"/>
            </w:pPr>
            <w:r>
              <w:t xml:space="preserve">42.08</w:t>
            </w:r>
          </w:p>
        </w:tc>
        <w:tc>
          <w:p>
            <w:pPr>
              <w:pStyle w:val="Compact"/>
              <w:jc w:val="left"/>
            </w:pPr>
            <w:r>
              <w:t xml:space="preserve">56.69</w:t>
            </w:r>
          </w:p>
        </w:tc>
        <w:tc>
          <w:p>
            <w:pPr>
              <w:pStyle w:val="Compact"/>
              <w:jc w:val="left"/>
            </w:pPr>
            <w:r>
              <w:t xml:space="preserve">0.68</w:t>
            </w:r>
          </w:p>
        </w:tc>
        <w:tc>
          <w:p>
            <w:pPr>
              <w:pStyle w:val="Compact"/>
              <w:jc w:val="left"/>
            </w:pPr>
            <w:r>
              <w:t xml:space="preserve">9.77</w:t>
            </w:r>
          </w:p>
        </w:tc>
        <w:tc>
          <w:p>
            <w:pPr>
              <w:pStyle w:val="Compact"/>
              <w:jc w:val="left"/>
            </w:pPr>
            <w:r>
              <w:t xml:space="preserve">89.55</w:t>
            </w:r>
          </w:p>
        </w:tc>
        <w:tc>
          <w:p>
            <w:pPr>
              <w:pStyle w:val="Compact"/>
              <w:jc w:val="left"/>
            </w:pPr>
            <w:r>
              <w:t xml:space="preserve">4.97</w:t>
            </w:r>
          </w:p>
        </w:tc>
        <w:tc>
          <w:p>
            <w:pPr>
              <w:pStyle w:val="Compact"/>
              <w:jc w:val="left"/>
            </w:pPr>
            <w:r>
              <w:t xml:space="preserve">69.18</w:t>
            </w:r>
          </w:p>
        </w:tc>
        <w:tc>
          <w:p>
            <w:pPr>
              <w:pStyle w:val="Compact"/>
              <w:jc w:val="left"/>
            </w:pPr>
            <w:r>
              <w:t xml:space="preserve">25.85</w:t>
            </w:r>
          </w:p>
        </w:tc>
        <w:tc>
          <w:p>
            <w:pPr>
              <w:pStyle w:val="Compact"/>
              <w:jc w:val="left"/>
            </w:pPr>
            <w:r>
              <w:t xml:space="preserve">23.66</w:t>
            </w:r>
          </w:p>
        </w:tc>
        <w:tc>
          <w:p>
            <w:pPr>
              <w:pStyle w:val="Compact"/>
              <w:jc w:val="left"/>
            </w:pPr>
            <w:r>
              <w:t xml:space="preserve">19.83</w:t>
            </w:r>
          </w:p>
        </w:tc>
        <w:tc>
          <w:p>
            <w:pPr>
              <w:pStyle w:val="Compact"/>
              <w:jc w:val="left"/>
            </w:pPr>
            <w:r>
              <w:t xml:space="preserve">56.51</w:t>
            </w:r>
          </w:p>
        </w:tc>
      </w:tr>
      <w:tr>
        <w:tc>
          <w:p>
            <w:pPr>
              <w:pStyle w:val="Compact"/>
              <w:jc w:val="left"/>
            </w:pPr>
            <w:r>
              <w:t xml:space="preserve">GHA</w:t>
            </w:r>
          </w:p>
        </w:tc>
        <w:tc>
          <w:p>
            <w:pPr>
              <w:pStyle w:val="Compact"/>
              <w:jc w:val="left"/>
            </w:pPr>
            <w:r>
              <w:t xml:space="preserve">1.52</w:t>
            </w:r>
          </w:p>
        </w:tc>
        <w:tc>
          <w:p>
            <w:pPr>
              <w:pStyle w:val="Compact"/>
              <w:jc w:val="left"/>
            </w:pPr>
            <w:r>
              <w:t xml:space="preserve">0.69</w:t>
            </w:r>
          </w:p>
        </w:tc>
        <w:tc>
          <w:p>
            <w:pPr>
              <w:pStyle w:val="Compact"/>
              <w:jc w:val="left"/>
            </w:pPr>
            <w:r>
              <w:t xml:space="preserve">97.79</w:t>
            </w:r>
          </w:p>
        </w:tc>
        <w:tc>
          <w:p>
            <w:pPr>
              <w:pStyle w:val="Compact"/>
              <w:jc w:val="left"/>
            </w:pPr>
            <w:r>
              <w:t xml:space="preserve">4.47</w:t>
            </w:r>
          </w:p>
        </w:tc>
        <w:tc>
          <w:p>
            <w:pPr>
              <w:pStyle w:val="Compact"/>
              <w:jc w:val="left"/>
            </w:pPr>
            <w:r>
              <w:t xml:space="preserve">45.7</w:t>
            </w:r>
          </w:p>
        </w:tc>
        <w:tc>
          <w:p>
            <w:pPr>
              <w:pStyle w:val="Compact"/>
              <w:jc w:val="left"/>
            </w:pPr>
            <w:r>
              <w:t xml:space="preserve">49.83</w:t>
            </w:r>
          </w:p>
        </w:tc>
        <w:tc>
          <w:p>
            <w:pPr>
              <w:pStyle w:val="Compact"/>
              <w:jc w:val="left"/>
            </w:pPr>
            <w:r>
              <w:t xml:space="preserve">5.08</w:t>
            </w:r>
          </w:p>
        </w:tc>
        <w:tc>
          <w:p>
            <w:pPr>
              <w:pStyle w:val="Compact"/>
              <w:jc w:val="left"/>
            </w:pPr>
            <w:r>
              <w:t xml:space="preserve">7.63</w:t>
            </w:r>
          </w:p>
        </w:tc>
        <w:tc>
          <w:p>
            <w:pPr>
              <w:pStyle w:val="Compact"/>
              <w:jc w:val="left"/>
            </w:pPr>
            <w:r>
              <w:t xml:space="preserve">87.29</w:t>
            </w:r>
          </w:p>
        </w:tc>
        <w:tc>
          <w:p>
            <w:pPr>
              <w:pStyle w:val="Compact"/>
              <w:jc w:val="left"/>
            </w:pPr>
            <w:r>
              <w:t xml:space="preserve">4.2</w:t>
            </w:r>
          </w:p>
        </w:tc>
        <w:tc>
          <w:p>
            <w:pPr>
              <w:pStyle w:val="Compact"/>
              <w:jc w:val="left"/>
            </w:pPr>
            <w:r>
              <w:t xml:space="preserve">26.94</w:t>
            </w:r>
          </w:p>
        </w:tc>
        <w:tc>
          <w:p>
            <w:pPr>
              <w:pStyle w:val="Compact"/>
              <w:jc w:val="left"/>
            </w:pPr>
            <w:r>
              <w:t xml:space="preserve">68.86</w:t>
            </w:r>
          </w:p>
        </w:tc>
      </w:tr>
      <w:tr>
        <w:tc>
          <w:p>
            <w:pPr>
              <w:pStyle w:val="Compact"/>
              <w:jc w:val="left"/>
            </w:pPr>
            <w:r>
              <w:t xml:space="preserve">GMB</w:t>
            </w:r>
          </w:p>
        </w:tc>
        <w:tc>
          <w:p>
            <w:pPr>
              <w:pStyle w:val="Compact"/>
              <w:jc w:val="left"/>
            </w:pPr>
            <w:r>
              <w:t xml:space="preserve">2.39</w:t>
            </w:r>
          </w:p>
        </w:tc>
        <w:tc>
          <w:p>
            <w:pPr>
              <w:pStyle w:val="Compact"/>
              <w:jc w:val="left"/>
            </w:pPr>
            <w:r>
              <w:t xml:space="preserve">20.48</w:t>
            </w:r>
          </w:p>
        </w:tc>
        <w:tc>
          <w:p>
            <w:pPr>
              <w:pStyle w:val="Compact"/>
              <w:jc w:val="left"/>
            </w:pPr>
            <w:r>
              <w:t xml:space="preserve">77.13</w:t>
            </w:r>
          </w:p>
        </w:tc>
        <w:tc>
          <w:p>
            <w:pPr>
              <w:pStyle w:val="Compact"/>
              <w:jc w:val="left"/>
            </w:pPr>
            <w:r>
              <w:t xml:space="preserve">0.44</w:t>
            </w:r>
          </w:p>
        </w:tc>
        <w:tc>
          <w:p>
            <w:pPr>
              <w:pStyle w:val="Compact"/>
              <w:jc w:val="left"/>
            </w:pPr>
            <w:r>
              <w:t xml:space="preserve">0.49</w:t>
            </w:r>
          </w:p>
        </w:tc>
        <w:tc>
          <w:p>
            <w:pPr>
              <w:pStyle w:val="Compact"/>
              <w:jc w:val="left"/>
            </w:pPr>
            <w:r>
              <w:t xml:space="preserve">99.08</w:t>
            </w:r>
          </w:p>
        </w:tc>
        <w:tc>
          <w:p>
            <w:pPr>
              <w:pStyle w:val="Compact"/>
              <w:jc w:val="left"/>
            </w:pPr>
            <w:r>
              <w:t xml:space="preserve">12.35</w:t>
            </w:r>
          </w:p>
        </w:tc>
        <w:tc>
          <w:p>
            <w:pPr>
              <w:pStyle w:val="Compact"/>
              <w:jc w:val="left"/>
            </w:pPr>
            <w:r>
              <w:t xml:space="preserve">18.16</w:t>
            </w:r>
          </w:p>
        </w:tc>
        <w:tc>
          <w:p>
            <w:pPr>
              <w:pStyle w:val="Compact"/>
              <w:jc w:val="left"/>
            </w:pPr>
            <w:r>
              <w:t xml:space="preserve">69.49</w:t>
            </w:r>
          </w:p>
        </w:tc>
        <w:tc>
          <w:p>
            <w:pPr>
              <w:pStyle w:val="Compact"/>
              <w:jc w:val="left"/>
            </w:pPr>
            <w:r>
              <w:t xml:space="preserve">0.12</w:t>
            </w:r>
          </w:p>
        </w:tc>
        <w:tc>
          <w:p>
            <w:pPr>
              <w:pStyle w:val="Compact"/>
              <w:jc w:val="left"/>
            </w:pPr>
            <w:r>
              <w:t xml:space="preserve">0.3</w:t>
            </w:r>
          </w:p>
        </w:tc>
        <w:tc>
          <w:p>
            <w:pPr>
              <w:pStyle w:val="Compact"/>
              <w:jc w:val="left"/>
            </w:pPr>
            <w:r>
              <w:t xml:space="preserve">99.58</w:t>
            </w:r>
          </w:p>
        </w:tc>
      </w:tr>
      <w:tr>
        <w:tc>
          <w:p>
            <w:pPr>
              <w:pStyle w:val="Compact"/>
              <w:jc w:val="left"/>
            </w:pPr>
            <w:r>
              <w:t xml:space="preserve">NER</w:t>
            </w:r>
          </w:p>
        </w:tc>
        <w:tc>
          <w:p>
            <w:pPr>
              <w:pStyle w:val="Compact"/>
              <w:jc w:val="left"/>
            </w:pPr>
            <w:r>
              <w:t xml:space="preserve">0.04</w:t>
            </w:r>
          </w:p>
        </w:tc>
        <w:tc>
          <w:p>
            <w:pPr>
              <w:pStyle w:val="Compact"/>
              <w:jc w:val="left"/>
            </w:pPr>
            <w:r>
              <w:t xml:space="preserve">78.35</w:t>
            </w:r>
          </w:p>
        </w:tc>
        <w:tc>
          <w:p>
            <w:pPr>
              <w:pStyle w:val="Compact"/>
              <w:jc w:val="left"/>
            </w:pPr>
            <w:r>
              <w:t xml:space="preserve">21.61</w:t>
            </w:r>
          </w:p>
        </w:tc>
        <w:tc>
          <w:p>
            <w:pPr>
              <w:pStyle w:val="Compact"/>
              <w:jc w:val="left"/>
            </w:pPr>
            <w:r>
              <w:t xml:space="preserve">0.62</w:t>
            </w:r>
          </w:p>
        </w:tc>
        <w:tc>
          <w:p>
            <w:pPr>
              <w:pStyle w:val="Compact"/>
              <w:jc w:val="left"/>
            </w:pPr>
            <w:r>
              <w:t xml:space="preserve">37.29</w:t>
            </w:r>
          </w:p>
        </w:tc>
        <w:tc>
          <w:p>
            <w:pPr>
              <w:pStyle w:val="Compact"/>
              <w:jc w:val="left"/>
            </w:pPr>
            <w:r>
              <w:t xml:space="preserve">62.09</w:t>
            </w:r>
          </w:p>
        </w:tc>
        <w:tc>
          <w:p>
            <w:pPr>
              <w:pStyle w:val="Compact"/>
              <w:jc w:val="left"/>
            </w:pPr>
            <w:r>
              <w:t xml:space="preserve">0.97</w:t>
            </w:r>
          </w:p>
        </w:tc>
        <w:tc>
          <w:p>
            <w:pPr>
              <w:pStyle w:val="Compact"/>
              <w:jc w:val="left"/>
            </w:pPr>
            <w:r>
              <w:t xml:space="preserve">88.28</w:t>
            </w:r>
          </w:p>
        </w:tc>
        <w:tc>
          <w:p>
            <w:pPr>
              <w:pStyle w:val="Compact"/>
              <w:jc w:val="left"/>
            </w:pPr>
            <w:r>
              <w:t xml:space="preserve">10.75</w:t>
            </w:r>
          </w:p>
        </w:tc>
        <w:tc>
          <w:p>
            <w:pPr>
              <w:pStyle w:val="Compact"/>
              <w:jc w:val="left"/>
            </w:pPr>
            <w:r>
              <w:t xml:space="preserve">10.79</w:t>
            </w:r>
          </w:p>
        </w:tc>
        <w:tc>
          <w:p>
            <w:pPr>
              <w:pStyle w:val="Compact"/>
              <w:jc w:val="left"/>
            </w:pPr>
            <w:r>
              <w:t xml:space="preserve">53.01</w:t>
            </w:r>
          </w:p>
        </w:tc>
        <w:tc>
          <w:p>
            <w:pPr>
              <w:pStyle w:val="Compact"/>
              <w:jc w:val="left"/>
            </w:pPr>
            <w:r>
              <w:t xml:space="preserve">36.2</w:t>
            </w:r>
          </w:p>
        </w:tc>
      </w:tr>
      <w:tr>
        <w:tc>
          <w:p>
            <w:pPr>
              <w:pStyle w:val="Compact"/>
              <w:jc w:val="left"/>
            </w:pPr>
            <w:r>
              <w:t xml:space="preserve">NGA</w:t>
            </w:r>
          </w:p>
        </w:tc>
        <w:tc>
          <w:p>
            <w:pPr>
              <w:pStyle w:val="Compact"/>
              <w:jc w:val="left"/>
            </w:pPr>
            <w:r>
              <w:t xml:space="preserve">1.59</w:t>
            </w:r>
          </w:p>
        </w:tc>
        <w:tc>
          <w:p>
            <w:pPr>
              <w:pStyle w:val="Compact"/>
              <w:jc w:val="left"/>
            </w:pPr>
            <w:r>
              <w:t xml:space="preserve">11.5</w:t>
            </w:r>
          </w:p>
        </w:tc>
        <w:tc>
          <w:p>
            <w:pPr>
              <w:pStyle w:val="Compact"/>
              <w:jc w:val="left"/>
            </w:pPr>
            <w:r>
              <w:t xml:space="preserve">86.91</w:t>
            </w:r>
          </w:p>
        </w:tc>
        <w:tc>
          <w:p>
            <w:pPr>
              <w:pStyle w:val="Compact"/>
              <w:jc w:val="left"/>
            </w:pPr>
            <w:r>
              <w:t xml:space="preserve">0.62</w:t>
            </w:r>
          </w:p>
        </w:tc>
        <w:tc>
          <w:p>
            <w:pPr>
              <w:pStyle w:val="Compact"/>
              <w:jc w:val="left"/>
            </w:pPr>
            <w:r>
              <w:t xml:space="preserve">1.71</w:t>
            </w:r>
          </w:p>
        </w:tc>
        <w:tc>
          <w:p>
            <w:pPr>
              <w:pStyle w:val="Compact"/>
              <w:jc w:val="left"/>
            </w:pPr>
            <w:r>
              <w:t xml:space="preserve">97.67</w:t>
            </w:r>
          </w:p>
        </w:tc>
        <w:tc>
          <w:p>
            <w:pPr>
              <w:pStyle w:val="Compact"/>
              <w:jc w:val="left"/>
            </w:pPr>
            <w:r>
              <w:t xml:space="preserve">6.18</w:t>
            </w:r>
          </w:p>
        </w:tc>
        <w:tc>
          <w:p>
            <w:pPr>
              <w:pStyle w:val="Compact"/>
              <w:jc w:val="left"/>
            </w:pPr>
            <w:r>
              <w:t xml:space="preserve">27.62</w:t>
            </w:r>
          </w:p>
        </w:tc>
        <w:tc>
          <w:p>
            <w:pPr>
              <w:pStyle w:val="Compact"/>
              <w:jc w:val="left"/>
            </w:pPr>
            <w:r>
              <w:t xml:space="preserve">66.2</w:t>
            </w:r>
          </w:p>
        </w:tc>
        <w:tc>
          <w:p>
            <w:pPr>
              <w:pStyle w:val="Compact"/>
              <w:jc w:val="left"/>
            </w:pPr>
            <w:r>
              <w:t xml:space="preserve">0.68</w:t>
            </w:r>
          </w:p>
        </w:tc>
        <w:tc>
          <w:p>
            <w:pPr>
              <w:pStyle w:val="Compact"/>
              <w:jc w:val="left"/>
            </w:pPr>
            <w:r>
              <w:t xml:space="preserve">5.78</w:t>
            </w:r>
          </w:p>
        </w:tc>
        <w:tc>
          <w:p>
            <w:pPr>
              <w:pStyle w:val="Compact"/>
              <w:jc w:val="left"/>
            </w:pPr>
            <w:r>
              <w:t xml:space="preserve">93.54</w:t>
            </w:r>
          </w:p>
        </w:tc>
      </w:tr>
      <w:tr>
        <w:tc>
          <w:p>
            <w:pPr>
              <w:pStyle w:val="Compact"/>
              <w:jc w:val="left"/>
            </w:pPr>
            <w:r>
              <w:t xml:space="preserve">SEN</w:t>
            </w:r>
          </w:p>
        </w:tc>
        <w:tc>
          <w:p>
            <w:pPr>
              <w:pStyle w:val="Compact"/>
              <w:jc w:val="left"/>
            </w:pPr>
            <w:r>
              <w:t xml:space="preserve">0.18</w:t>
            </w:r>
          </w:p>
        </w:tc>
        <w:tc>
          <w:p>
            <w:pPr>
              <w:pStyle w:val="Compact"/>
              <w:jc w:val="left"/>
            </w:pPr>
            <w:r>
              <w:t xml:space="preserve">39.81</w:t>
            </w:r>
          </w:p>
        </w:tc>
        <w:tc>
          <w:p>
            <w:pPr>
              <w:pStyle w:val="Compact"/>
              <w:jc w:val="left"/>
            </w:pPr>
            <w:r>
              <w:t xml:space="preserve">60.01</w:t>
            </w:r>
          </w:p>
        </w:tc>
        <w:tc>
          <w:p>
            <w:pPr>
              <w:pStyle w:val="Compact"/>
              <w:jc w:val="left"/>
            </w:pPr>
            <w:r>
              <w:t xml:space="preserve">1.3</w:t>
            </w:r>
          </w:p>
        </w:tc>
        <w:tc>
          <w:p>
            <w:pPr>
              <w:pStyle w:val="Compact"/>
              <w:jc w:val="left"/>
            </w:pPr>
            <w:r>
              <w:t xml:space="preserve">39.38</w:t>
            </w:r>
          </w:p>
        </w:tc>
        <w:tc>
          <w:p>
            <w:pPr>
              <w:pStyle w:val="Compact"/>
              <w:jc w:val="left"/>
            </w:pPr>
            <w:r>
              <w:t xml:space="preserve">59.32</w:t>
            </w:r>
          </w:p>
        </w:tc>
        <w:tc>
          <w:p>
            <w:pPr>
              <w:pStyle w:val="Compact"/>
              <w:jc w:val="left"/>
            </w:pPr>
            <w:r>
              <w:t xml:space="preserve">1.21</w:t>
            </w:r>
          </w:p>
        </w:tc>
        <w:tc>
          <w:p>
            <w:pPr>
              <w:pStyle w:val="Compact"/>
              <w:jc w:val="left"/>
            </w:pPr>
            <w:r>
              <w:t xml:space="preserve">55.78</w:t>
            </w:r>
          </w:p>
        </w:tc>
        <w:tc>
          <w:p>
            <w:pPr>
              <w:pStyle w:val="Compact"/>
              <w:jc w:val="left"/>
            </w:pPr>
            <w:r>
              <w:t xml:space="preserve">43.01</w:t>
            </w:r>
          </w:p>
        </w:tc>
        <w:tc>
          <w:p>
            <w:pPr>
              <w:pStyle w:val="Compact"/>
              <w:jc w:val="left"/>
            </w:pPr>
            <w:r>
              <w:t xml:space="preserve">16.44</w:t>
            </w:r>
          </w:p>
        </w:tc>
        <w:tc>
          <w:p>
            <w:pPr>
              <w:pStyle w:val="Compact"/>
              <w:jc w:val="left"/>
            </w:pPr>
            <w:r>
              <w:t xml:space="preserve">33.12</w:t>
            </w:r>
          </w:p>
        </w:tc>
        <w:tc>
          <w:p>
            <w:pPr>
              <w:pStyle w:val="Compact"/>
              <w:jc w:val="left"/>
            </w:pPr>
            <w:r>
              <w:t xml:space="preserve">50.44</w:t>
            </w:r>
          </w:p>
        </w:tc>
      </w:tr>
      <w:tr>
        <w:tc>
          <w:p>
            <w:pPr>
              <w:pStyle w:val="Compact"/>
              <w:jc w:val="left"/>
            </w:pPr>
            <w:r>
              <w:t xml:space="preserve">TGO</w:t>
            </w:r>
          </w:p>
        </w:tc>
        <w:tc>
          <w:p>
            <w:pPr>
              <w:pStyle w:val="Compact"/>
              <w:jc w:val="left"/>
            </w:pPr>
            <w:r>
              <w:t xml:space="preserve">0.38</w:t>
            </w:r>
          </w:p>
        </w:tc>
        <w:tc>
          <w:p>
            <w:pPr>
              <w:pStyle w:val="Compact"/>
              <w:jc w:val="left"/>
            </w:pPr>
            <w:r>
              <w:t xml:space="preserve">66.18</w:t>
            </w:r>
          </w:p>
        </w:tc>
        <w:tc>
          <w:p>
            <w:pPr>
              <w:pStyle w:val="Compact"/>
              <w:jc w:val="left"/>
            </w:pPr>
            <w:r>
              <w:t xml:space="preserve">33.44</w:t>
            </w:r>
          </w:p>
        </w:tc>
        <w:tc>
          <w:p>
            <w:pPr>
              <w:pStyle w:val="Compact"/>
              <w:jc w:val="left"/>
            </w:pPr>
            <w:r>
              <w:t xml:space="preserve">2.11</w:t>
            </w:r>
          </w:p>
        </w:tc>
        <w:tc>
          <w:p>
            <w:pPr>
              <w:pStyle w:val="Compact"/>
              <w:jc w:val="left"/>
            </w:pPr>
            <w:r>
              <w:t xml:space="preserve">27.51</w:t>
            </w:r>
          </w:p>
        </w:tc>
        <w:tc>
          <w:p>
            <w:pPr>
              <w:pStyle w:val="Compact"/>
              <w:jc w:val="left"/>
            </w:pPr>
            <w:r>
              <w:t xml:space="preserve">70.38</w:t>
            </w:r>
          </w:p>
        </w:tc>
        <w:tc>
          <w:p>
            <w:pPr>
              <w:pStyle w:val="Compact"/>
              <w:jc w:val="left"/>
            </w:pPr>
            <w:r>
              <w:t xml:space="preserve">0.69</w:t>
            </w:r>
          </w:p>
        </w:tc>
        <w:tc>
          <w:p>
            <w:pPr>
              <w:pStyle w:val="Compact"/>
              <w:jc w:val="left"/>
            </w:pPr>
            <w:r>
              <w:t xml:space="preserve">81.11</w:t>
            </w:r>
          </w:p>
        </w:tc>
        <w:tc>
          <w:p>
            <w:pPr>
              <w:pStyle w:val="Compact"/>
              <w:jc w:val="left"/>
            </w:pPr>
            <w:r>
              <w:t xml:space="preserve">18.2</w:t>
            </w:r>
          </w:p>
        </w:tc>
        <w:tc>
          <w:p>
            <w:pPr>
              <w:pStyle w:val="Compact"/>
              <w:jc w:val="left"/>
            </w:pPr>
            <w:r>
              <w:t xml:space="preserve">3.6</w:t>
            </w:r>
          </w:p>
        </w:tc>
        <w:tc>
          <w:p>
            <w:pPr>
              <w:pStyle w:val="Compact"/>
              <w:jc w:val="left"/>
            </w:pPr>
            <w:r>
              <w:t xml:space="preserve">49.27</w:t>
            </w:r>
          </w:p>
        </w:tc>
        <w:tc>
          <w:p>
            <w:pPr>
              <w:pStyle w:val="Compact"/>
              <w:jc w:val="left"/>
            </w:pPr>
            <w:r>
              <w:t xml:space="preserve">47.13</w:t>
            </w:r>
          </w:p>
        </w:tc>
      </w:tr>
    </w:tbl>
    <w:p>
      <w:pPr>
        <w:pStyle w:val="Heading2"/>
      </w:pPr>
      <w:bookmarkStart w:id="44" w:name="correlation-of-domestic-shocks"/>
      <w:r>
        <w:t xml:space="preserve">Correlation of domestic shocks</w:t>
      </w:r>
      <w:bookmarkEnd w:id="44"/>
    </w:p>
    <w:p>
      <w:pPr>
        <w:pStyle w:val="FirstParagraph"/>
      </w:pPr>
      <w:r>
        <w:t xml:space="preserve">This section employs correlation to determine the symmetry or otherwise of the inflationary shocks. The residuals from the SVAR for each country are taken to be the shocks; DS, RS and GS. If the correlation is zero, negative or small, then the shocks are asymmetric, but if they are strongly positive, then they are said to be symmetric</w:t>
      </w:r>
      <w:r>
        <w:t xml:space="preserve"> </w:t>
      </w:r>
      <w:r>
        <w:t xml:space="preserve">(Hsu,</w:t>
      </w:r>
      <w:r>
        <w:t xml:space="preserve"> </w:t>
      </w:r>
      <w:hyperlink w:anchor="ref-hsu2010common">
        <w:r>
          <w:rPr>
            <w:rStyle w:val="Hyperlink"/>
          </w:rPr>
          <w:t xml:space="preserve">2010</w:t>
        </w:r>
      </w:hyperlink>
      <w:r>
        <w:t xml:space="preserve">)</w:t>
      </w:r>
      <w:r>
        <w:t xml:space="preserve">. The correlation estimates of RS and GS are not reported as it is observed that they are all strongly positive. Table</w:t>
      </w:r>
      <w:r>
        <w:t xml:space="preserve"> </w:t>
      </w:r>
      <w:r>
        <w:t xml:space="preserve">4</w:t>
      </w:r>
      <w:r>
        <w:t xml:space="preserve"> </w:t>
      </w:r>
      <w:r>
        <w:t xml:space="preserve">reports the correlation estimates of models M2 and M3. According to Panel A, the correlation between Niger and Burkina Faso is strongly negative before the establishment of WAEMU, but this figure has drastically fallen in absolute terms from 0.58 to 0.07 after the birth of WAEMU as shown in Panel B. The correlation between Burkina Faso and Togo, between Cote D’Ivoire and Togo, between Niger and Togo and between Senegal and Togo changed from -0.28, 0.04, 0.27, -0.13 to -.36, -0.32 , -0.34 and -0.47 respectively as shown in Panel A and Panel B. The correlation estimates of model M4 as reported in Panel C are similar to that of model M3, indicating little difference even when China is considered as part of the global player.</w:t>
      </w:r>
    </w:p>
    <w:p>
      <w:pPr>
        <w:pStyle w:val="SourceCode"/>
      </w:pPr>
      <w:r>
        <w:rPr>
          <w:rStyle w:val="VerbatimChar"/>
        </w:rPr>
        <w:t xml:space="preserve">## Warning in kable_styling(., latex_options = c("basic", "hold_position"),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VerbatimChar"/>
        </w:rPr>
        <w:t xml:space="preserve">## Warning in pack_rows(., "Panel A: Correlation of domestic inflationary</w:t>
      </w:r>
      <w:r>
        <w:br w:type="textWrapping"/>
      </w:r>
      <w:r>
        <w:rPr>
          <w:rStyle w:val="VerbatimChar"/>
        </w:rPr>
        <w:t xml:space="preserve">## shocks (M2)", : Please specify format in kable. kableExtra can customize</w:t>
      </w:r>
      <w:r>
        <w:br w:type="textWrapping"/>
      </w:r>
      <w:r>
        <w:rPr>
          <w:rStyle w:val="VerbatimChar"/>
        </w:rPr>
        <w:t xml:space="preserve">## either HTML or LaTeX outputs. See https://haozhu233.github.io/kableExtra/</w:t>
      </w:r>
      <w:r>
        <w:br w:type="textWrapping"/>
      </w:r>
      <w:r>
        <w:rPr>
          <w:rStyle w:val="VerbatimChar"/>
        </w:rPr>
        <w:t xml:space="preserve">## for details.</w:t>
      </w:r>
    </w:p>
    <w:p>
      <w:pPr>
        <w:pStyle w:val="SourceCode"/>
      </w:pPr>
      <w:r>
        <w:rPr>
          <w:rStyle w:val="VerbatimChar"/>
        </w:rPr>
        <w:t xml:space="preserve">## Warning in pack_rows(., "Panel B: Correlation of domestic inflationary</w:t>
      </w:r>
      <w:r>
        <w:br w:type="textWrapping"/>
      </w:r>
      <w:r>
        <w:rPr>
          <w:rStyle w:val="VerbatimChar"/>
        </w:rPr>
        <w:t xml:space="preserve">## shocks (M3)", : Please specify format in kable. kableExtra can customize</w:t>
      </w:r>
      <w:r>
        <w:br w:type="textWrapping"/>
      </w:r>
      <w:r>
        <w:rPr>
          <w:rStyle w:val="VerbatimChar"/>
        </w:rPr>
        <w:t xml:space="preserve">## either HTML or LaTeX outputs. See https://haozhu233.github.io/kableExtra/</w:t>
      </w:r>
      <w:r>
        <w:br w:type="textWrapping"/>
      </w:r>
      <w:r>
        <w:rPr>
          <w:rStyle w:val="VerbatimChar"/>
        </w:rPr>
        <w:t xml:space="preserve">## for details.</w:t>
      </w:r>
    </w:p>
    <w:p>
      <w:pPr>
        <w:pStyle w:val="SourceCode"/>
      </w:pPr>
      <w:r>
        <w:rPr>
          <w:rStyle w:val="VerbatimChar"/>
        </w:rPr>
        <w:t xml:space="preserve">## Warning in row_spec(., 1, bold = T):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SourceCode"/>
      </w:pPr>
      <w:r>
        <w:rPr>
          <w:rStyle w:val="VerbatimChar"/>
        </w:rPr>
        <w:t xml:space="preserve">## Warning in row_spec(., 10, bold = T):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TableCaption"/>
      </w:pPr>
      <w:r>
        <w:t xml:space="preserve">Table 4:</w:t>
      </w:r>
      <w:r>
        <w:t xml:space="preserve"> </w:t>
      </w:r>
    </w:p>
    <w:tbl>
      <w:tblPr>
        <w:tblStyle w:val="Table"/>
        <w:tblW w:type="pct" w:w="0.0"/>
        <w:tblLook w:firstRow="0"/>
        <w:tblCaption w:val="Table 4: "/>
      </w:tblPr>
      <w:tblGrid/>
      <w:tr>
        <w:tc>
          <w:p>
            <w:pPr>
              <w:pStyle w:val="Compact"/>
              <w:jc w:val="left"/>
            </w:pPr>
            <w:r>
              <w:t xml:space="preserve">Country</w:t>
            </w:r>
          </w:p>
        </w:tc>
        <w:tc>
          <w:p>
            <w:pPr>
              <w:pStyle w:val="Compact"/>
              <w:jc w:val="center"/>
            </w:pPr>
            <w:r>
              <w:t xml:space="preserve">BFA</w:t>
            </w:r>
          </w:p>
        </w:tc>
        <w:tc>
          <w:p>
            <w:pPr>
              <w:pStyle w:val="Compact"/>
              <w:jc w:val="center"/>
            </w:pPr>
            <w:r>
              <w:t xml:space="preserve">CIV</w:t>
            </w:r>
          </w:p>
        </w:tc>
        <w:tc>
          <w:p>
            <w:pPr>
              <w:pStyle w:val="Compact"/>
              <w:jc w:val="center"/>
            </w:pPr>
            <w:r>
              <w:t xml:space="preserve">GHA</w:t>
            </w:r>
          </w:p>
        </w:tc>
        <w:tc>
          <w:p>
            <w:pPr>
              <w:pStyle w:val="Compact"/>
              <w:jc w:val="center"/>
            </w:pPr>
            <w:r>
              <w:t xml:space="preserve">GMB</w:t>
            </w:r>
          </w:p>
        </w:tc>
        <w:tc>
          <w:p>
            <w:pPr>
              <w:pStyle w:val="Compact"/>
              <w:jc w:val="center"/>
            </w:pPr>
            <w:r>
              <w:t xml:space="preserve">NER</w:t>
            </w:r>
          </w:p>
        </w:tc>
        <w:tc>
          <w:p>
            <w:pPr>
              <w:pStyle w:val="Compact"/>
              <w:jc w:val="center"/>
            </w:pPr>
            <w:r>
              <w:t xml:space="preserve">NGA</w:t>
            </w:r>
          </w:p>
        </w:tc>
        <w:tc>
          <w:p>
            <w:pPr>
              <w:pStyle w:val="Compact"/>
              <w:jc w:val="center"/>
            </w:pPr>
            <w:r>
              <w:t xml:space="preserve">SEN</w:t>
            </w:r>
          </w:p>
        </w:tc>
        <w:tc>
          <w:p>
            <w:pPr>
              <w:pStyle w:val="Compact"/>
              <w:jc w:val="center"/>
            </w:pPr>
            <w:r>
              <w:t xml:space="preserve">TGO</w:t>
            </w:r>
          </w:p>
        </w:tc>
      </w:tr>
      <w:tr>
        <w:tc>
          <w:p>
            <w:pPr>
              <w:pStyle w:val="Compact"/>
              <w:jc w:val="left"/>
            </w:pPr>
            <w:r>
              <w:t xml:space="preserve">BFA</w:t>
            </w:r>
          </w:p>
        </w:tc>
        <w:tc>
          <w:p>
            <w:pPr>
              <w:pStyle w:val="Compact"/>
              <w:jc w:val="center"/>
            </w:pPr>
            <w:r>
              <w:t xml:space="preserve">1</w:t>
            </w:r>
          </w:p>
        </w:tc>
        <w:tc>
          <w:p/>
        </w:tc>
        <w:tc>
          <w:p/>
        </w:tc>
        <w:tc>
          <w:p/>
        </w:tc>
        <w:tc>
          <w:p/>
        </w:tc>
        <w:tc>
          <w:p/>
        </w:tc>
        <w:tc>
          <w:p/>
        </w:tc>
        <w:tc>
          <w:p/>
        </w:tc>
      </w:tr>
      <w:tr>
        <w:tc>
          <w:p>
            <w:pPr>
              <w:pStyle w:val="Compact"/>
              <w:jc w:val="left"/>
            </w:pPr>
            <w:r>
              <w:t xml:space="preserve">CIV</w:t>
            </w:r>
          </w:p>
        </w:tc>
        <w:tc>
          <w:p>
            <w:pPr>
              <w:pStyle w:val="Compact"/>
              <w:jc w:val="center"/>
            </w:pPr>
            <w:r>
              <w:t xml:space="preserve">-0.19</w:t>
            </w:r>
          </w:p>
        </w:tc>
        <w:tc>
          <w:p>
            <w:pPr>
              <w:pStyle w:val="Compact"/>
              <w:jc w:val="center"/>
            </w:pPr>
            <w:r>
              <w:t xml:space="preserve">1</w:t>
            </w:r>
          </w:p>
        </w:tc>
        <w:tc>
          <w:p/>
        </w:tc>
        <w:tc>
          <w:p/>
        </w:tc>
        <w:tc>
          <w:p/>
        </w:tc>
        <w:tc>
          <w:p/>
        </w:tc>
        <w:tc>
          <w:p/>
        </w:tc>
        <w:tc>
          <w:p/>
        </w:tc>
      </w:tr>
      <w:tr>
        <w:tc>
          <w:p>
            <w:pPr>
              <w:pStyle w:val="Compact"/>
              <w:jc w:val="left"/>
            </w:pPr>
            <w:r>
              <w:t xml:space="preserve">GHA</w:t>
            </w:r>
          </w:p>
        </w:tc>
        <w:tc>
          <w:p>
            <w:pPr>
              <w:pStyle w:val="Compact"/>
              <w:jc w:val="center"/>
            </w:pPr>
            <w:r>
              <w:t xml:space="preserve">-0.03</w:t>
            </w:r>
          </w:p>
        </w:tc>
        <w:tc>
          <w:p>
            <w:pPr>
              <w:pStyle w:val="Compact"/>
              <w:jc w:val="center"/>
            </w:pPr>
            <w:r>
              <w:t xml:space="preserve">0.2</w:t>
            </w:r>
          </w:p>
        </w:tc>
        <w:tc>
          <w:p>
            <w:pPr>
              <w:pStyle w:val="Compact"/>
              <w:jc w:val="center"/>
            </w:pPr>
            <w:r>
              <w:t xml:space="preserve">1</w:t>
            </w:r>
          </w:p>
        </w:tc>
        <w:tc>
          <w:p/>
        </w:tc>
        <w:tc>
          <w:p/>
        </w:tc>
        <w:tc>
          <w:p/>
        </w:tc>
        <w:tc>
          <w:p/>
        </w:tc>
        <w:tc>
          <w:p/>
        </w:tc>
      </w:tr>
      <w:tr>
        <w:tc>
          <w:p>
            <w:pPr>
              <w:pStyle w:val="Compact"/>
              <w:jc w:val="left"/>
            </w:pPr>
            <w:r>
              <w:t xml:space="preserve">GMB</w:t>
            </w:r>
          </w:p>
        </w:tc>
        <w:tc>
          <w:p>
            <w:pPr>
              <w:pStyle w:val="Compact"/>
              <w:jc w:val="center"/>
            </w:pPr>
            <w:r>
              <w:t xml:space="preserve">-0.15</w:t>
            </w:r>
          </w:p>
        </w:tc>
        <w:tc>
          <w:p>
            <w:pPr>
              <w:pStyle w:val="Compact"/>
              <w:jc w:val="center"/>
            </w:pPr>
            <w:r>
              <w:t xml:space="preserve">0.02</w:t>
            </w:r>
          </w:p>
        </w:tc>
        <w:tc>
          <w:p>
            <w:pPr>
              <w:pStyle w:val="Compact"/>
              <w:jc w:val="center"/>
            </w:pPr>
            <w:r>
              <w:t xml:space="preserve">0.01</w:t>
            </w:r>
          </w:p>
        </w:tc>
        <w:tc>
          <w:p>
            <w:pPr>
              <w:pStyle w:val="Compact"/>
              <w:jc w:val="center"/>
            </w:pPr>
            <w:r>
              <w:t xml:space="preserve">1</w:t>
            </w:r>
          </w:p>
        </w:tc>
        <w:tc>
          <w:p/>
        </w:tc>
        <w:tc>
          <w:p/>
        </w:tc>
        <w:tc>
          <w:p/>
        </w:tc>
        <w:tc>
          <w:p/>
        </w:tc>
      </w:tr>
      <w:tr>
        <w:tc>
          <w:p>
            <w:pPr>
              <w:pStyle w:val="Compact"/>
              <w:jc w:val="left"/>
            </w:pPr>
            <w:r>
              <w:t xml:space="preserve">NER</w:t>
            </w:r>
          </w:p>
        </w:tc>
        <w:tc>
          <w:p>
            <w:pPr>
              <w:pStyle w:val="Compact"/>
              <w:jc w:val="center"/>
            </w:pPr>
            <w:r>
              <w:t xml:space="preserve">-0.58</w:t>
            </w:r>
          </w:p>
        </w:tc>
        <w:tc>
          <w:p>
            <w:pPr>
              <w:pStyle w:val="Compact"/>
              <w:jc w:val="center"/>
            </w:pPr>
            <w:r>
              <w:t xml:space="preserve">-0.2</w:t>
            </w:r>
          </w:p>
        </w:tc>
        <w:tc>
          <w:p>
            <w:pPr>
              <w:pStyle w:val="Compact"/>
              <w:jc w:val="center"/>
            </w:pPr>
            <w:r>
              <w:t xml:space="preserve">0.01</w:t>
            </w:r>
          </w:p>
        </w:tc>
        <w:tc>
          <w:p>
            <w:pPr>
              <w:pStyle w:val="Compact"/>
              <w:jc w:val="center"/>
            </w:pPr>
            <w:r>
              <w:t xml:space="preserve">0</w:t>
            </w:r>
          </w:p>
        </w:tc>
        <w:tc>
          <w:p>
            <w:pPr>
              <w:pStyle w:val="Compact"/>
              <w:jc w:val="center"/>
            </w:pPr>
            <w:r>
              <w:t xml:space="preserve">1</w:t>
            </w:r>
          </w:p>
        </w:tc>
        <w:tc>
          <w:p/>
        </w:tc>
        <w:tc>
          <w:p/>
        </w:tc>
        <w:tc>
          <w:p/>
        </w:tc>
      </w:tr>
      <w:tr>
        <w:tc>
          <w:p>
            <w:pPr>
              <w:pStyle w:val="Compact"/>
              <w:jc w:val="left"/>
            </w:pPr>
            <w:r>
              <w:t xml:space="preserve">NGA</w:t>
            </w:r>
          </w:p>
        </w:tc>
        <w:tc>
          <w:p>
            <w:pPr>
              <w:pStyle w:val="Compact"/>
              <w:jc w:val="center"/>
            </w:pPr>
            <w:r>
              <w:t xml:space="preserve">-0.05</w:t>
            </w:r>
          </w:p>
        </w:tc>
        <w:tc>
          <w:p>
            <w:pPr>
              <w:pStyle w:val="Compact"/>
              <w:jc w:val="center"/>
            </w:pPr>
            <w:r>
              <w:t xml:space="preserve">0.05</w:t>
            </w:r>
          </w:p>
        </w:tc>
        <w:tc>
          <w:p>
            <w:pPr>
              <w:pStyle w:val="Compact"/>
              <w:jc w:val="center"/>
            </w:pPr>
            <w:r>
              <w:t xml:space="preserve">0.07</w:t>
            </w:r>
          </w:p>
        </w:tc>
        <w:tc>
          <w:p>
            <w:pPr>
              <w:pStyle w:val="Compact"/>
              <w:jc w:val="center"/>
            </w:pPr>
            <w:r>
              <w:t xml:space="preserve">-0.02</w:t>
            </w:r>
          </w:p>
        </w:tc>
        <w:tc>
          <w:p>
            <w:pPr>
              <w:pStyle w:val="Compact"/>
              <w:jc w:val="center"/>
            </w:pPr>
            <w:r>
              <w:t xml:space="preserve">-0.04</w:t>
            </w:r>
          </w:p>
        </w:tc>
        <w:tc>
          <w:p>
            <w:pPr>
              <w:pStyle w:val="Compact"/>
              <w:jc w:val="center"/>
            </w:pPr>
            <w:r>
              <w:t xml:space="preserve">1</w:t>
            </w:r>
          </w:p>
        </w:tc>
        <w:tc>
          <w:p/>
        </w:tc>
        <w:tc>
          <w:p/>
        </w:tc>
      </w:tr>
      <w:tr>
        <w:tc>
          <w:p>
            <w:pPr>
              <w:pStyle w:val="Compact"/>
              <w:jc w:val="left"/>
            </w:pPr>
            <w:r>
              <w:t xml:space="preserve">SEN</w:t>
            </w:r>
          </w:p>
        </w:tc>
        <w:tc>
          <w:p>
            <w:pPr>
              <w:pStyle w:val="Compact"/>
              <w:jc w:val="center"/>
            </w:pPr>
            <w:r>
              <w:t xml:space="preserve">-0.17</w:t>
            </w:r>
          </w:p>
        </w:tc>
        <w:tc>
          <w:p>
            <w:pPr>
              <w:pStyle w:val="Compact"/>
              <w:jc w:val="center"/>
            </w:pPr>
            <w:r>
              <w:t xml:space="preserve">-0.09</w:t>
            </w:r>
          </w:p>
        </w:tc>
        <w:tc>
          <w:p>
            <w:pPr>
              <w:pStyle w:val="Compact"/>
              <w:jc w:val="center"/>
            </w:pPr>
            <w:r>
              <w:t xml:space="preserve">-0.29</w:t>
            </w:r>
          </w:p>
        </w:tc>
        <w:tc>
          <w:p>
            <w:pPr>
              <w:pStyle w:val="Compact"/>
              <w:jc w:val="center"/>
            </w:pPr>
            <w:r>
              <w:t xml:space="preserve">-0.06</w:t>
            </w:r>
          </w:p>
        </w:tc>
        <w:tc>
          <w:p>
            <w:pPr>
              <w:pStyle w:val="Compact"/>
              <w:jc w:val="center"/>
            </w:pPr>
            <w:r>
              <w:t xml:space="preserve">-0.28</w:t>
            </w:r>
          </w:p>
        </w:tc>
        <w:tc>
          <w:p>
            <w:pPr>
              <w:pStyle w:val="Compact"/>
              <w:jc w:val="center"/>
            </w:pPr>
            <w:r>
              <w:t xml:space="preserve">-0.08</w:t>
            </w:r>
          </w:p>
        </w:tc>
        <w:tc>
          <w:p>
            <w:pPr>
              <w:pStyle w:val="Compact"/>
              <w:jc w:val="center"/>
            </w:pPr>
            <w:r>
              <w:t xml:space="preserve">1</w:t>
            </w:r>
          </w:p>
        </w:tc>
        <w:tc>
          <w:p/>
        </w:tc>
      </w:tr>
      <w:tr>
        <w:tc>
          <w:p>
            <w:pPr>
              <w:pStyle w:val="Compact"/>
              <w:jc w:val="left"/>
            </w:pPr>
            <w:r>
              <w:t xml:space="preserve">TGO</w:t>
            </w:r>
          </w:p>
        </w:tc>
        <w:tc>
          <w:p>
            <w:pPr>
              <w:pStyle w:val="Compact"/>
              <w:jc w:val="center"/>
            </w:pPr>
            <w:r>
              <w:t xml:space="preserve">-0.28</w:t>
            </w:r>
          </w:p>
        </w:tc>
        <w:tc>
          <w:p>
            <w:pPr>
              <w:pStyle w:val="Compact"/>
              <w:jc w:val="center"/>
            </w:pPr>
            <w:r>
              <w:t xml:space="preserve">0.04</w:t>
            </w:r>
          </w:p>
        </w:tc>
        <w:tc>
          <w:p>
            <w:pPr>
              <w:pStyle w:val="Compact"/>
              <w:jc w:val="center"/>
            </w:pPr>
            <w:r>
              <w:t xml:space="preserve">0.22</w:t>
            </w:r>
          </w:p>
        </w:tc>
        <w:tc>
          <w:p>
            <w:pPr>
              <w:pStyle w:val="Compact"/>
              <w:jc w:val="center"/>
            </w:pPr>
            <w:r>
              <w:t xml:space="preserve">0.04</w:t>
            </w:r>
          </w:p>
        </w:tc>
        <w:tc>
          <w:p>
            <w:pPr>
              <w:pStyle w:val="Compact"/>
              <w:jc w:val="center"/>
            </w:pPr>
            <w:r>
              <w:t xml:space="preserve">-0.27</w:t>
            </w:r>
          </w:p>
        </w:tc>
        <w:tc>
          <w:p>
            <w:pPr>
              <w:pStyle w:val="Compact"/>
              <w:jc w:val="center"/>
            </w:pPr>
            <w:r>
              <w:t xml:space="preserve">0.17</w:t>
            </w:r>
          </w:p>
        </w:tc>
        <w:tc>
          <w:p>
            <w:pPr>
              <w:pStyle w:val="Compact"/>
              <w:jc w:val="center"/>
            </w:pPr>
            <w:r>
              <w:t xml:space="preserve">-0.13</w:t>
            </w:r>
          </w:p>
        </w:tc>
        <w:tc>
          <w:p>
            <w:pPr>
              <w:pStyle w:val="Compact"/>
              <w:jc w:val="center"/>
            </w:pPr>
            <w:r>
              <w:t xml:space="preserve">1</w:t>
            </w:r>
          </w:p>
        </w:tc>
      </w:tr>
      <w:tr>
        <w:tc>
          <w:p>
            <w:pPr>
              <w:pStyle w:val="Compact"/>
              <w:jc w:val="left"/>
            </w:pPr>
            <w:r>
              <w:t xml:space="preserve">Country</w:t>
            </w:r>
          </w:p>
        </w:tc>
        <w:tc>
          <w:p>
            <w:pPr>
              <w:pStyle w:val="Compact"/>
              <w:jc w:val="center"/>
            </w:pPr>
            <w:r>
              <w:t xml:space="preserve">BFA</w:t>
            </w:r>
          </w:p>
        </w:tc>
        <w:tc>
          <w:p>
            <w:pPr>
              <w:pStyle w:val="Compact"/>
              <w:jc w:val="center"/>
            </w:pPr>
            <w:r>
              <w:t xml:space="preserve">CIV</w:t>
            </w:r>
          </w:p>
        </w:tc>
        <w:tc>
          <w:p>
            <w:pPr>
              <w:pStyle w:val="Compact"/>
              <w:jc w:val="center"/>
            </w:pPr>
            <w:r>
              <w:t xml:space="preserve">GHA</w:t>
            </w:r>
          </w:p>
        </w:tc>
        <w:tc>
          <w:p>
            <w:pPr>
              <w:pStyle w:val="Compact"/>
              <w:jc w:val="center"/>
            </w:pPr>
            <w:r>
              <w:t xml:space="preserve">GMB</w:t>
            </w:r>
          </w:p>
        </w:tc>
        <w:tc>
          <w:p>
            <w:pPr>
              <w:pStyle w:val="Compact"/>
              <w:jc w:val="center"/>
            </w:pPr>
            <w:r>
              <w:t xml:space="preserve">NER</w:t>
            </w:r>
          </w:p>
        </w:tc>
        <w:tc>
          <w:p>
            <w:pPr>
              <w:pStyle w:val="Compact"/>
              <w:jc w:val="center"/>
            </w:pPr>
            <w:r>
              <w:t xml:space="preserve">NGA</w:t>
            </w:r>
          </w:p>
        </w:tc>
        <w:tc>
          <w:p>
            <w:pPr>
              <w:pStyle w:val="Compact"/>
              <w:jc w:val="center"/>
            </w:pPr>
            <w:r>
              <w:t xml:space="preserve">SEN</w:t>
            </w:r>
          </w:p>
        </w:tc>
        <w:tc>
          <w:p>
            <w:pPr>
              <w:pStyle w:val="Compact"/>
              <w:jc w:val="center"/>
            </w:pPr>
            <w:r>
              <w:t xml:space="preserve">TGO</w:t>
            </w:r>
          </w:p>
        </w:tc>
      </w:tr>
      <w:tr>
        <w:tc>
          <w:p>
            <w:pPr>
              <w:pStyle w:val="Compact"/>
              <w:jc w:val="left"/>
            </w:pPr>
            <w:r>
              <w:t xml:space="preserve">BFA</w:t>
            </w:r>
          </w:p>
        </w:tc>
        <w:tc>
          <w:p>
            <w:pPr>
              <w:pStyle w:val="Compact"/>
              <w:jc w:val="center"/>
            </w:pPr>
            <w:r>
              <w:t xml:space="preserve">1</w:t>
            </w:r>
          </w:p>
        </w:tc>
        <w:tc>
          <w:p/>
        </w:tc>
        <w:tc>
          <w:p/>
        </w:tc>
        <w:tc>
          <w:p/>
        </w:tc>
        <w:tc>
          <w:p/>
        </w:tc>
        <w:tc>
          <w:p/>
        </w:tc>
        <w:tc>
          <w:p/>
        </w:tc>
        <w:tc>
          <w:p/>
        </w:tc>
      </w:tr>
      <w:tr>
        <w:tc>
          <w:p>
            <w:pPr>
              <w:pStyle w:val="Compact"/>
              <w:jc w:val="left"/>
            </w:pPr>
            <w:r>
              <w:t xml:space="preserve">CIV</w:t>
            </w:r>
          </w:p>
        </w:tc>
        <w:tc>
          <w:p>
            <w:pPr>
              <w:pStyle w:val="Compact"/>
              <w:jc w:val="center"/>
            </w:pPr>
            <w:r>
              <w:t xml:space="preserve">-0.08</w:t>
            </w:r>
          </w:p>
        </w:tc>
        <w:tc>
          <w:p>
            <w:pPr>
              <w:pStyle w:val="Compact"/>
              <w:jc w:val="center"/>
            </w:pPr>
            <w:r>
              <w:t xml:space="preserve">1</w:t>
            </w:r>
          </w:p>
        </w:tc>
        <w:tc>
          <w:p/>
        </w:tc>
        <w:tc>
          <w:p/>
        </w:tc>
        <w:tc>
          <w:p/>
        </w:tc>
        <w:tc>
          <w:p/>
        </w:tc>
        <w:tc>
          <w:p/>
        </w:tc>
        <w:tc>
          <w:p/>
        </w:tc>
      </w:tr>
      <w:tr>
        <w:tc>
          <w:p>
            <w:pPr>
              <w:pStyle w:val="Compact"/>
              <w:jc w:val="left"/>
            </w:pPr>
            <w:r>
              <w:t xml:space="preserve">GHA</w:t>
            </w:r>
          </w:p>
        </w:tc>
        <w:tc>
          <w:p>
            <w:pPr>
              <w:pStyle w:val="Compact"/>
              <w:jc w:val="center"/>
            </w:pPr>
            <w:r>
              <w:t xml:space="preserve">-0.01</w:t>
            </w:r>
          </w:p>
        </w:tc>
        <w:tc>
          <w:p>
            <w:pPr>
              <w:pStyle w:val="Compact"/>
              <w:jc w:val="center"/>
            </w:pPr>
            <w:r>
              <w:t xml:space="preserve">-0.04</w:t>
            </w:r>
          </w:p>
        </w:tc>
        <w:tc>
          <w:p>
            <w:pPr>
              <w:pStyle w:val="Compact"/>
              <w:jc w:val="center"/>
            </w:pPr>
            <w:r>
              <w:t xml:space="preserve">1</w:t>
            </w:r>
          </w:p>
        </w:tc>
        <w:tc>
          <w:p/>
        </w:tc>
        <w:tc>
          <w:p/>
        </w:tc>
        <w:tc>
          <w:p/>
        </w:tc>
        <w:tc>
          <w:p/>
        </w:tc>
        <w:tc>
          <w:p/>
        </w:tc>
      </w:tr>
      <w:tr>
        <w:tc>
          <w:p>
            <w:pPr>
              <w:pStyle w:val="Compact"/>
              <w:jc w:val="left"/>
            </w:pPr>
            <w:r>
              <w:t xml:space="preserve">GMB</w:t>
            </w:r>
          </w:p>
        </w:tc>
        <w:tc>
          <w:p>
            <w:pPr>
              <w:pStyle w:val="Compact"/>
              <w:jc w:val="center"/>
            </w:pPr>
            <w:r>
              <w:t xml:space="preserve">-0.25</w:t>
            </w:r>
          </w:p>
        </w:tc>
        <w:tc>
          <w:p>
            <w:pPr>
              <w:pStyle w:val="Compact"/>
              <w:jc w:val="center"/>
            </w:pPr>
            <w:r>
              <w:t xml:space="preserve">-0.09</w:t>
            </w:r>
          </w:p>
        </w:tc>
        <w:tc>
          <w:p>
            <w:pPr>
              <w:pStyle w:val="Compact"/>
              <w:jc w:val="center"/>
            </w:pPr>
            <w:r>
              <w:t xml:space="preserve">0.03</w:t>
            </w:r>
          </w:p>
        </w:tc>
        <w:tc>
          <w:p>
            <w:pPr>
              <w:pStyle w:val="Compact"/>
              <w:jc w:val="center"/>
            </w:pPr>
            <w:r>
              <w:t xml:space="preserve">1</w:t>
            </w:r>
          </w:p>
        </w:tc>
        <w:tc>
          <w:p/>
        </w:tc>
        <w:tc>
          <w:p/>
        </w:tc>
        <w:tc>
          <w:p/>
        </w:tc>
        <w:tc>
          <w:p/>
        </w:tc>
      </w:tr>
      <w:tr>
        <w:tc>
          <w:p>
            <w:pPr>
              <w:pStyle w:val="Compact"/>
              <w:jc w:val="left"/>
            </w:pPr>
            <w:r>
              <w:t xml:space="preserve">NER</w:t>
            </w:r>
          </w:p>
        </w:tc>
        <w:tc>
          <w:p>
            <w:pPr>
              <w:pStyle w:val="Compact"/>
              <w:jc w:val="center"/>
            </w:pPr>
            <w:r>
              <w:t xml:space="preserve">-0.07</w:t>
            </w:r>
          </w:p>
        </w:tc>
        <w:tc>
          <w:p>
            <w:pPr>
              <w:pStyle w:val="Compact"/>
              <w:jc w:val="center"/>
            </w:pPr>
            <w:r>
              <w:t xml:space="preserve">0.05</w:t>
            </w:r>
          </w:p>
        </w:tc>
        <w:tc>
          <w:p>
            <w:pPr>
              <w:pStyle w:val="Compact"/>
              <w:jc w:val="center"/>
            </w:pPr>
            <w:r>
              <w:t xml:space="preserve">0.04</w:t>
            </w:r>
          </w:p>
        </w:tc>
        <w:tc>
          <w:p>
            <w:pPr>
              <w:pStyle w:val="Compact"/>
              <w:jc w:val="center"/>
            </w:pPr>
            <w:r>
              <w:t xml:space="preserve">-0.18</w:t>
            </w:r>
          </w:p>
        </w:tc>
        <w:tc>
          <w:p>
            <w:pPr>
              <w:pStyle w:val="Compact"/>
              <w:jc w:val="center"/>
            </w:pPr>
            <w:r>
              <w:t xml:space="preserve">1</w:t>
            </w:r>
          </w:p>
        </w:tc>
        <w:tc>
          <w:p/>
        </w:tc>
        <w:tc>
          <w:p/>
        </w:tc>
        <w:tc>
          <w:p/>
        </w:tc>
      </w:tr>
      <w:tr>
        <w:tc>
          <w:p>
            <w:pPr>
              <w:pStyle w:val="Compact"/>
              <w:jc w:val="left"/>
            </w:pPr>
            <w:r>
              <w:t xml:space="preserve">NGA</w:t>
            </w:r>
          </w:p>
        </w:tc>
        <w:tc>
          <w:p>
            <w:pPr>
              <w:pStyle w:val="Compact"/>
              <w:jc w:val="center"/>
            </w:pPr>
            <w:r>
              <w:t xml:space="preserve">-0.05</w:t>
            </w:r>
          </w:p>
        </w:tc>
        <w:tc>
          <w:p>
            <w:pPr>
              <w:pStyle w:val="Compact"/>
              <w:jc w:val="center"/>
            </w:pPr>
            <w:r>
              <w:t xml:space="preserve">-0.08</w:t>
            </w:r>
          </w:p>
        </w:tc>
        <w:tc>
          <w:p>
            <w:pPr>
              <w:pStyle w:val="Compact"/>
              <w:jc w:val="center"/>
            </w:pPr>
            <w:r>
              <w:t xml:space="preserve">-0.07</w:t>
            </w:r>
          </w:p>
        </w:tc>
        <w:tc>
          <w:p>
            <w:pPr>
              <w:pStyle w:val="Compact"/>
              <w:jc w:val="center"/>
            </w:pPr>
            <w:r>
              <w:t xml:space="preserve">-0.02</w:t>
            </w:r>
          </w:p>
        </w:tc>
        <w:tc>
          <w:p>
            <w:pPr>
              <w:pStyle w:val="Compact"/>
              <w:jc w:val="center"/>
            </w:pPr>
            <w:r>
              <w:t xml:space="preserve">0</w:t>
            </w:r>
          </w:p>
        </w:tc>
        <w:tc>
          <w:p>
            <w:pPr>
              <w:pStyle w:val="Compact"/>
              <w:jc w:val="center"/>
            </w:pPr>
            <w:r>
              <w:t xml:space="preserve">1</w:t>
            </w:r>
          </w:p>
        </w:tc>
        <w:tc>
          <w:p/>
        </w:tc>
        <w:tc>
          <w:p/>
        </w:tc>
      </w:tr>
      <w:tr>
        <w:tc>
          <w:p>
            <w:pPr>
              <w:pStyle w:val="Compact"/>
              <w:jc w:val="left"/>
            </w:pPr>
            <w:r>
              <w:t xml:space="preserve">SEN</w:t>
            </w:r>
          </w:p>
        </w:tc>
        <w:tc>
          <w:p>
            <w:pPr>
              <w:pStyle w:val="Compact"/>
              <w:jc w:val="center"/>
            </w:pPr>
            <w:r>
              <w:t xml:space="preserve">0.01</w:t>
            </w:r>
          </w:p>
        </w:tc>
        <w:tc>
          <w:p>
            <w:pPr>
              <w:pStyle w:val="Compact"/>
              <w:jc w:val="center"/>
            </w:pPr>
            <w:r>
              <w:t xml:space="preserve">0.1</w:t>
            </w:r>
          </w:p>
        </w:tc>
        <w:tc>
          <w:p>
            <w:pPr>
              <w:pStyle w:val="Compact"/>
              <w:jc w:val="center"/>
            </w:pPr>
            <w:r>
              <w:t xml:space="preserve">-0.07</w:t>
            </w:r>
          </w:p>
        </w:tc>
        <w:tc>
          <w:p>
            <w:pPr>
              <w:pStyle w:val="Compact"/>
              <w:jc w:val="center"/>
            </w:pPr>
            <w:r>
              <w:t xml:space="preserve">-0.25</w:t>
            </w:r>
          </w:p>
        </w:tc>
        <w:tc>
          <w:p>
            <w:pPr>
              <w:pStyle w:val="Compact"/>
              <w:jc w:val="center"/>
            </w:pPr>
            <w:r>
              <w:t xml:space="preserve">-0.11</w:t>
            </w:r>
          </w:p>
        </w:tc>
        <w:tc>
          <w:p>
            <w:pPr>
              <w:pStyle w:val="Compact"/>
              <w:jc w:val="center"/>
            </w:pPr>
            <w:r>
              <w:t xml:space="preserve">0.01</w:t>
            </w:r>
          </w:p>
        </w:tc>
        <w:tc>
          <w:p>
            <w:pPr>
              <w:pStyle w:val="Compact"/>
              <w:jc w:val="center"/>
            </w:pPr>
            <w:r>
              <w:t xml:space="preserve">1</w:t>
            </w:r>
          </w:p>
        </w:tc>
        <w:tc>
          <w:p/>
        </w:tc>
      </w:tr>
      <w:tr>
        <w:tc>
          <w:p>
            <w:pPr>
              <w:pStyle w:val="Compact"/>
              <w:jc w:val="left"/>
            </w:pPr>
            <w:r>
              <w:t xml:space="preserve">TGO</w:t>
            </w:r>
          </w:p>
        </w:tc>
        <w:tc>
          <w:p>
            <w:pPr>
              <w:pStyle w:val="Compact"/>
              <w:jc w:val="center"/>
            </w:pPr>
            <w:r>
              <w:t xml:space="preserve">-0.36</w:t>
            </w:r>
          </w:p>
        </w:tc>
        <w:tc>
          <w:p>
            <w:pPr>
              <w:pStyle w:val="Compact"/>
              <w:jc w:val="center"/>
            </w:pPr>
            <w:r>
              <w:t xml:space="preserve">-0.32</w:t>
            </w:r>
          </w:p>
        </w:tc>
        <w:tc>
          <w:p>
            <w:pPr>
              <w:pStyle w:val="Compact"/>
              <w:jc w:val="center"/>
            </w:pPr>
            <w:r>
              <w:t xml:space="preserve">-0.05</w:t>
            </w:r>
          </w:p>
        </w:tc>
        <w:tc>
          <w:p>
            <w:pPr>
              <w:pStyle w:val="Compact"/>
              <w:jc w:val="center"/>
            </w:pPr>
            <w:r>
              <w:t xml:space="preserve">0.08</w:t>
            </w:r>
          </w:p>
        </w:tc>
        <w:tc>
          <w:p>
            <w:pPr>
              <w:pStyle w:val="Compact"/>
              <w:jc w:val="center"/>
            </w:pPr>
            <w:r>
              <w:t xml:space="preserve">-0.34</w:t>
            </w:r>
          </w:p>
        </w:tc>
        <w:tc>
          <w:p>
            <w:pPr>
              <w:pStyle w:val="Compact"/>
              <w:jc w:val="center"/>
            </w:pPr>
            <w:r>
              <w:t xml:space="preserve">-0.16</w:t>
            </w:r>
          </w:p>
        </w:tc>
        <w:tc>
          <w:p>
            <w:pPr>
              <w:pStyle w:val="Compact"/>
              <w:jc w:val="center"/>
            </w:pPr>
            <w:r>
              <w:t xml:space="preserve">-0.47</w:t>
            </w:r>
          </w:p>
        </w:tc>
        <w:tc>
          <w:p>
            <w:pPr>
              <w:pStyle w:val="Compact"/>
              <w:jc w:val="center"/>
            </w:pPr>
            <w:r>
              <w:t xml:space="preserve">1</w:t>
            </w:r>
          </w:p>
        </w:tc>
      </w:tr>
    </w:tbl>
    <w:p>
      <w:pPr>
        <w:pStyle w:val="BodyText"/>
      </w:pPr>
      <w:r>
        <w:t xml:space="preserve">Table</w:t>
      </w:r>
      <w:r>
        <w:t xml:space="preserve"> </w:t>
      </w:r>
      <w:r>
        <w:t xml:space="preserve">5</w:t>
      </w:r>
      <w:r>
        <w:t xml:space="preserve"> </w:t>
      </w:r>
      <w:r>
        <w:t xml:space="preserve">is a report about the correlation estimates of M5 and M6 in order to compare the period before and after the birth of WAMZ. It is clear that creation of WAMZ does not lead to the symmetry of shocks across the ECOWAS countries as there is no strongly positive correlation estimate for model M6 . Even considering China as one the global players does not make the domestic shocks symmetric as none of the correlation estimates of M7 is strongly positive.</w:t>
      </w:r>
    </w:p>
    <w:p>
      <w:pPr>
        <w:pStyle w:val="SourceCode"/>
      </w:pPr>
      <w:r>
        <w:rPr>
          <w:rStyle w:val="VerbatimChar"/>
        </w:rPr>
        <w:t xml:space="preserve">## Warning in kable_styling(., latex_options = c("basic", "hold_position"),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VerbatimChar"/>
        </w:rPr>
        <w:t xml:space="preserve">## Warning in pack_rows(., "Panel A: Correlation of domestic inflationary</w:t>
      </w:r>
      <w:r>
        <w:br w:type="textWrapping"/>
      </w:r>
      <w:r>
        <w:rPr>
          <w:rStyle w:val="VerbatimChar"/>
        </w:rPr>
        <w:t xml:space="preserve">## shocks (M5)", : Please specify format in kable. kableExtra can customize</w:t>
      </w:r>
      <w:r>
        <w:br w:type="textWrapping"/>
      </w:r>
      <w:r>
        <w:rPr>
          <w:rStyle w:val="VerbatimChar"/>
        </w:rPr>
        <w:t xml:space="preserve">## either HTML or LaTeX outputs. See https://haozhu233.github.io/kableExtra/</w:t>
      </w:r>
      <w:r>
        <w:br w:type="textWrapping"/>
      </w:r>
      <w:r>
        <w:rPr>
          <w:rStyle w:val="VerbatimChar"/>
        </w:rPr>
        <w:t xml:space="preserve">## for details.</w:t>
      </w:r>
    </w:p>
    <w:p>
      <w:pPr>
        <w:pStyle w:val="SourceCode"/>
      </w:pPr>
      <w:r>
        <w:rPr>
          <w:rStyle w:val="VerbatimChar"/>
        </w:rPr>
        <w:t xml:space="preserve">## Warning in pack_rows(., "Panel B: Correlation of domestic inflationary</w:t>
      </w:r>
      <w:r>
        <w:br w:type="textWrapping"/>
      </w:r>
      <w:r>
        <w:rPr>
          <w:rStyle w:val="VerbatimChar"/>
        </w:rPr>
        <w:t xml:space="preserve">## shocks (M6)", : Please specify format in kable. kableExtra can customize</w:t>
      </w:r>
      <w:r>
        <w:br w:type="textWrapping"/>
      </w:r>
      <w:r>
        <w:rPr>
          <w:rStyle w:val="VerbatimChar"/>
        </w:rPr>
        <w:t xml:space="preserve">## either HTML or LaTeX outputs. See https://haozhu233.github.io/kableExtra/</w:t>
      </w:r>
      <w:r>
        <w:br w:type="textWrapping"/>
      </w:r>
      <w:r>
        <w:rPr>
          <w:rStyle w:val="VerbatimChar"/>
        </w:rPr>
        <w:t xml:space="preserve">## for details.</w:t>
      </w:r>
    </w:p>
    <w:p>
      <w:pPr>
        <w:pStyle w:val="SourceCode"/>
      </w:pPr>
      <w:r>
        <w:rPr>
          <w:rStyle w:val="VerbatimChar"/>
        </w:rPr>
        <w:t xml:space="preserve">## Warning in row_spec(., 1, bold = T):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SourceCode"/>
      </w:pPr>
      <w:r>
        <w:rPr>
          <w:rStyle w:val="VerbatimChar"/>
        </w:rPr>
        <w:t xml:space="preserve">## Warning in row_spec(., 10, bold = T): Please specify format in kable.</w:t>
      </w:r>
      <w:r>
        <w:br w:type="textWrapping"/>
      </w:r>
      <w:r>
        <w:rPr>
          <w:rStyle w:val="VerbatimChar"/>
        </w:rPr>
        <w:t xml:space="preserve">## kableExtra can customize either HTML or LaTeX outputs. See https://</w:t>
      </w:r>
      <w:r>
        <w:br w:type="textWrapping"/>
      </w:r>
      <w:r>
        <w:rPr>
          <w:rStyle w:val="VerbatimChar"/>
        </w:rPr>
        <w:t xml:space="preserve">## haozhu233.github.io/kableExtra/ for details.</w:t>
      </w:r>
    </w:p>
    <w:p>
      <w:pPr>
        <w:pStyle w:val="TableCaption"/>
      </w:pPr>
      <w:r>
        <w:t xml:space="preserve">Table 5:</w:t>
      </w:r>
      <w:r>
        <w:t xml:space="preserve"> </w:t>
      </w:r>
    </w:p>
    <w:tbl>
      <w:tblPr>
        <w:tblStyle w:val="Table"/>
        <w:tblW w:type="pct" w:w="0.0"/>
        <w:tblLook w:firstRow="0"/>
        <w:tblCaption w:val="Table 5: "/>
      </w:tblPr>
      <w:tblGrid/>
      <w:tr>
        <w:tc>
          <w:p>
            <w:pPr>
              <w:pStyle w:val="Compact"/>
              <w:jc w:val="left"/>
            </w:pPr>
            <w:r>
              <w:t xml:space="preserve">Country</w:t>
            </w:r>
          </w:p>
        </w:tc>
        <w:tc>
          <w:p>
            <w:pPr>
              <w:pStyle w:val="Compact"/>
              <w:jc w:val="left"/>
            </w:pPr>
            <w:r>
              <w:t xml:space="preserve">BFA</w:t>
            </w:r>
          </w:p>
        </w:tc>
        <w:tc>
          <w:p>
            <w:pPr>
              <w:pStyle w:val="Compact"/>
              <w:jc w:val="left"/>
            </w:pPr>
            <w:r>
              <w:t xml:space="preserve">CIV</w:t>
            </w:r>
          </w:p>
        </w:tc>
        <w:tc>
          <w:p>
            <w:pPr>
              <w:pStyle w:val="Compact"/>
              <w:jc w:val="left"/>
            </w:pPr>
            <w:r>
              <w:t xml:space="preserve">GHA</w:t>
            </w:r>
          </w:p>
        </w:tc>
        <w:tc>
          <w:p>
            <w:pPr>
              <w:pStyle w:val="Compact"/>
              <w:jc w:val="left"/>
            </w:pPr>
            <w:r>
              <w:t xml:space="preserve">GMB</w:t>
            </w:r>
          </w:p>
        </w:tc>
        <w:tc>
          <w:p>
            <w:pPr>
              <w:pStyle w:val="Compact"/>
              <w:jc w:val="left"/>
            </w:pPr>
            <w:r>
              <w:t xml:space="preserve">NER</w:t>
            </w:r>
          </w:p>
        </w:tc>
        <w:tc>
          <w:p>
            <w:pPr>
              <w:pStyle w:val="Compact"/>
              <w:jc w:val="left"/>
            </w:pPr>
            <w:r>
              <w:t xml:space="preserve">NGA</w:t>
            </w:r>
          </w:p>
        </w:tc>
        <w:tc>
          <w:p>
            <w:pPr>
              <w:pStyle w:val="Compact"/>
              <w:jc w:val="left"/>
            </w:pPr>
            <w:r>
              <w:t xml:space="preserve">SEN</w:t>
            </w:r>
          </w:p>
        </w:tc>
        <w:tc>
          <w:p>
            <w:pPr>
              <w:pStyle w:val="Compact"/>
              <w:jc w:val="left"/>
            </w:pPr>
            <w:r>
              <w:t xml:space="preserve">TGO</w:t>
            </w:r>
          </w:p>
        </w:tc>
      </w:tr>
      <w:tr>
        <w:tc>
          <w:p>
            <w:pPr>
              <w:pStyle w:val="Compact"/>
              <w:jc w:val="left"/>
            </w:pPr>
            <w:r>
              <w:t xml:space="preserve">BFA</w:t>
            </w:r>
          </w:p>
        </w:tc>
        <w:tc>
          <w:p>
            <w:pPr>
              <w:pStyle w:val="Compact"/>
              <w:jc w:val="left"/>
            </w:pPr>
            <w:r>
              <w:t xml:space="preserve">1</w:t>
            </w:r>
          </w:p>
        </w:tc>
        <w:tc>
          <w:p/>
        </w:tc>
        <w:tc>
          <w:p/>
        </w:tc>
        <w:tc>
          <w:p/>
        </w:tc>
        <w:tc>
          <w:p/>
        </w:tc>
        <w:tc>
          <w:p/>
        </w:tc>
        <w:tc>
          <w:p/>
        </w:tc>
        <w:tc>
          <w:p/>
        </w:tc>
      </w:tr>
      <w:tr>
        <w:tc>
          <w:p>
            <w:pPr>
              <w:pStyle w:val="Compact"/>
              <w:jc w:val="left"/>
            </w:pPr>
            <w:r>
              <w:t xml:space="preserve">CIV</w:t>
            </w:r>
          </w:p>
        </w:tc>
        <w:tc>
          <w:p>
            <w:pPr>
              <w:pStyle w:val="Compact"/>
              <w:jc w:val="left"/>
            </w:pPr>
            <w:r>
              <w:t xml:space="preserve">-0.19</w:t>
            </w:r>
          </w:p>
        </w:tc>
        <w:tc>
          <w:p>
            <w:pPr>
              <w:pStyle w:val="Compact"/>
              <w:jc w:val="left"/>
            </w:pPr>
            <w:r>
              <w:t xml:space="preserve">1</w:t>
            </w:r>
          </w:p>
        </w:tc>
        <w:tc>
          <w:p/>
        </w:tc>
        <w:tc>
          <w:p/>
        </w:tc>
        <w:tc>
          <w:p/>
        </w:tc>
        <w:tc>
          <w:p/>
        </w:tc>
        <w:tc>
          <w:p/>
        </w:tc>
        <w:tc>
          <w:p/>
        </w:tc>
      </w:tr>
      <w:tr>
        <w:tc>
          <w:p>
            <w:pPr>
              <w:pStyle w:val="Compact"/>
              <w:jc w:val="left"/>
            </w:pPr>
            <w:r>
              <w:t xml:space="preserve">GHA</w:t>
            </w:r>
          </w:p>
        </w:tc>
        <w:tc>
          <w:p>
            <w:pPr>
              <w:pStyle w:val="Compact"/>
              <w:jc w:val="left"/>
            </w:pPr>
            <w:r>
              <w:t xml:space="preserve">0.09</w:t>
            </w:r>
          </w:p>
        </w:tc>
        <w:tc>
          <w:p>
            <w:pPr>
              <w:pStyle w:val="Compact"/>
              <w:jc w:val="left"/>
            </w:pPr>
            <w:r>
              <w:t xml:space="preserve">0.15</w:t>
            </w:r>
          </w:p>
        </w:tc>
        <w:tc>
          <w:p>
            <w:pPr>
              <w:pStyle w:val="Compact"/>
              <w:jc w:val="left"/>
            </w:pPr>
            <w:r>
              <w:t xml:space="preserve">1</w:t>
            </w:r>
          </w:p>
        </w:tc>
        <w:tc>
          <w:p/>
        </w:tc>
        <w:tc>
          <w:p/>
        </w:tc>
        <w:tc>
          <w:p/>
        </w:tc>
        <w:tc>
          <w:p/>
        </w:tc>
        <w:tc>
          <w:p/>
        </w:tc>
      </w:tr>
      <w:tr>
        <w:tc>
          <w:p>
            <w:pPr>
              <w:pStyle w:val="Compact"/>
              <w:jc w:val="left"/>
            </w:pPr>
            <w:r>
              <w:t xml:space="preserve">GMB</w:t>
            </w:r>
          </w:p>
        </w:tc>
        <w:tc>
          <w:p>
            <w:pPr>
              <w:pStyle w:val="Compact"/>
              <w:jc w:val="left"/>
            </w:pPr>
            <w:r>
              <w:t xml:space="preserve">0.07</w:t>
            </w:r>
          </w:p>
        </w:tc>
        <w:tc>
          <w:p>
            <w:pPr>
              <w:pStyle w:val="Compact"/>
              <w:jc w:val="left"/>
            </w:pPr>
            <w:r>
              <w:t xml:space="preserve">-0.08</w:t>
            </w:r>
          </w:p>
        </w:tc>
        <w:tc>
          <w:p>
            <w:pPr>
              <w:pStyle w:val="Compact"/>
              <w:jc w:val="left"/>
            </w:pPr>
            <w:r>
              <w:t xml:space="preserve">-0.05</w:t>
            </w:r>
          </w:p>
        </w:tc>
        <w:tc>
          <w:p>
            <w:pPr>
              <w:pStyle w:val="Compact"/>
              <w:jc w:val="left"/>
            </w:pPr>
            <w:r>
              <w:t xml:space="preserve">1</w:t>
            </w:r>
          </w:p>
        </w:tc>
        <w:tc>
          <w:p/>
        </w:tc>
        <w:tc>
          <w:p/>
        </w:tc>
        <w:tc>
          <w:p/>
        </w:tc>
        <w:tc>
          <w:p/>
        </w:tc>
      </w:tr>
      <w:tr>
        <w:tc>
          <w:p>
            <w:pPr>
              <w:pStyle w:val="Compact"/>
              <w:jc w:val="left"/>
            </w:pPr>
            <w:r>
              <w:t xml:space="preserve">NER</w:t>
            </w:r>
          </w:p>
        </w:tc>
        <w:tc>
          <w:p>
            <w:pPr>
              <w:pStyle w:val="Compact"/>
              <w:jc w:val="left"/>
            </w:pPr>
            <w:r>
              <w:t xml:space="preserve">-0.51</w:t>
            </w:r>
          </w:p>
        </w:tc>
        <w:tc>
          <w:p>
            <w:pPr>
              <w:pStyle w:val="Compact"/>
              <w:jc w:val="left"/>
            </w:pPr>
            <w:r>
              <w:t xml:space="preserve">-0.19</w:t>
            </w:r>
          </w:p>
        </w:tc>
        <w:tc>
          <w:p>
            <w:pPr>
              <w:pStyle w:val="Compact"/>
              <w:jc w:val="left"/>
            </w:pPr>
            <w:r>
              <w:t xml:space="preserve">-0.05</w:t>
            </w:r>
          </w:p>
        </w:tc>
        <w:tc>
          <w:p>
            <w:pPr>
              <w:pStyle w:val="Compact"/>
              <w:jc w:val="left"/>
            </w:pPr>
            <w:r>
              <w:t xml:space="preserve">-0.16</w:t>
            </w:r>
          </w:p>
        </w:tc>
        <w:tc>
          <w:p>
            <w:pPr>
              <w:pStyle w:val="Compact"/>
              <w:jc w:val="left"/>
            </w:pPr>
            <w:r>
              <w:t xml:space="preserve">1</w:t>
            </w:r>
          </w:p>
        </w:tc>
        <w:tc>
          <w:p/>
        </w:tc>
        <w:tc>
          <w:p/>
        </w:tc>
        <w:tc>
          <w:p/>
        </w:tc>
      </w:tr>
      <w:tr>
        <w:tc>
          <w:p>
            <w:pPr>
              <w:pStyle w:val="Compact"/>
              <w:jc w:val="left"/>
            </w:pPr>
            <w:r>
              <w:t xml:space="preserve">NGA</w:t>
            </w:r>
          </w:p>
        </w:tc>
        <w:tc>
          <w:p>
            <w:pPr>
              <w:pStyle w:val="Compact"/>
              <w:jc w:val="left"/>
            </w:pPr>
            <w:r>
              <w:t xml:space="preserve">-0.11</w:t>
            </w:r>
          </w:p>
        </w:tc>
        <w:tc>
          <w:p>
            <w:pPr>
              <w:pStyle w:val="Compact"/>
              <w:jc w:val="left"/>
            </w:pPr>
            <w:r>
              <w:t xml:space="preserve">0.08</w:t>
            </w:r>
          </w:p>
        </w:tc>
        <w:tc>
          <w:p>
            <w:pPr>
              <w:pStyle w:val="Compact"/>
              <w:jc w:val="left"/>
            </w:pPr>
            <w:r>
              <w:t xml:space="preserve">0.03</w:t>
            </w:r>
          </w:p>
        </w:tc>
        <w:tc>
          <w:p>
            <w:pPr>
              <w:pStyle w:val="Compact"/>
              <w:jc w:val="left"/>
            </w:pPr>
            <w:r>
              <w:t xml:space="preserve">-0.14</w:t>
            </w:r>
          </w:p>
        </w:tc>
        <w:tc>
          <w:p>
            <w:pPr>
              <w:pStyle w:val="Compact"/>
              <w:jc w:val="left"/>
            </w:pPr>
            <w:r>
              <w:t xml:space="preserve">-0.03</w:t>
            </w:r>
          </w:p>
        </w:tc>
        <w:tc>
          <w:p>
            <w:pPr>
              <w:pStyle w:val="Compact"/>
              <w:jc w:val="left"/>
            </w:pPr>
            <w:r>
              <w:t xml:space="preserve">1</w:t>
            </w:r>
          </w:p>
        </w:tc>
        <w:tc>
          <w:p/>
        </w:tc>
        <w:tc>
          <w:p/>
        </w:tc>
      </w:tr>
      <w:tr>
        <w:tc>
          <w:p>
            <w:pPr>
              <w:pStyle w:val="Compact"/>
              <w:jc w:val="left"/>
            </w:pPr>
            <w:r>
              <w:t xml:space="preserve">SEN</w:t>
            </w:r>
          </w:p>
        </w:tc>
        <w:tc>
          <w:p>
            <w:pPr>
              <w:pStyle w:val="Compact"/>
              <w:jc w:val="left"/>
            </w:pPr>
            <w:r>
              <w:t xml:space="preserve">-0.29</w:t>
            </w:r>
          </w:p>
        </w:tc>
        <w:tc>
          <w:p>
            <w:pPr>
              <w:pStyle w:val="Compact"/>
              <w:jc w:val="left"/>
            </w:pPr>
            <w:r>
              <w:t xml:space="preserve">-0.02</w:t>
            </w:r>
          </w:p>
        </w:tc>
        <w:tc>
          <w:p>
            <w:pPr>
              <w:pStyle w:val="Compact"/>
              <w:jc w:val="left"/>
            </w:pPr>
            <w:r>
              <w:t xml:space="preserve">-0.21</w:t>
            </w:r>
          </w:p>
        </w:tc>
        <w:tc>
          <w:p>
            <w:pPr>
              <w:pStyle w:val="Compact"/>
              <w:jc w:val="left"/>
            </w:pPr>
            <w:r>
              <w:t xml:space="preserve">-0.08</w:t>
            </w:r>
          </w:p>
        </w:tc>
        <w:tc>
          <w:p>
            <w:pPr>
              <w:pStyle w:val="Compact"/>
              <w:jc w:val="left"/>
            </w:pPr>
            <w:r>
              <w:t xml:space="preserve">-0.25</w:t>
            </w:r>
          </w:p>
        </w:tc>
        <w:tc>
          <w:p>
            <w:pPr>
              <w:pStyle w:val="Compact"/>
              <w:jc w:val="left"/>
            </w:pPr>
            <w:r>
              <w:t xml:space="preserve">-0.01</w:t>
            </w:r>
          </w:p>
        </w:tc>
        <w:tc>
          <w:p>
            <w:pPr>
              <w:pStyle w:val="Compact"/>
              <w:jc w:val="left"/>
            </w:pPr>
            <w:r>
              <w:t xml:space="preserve">1</w:t>
            </w:r>
          </w:p>
        </w:tc>
        <w:tc>
          <w:p/>
        </w:tc>
      </w:tr>
      <w:tr>
        <w:tc>
          <w:p>
            <w:pPr>
              <w:pStyle w:val="Compact"/>
              <w:jc w:val="left"/>
            </w:pPr>
            <w:r>
              <w:t xml:space="preserve">TGO</w:t>
            </w:r>
          </w:p>
        </w:tc>
        <w:tc>
          <w:p>
            <w:pPr>
              <w:pStyle w:val="Compact"/>
              <w:jc w:val="left"/>
            </w:pPr>
            <w:r>
              <w:t xml:space="preserve">-0.31</w:t>
            </w:r>
          </w:p>
        </w:tc>
        <w:tc>
          <w:p>
            <w:pPr>
              <w:pStyle w:val="Compact"/>
              <w:jc w:val="left"/>
            </w:pPr>
            <w:r>
              <w:t xml:space="preserve">0.03</w:t>
            </w:r>
          </w:p>
        </w:tc>
        <w:tc>
          <w:p>
            <w:pPr>
              <w:pStyle w:val="Compact"/>
              <w:jc w:val="left"/>
            </w:pPr>
            <w:r>
              <w:t xml:space="preserve">0.05</w:t>
            </w:r>
          </w:p>
        </w:tc>
        <w:tc>
          <w:p>
            <w:pPr>
              <w:pStyle w:val="Compact"/>
              <w:jc w:val="left"/>
            </w:pPr>
            <w:r>
              <w:t xml:space="preserve">-0.2</w:t>
            </w:r>
          </w:p>
        </w:tc>
        <w:tc>
          <w:p>
            <w:pPr>
              <w:pStyle w:val="Compact"/>
              <w:jc w:val="left"/>
            </w:pPr>
            <w:r>
              <w:t xml:space="preserve">-0.28</w:t>
            </w:r>
          </w:p>
        </w:tc>
        <w:tc>
          <w:p>
            <w:pPr>
              <w:pStyle w:val="Compact"/>
              <w:jc w:val="left"/>
            </w:pPr>
            <w:r>
              <w:t xml:space="preserve">0.22</w:t>
            </w:r>
          </w:p>
        </w:tc>
        <w:tc>
          <w:p>
            <w:pPr>
              <w:pStyle w:val="Compact"/>
              <w:jc w:val="left"/>
            </w:pPr>
            <w:r>
              <w:t xml:space="preserve">0.04</w:t>
            </w:r>
          </w:p>
        </w:tc>
        <w:tc>
          <w:p>
            <w:pPr>
              <w:pStyle w:val="Compact"/>
              <w:jc w:val="left"/>
            </w:pPr>
            <w:r>
              <w:t xml:space="preserve">1</w:t>
            </w:r>
          </w:p>
        </w:tc>
      </w:tr>
      <w:tr>
        <w:tc>
          <w:p>
            <w:pPr>
              <w:pStyle w:val="Compact"/>
              <w:jc w:val="left"/>
            </w:pPr>
            <w:r>
              <w:t xml:space="preserve">Country</w:t>
            </w:r>
          </w:p>
        </w:tc>
        <w:tc>
          <w:p>
            <w:pPr>
              <w:pStyle w:val="Compact"/>
              <w:jc w:val="left"/>
            </w:pPr>
            <w:r>
              <w:t xml:space="preserve">BFA</w:t>
            </w:r>
          </w:p>
        </w:tc>
        <w:tc>
          <w:p>
            <w:pPr>
              <w:pStyle w:val="Compact"/>
              <w:jc w:val="left"/>
            </w:pPr>
            <w:r>
              <w:t xml:space="preserve">CIV</w:t>
            </w:r>
          </w:p>
        </w:tc>
        <w:tc>
          <w:p>
            <w:pPr>
              <w:pStyle w:val="Compact"/>
              <w:jc w:val="left"/>
            </w:pPr>
            <w:r>
              <w:t xml:space="preserve">GHA</w:t>
            </w:r>
          </w:p>
        </w:tc>
        <w:tc>
          <w:p>
            <w:pPr>
              <w:pStyle w:val="Compact"/>
              <w:jc w:val="left"/>
            </w:pPr>
            <w:r>
              <w:t xml:space="preserve">GMB</w:t>
            </w:r>
          </w:p>
        </w:tc>
        <w:tc>
          <w:p>
            <w:pPr>
              <w:pStyle w:val="Compact"/>
              <w:jc w:val="left"/>
            </w:pPr>
            <w:r>
              <w:t xml:space="preserve">NER</w:t>
            </w:r>
          </w:p>
        </w:tc>
        <w:tc>
          <w:p>
            <w:pPr>
              <w:pStyle w:val="Compact"/>
              <w:jc w:val="left"/>
            </w:pPr>
            <w:r>
              <w:t xml:space="preserve">NGA</w:t>
            </w:r>
          </w:p>
        </w:tc>
        <w:tc>
          <w:p>
            <w:pPr>
              <w:pStyle w:val="Compact"/>
              <w:jc w:val="left"/>
            </w:pPr>
            <w:r>
              <w:t xml:space="preserve">SEN</w:t>
            </w:r>
          </w:p>
        </w:tc>
        <w:tc>
          <w:p>
            <w:pPr>
              <w:pStyle w:val="Compact"/>
              <w:jc w:val="left"/>
            </w:pPr>
            <w:r>
              <w:t xml:space="preserve">TGO</w:t>
            </w:r>
          </w:p>
        </w:tc>
      </w:tr>
      <w:tr>
        <w:tc>
          <w:p>
            <w:pPr>
              <w:pStyle w:val="Compact"/>
              <w:jc w:val="left"/>
            </w:pPr>
            <w:r>
              <w:t xml:space="preserve">BFA</w:t>
            </w:r>
          </w:p>
        </w:tc>
        <w:tc>
          <w:p>
            <w:pPr>
              <w:pStyle w:val="Compact"/>
              <w:jc w:val="left"/>
            </w:pPr>
            <w:r>
              <w:t xml:space="preserve">1</w:t>
            </w:r>
          </w:p>
        </w:tc>
        <w:tc>
          <w:p/>
        </w:tc>
        <w:tc>
          <w:p/>
        </w:tc>
        <w:tc>
          <w:p/>
        </w:tc>
        <w:tc>
          <w:p/>
        </w:tc>
        <w:tc>
          <w:p/>
        </w:tc>
        <w:tc>
          <w:p/>
        </w:tc>
        <w:tc>
          <w:p/>
        </w:tc>
      </w:tr>
      <w:tr>
        <w:tc>
          <w:p>
            <w:pPr>
              <w:pStyle w:val="Compact"/>
              <w:jc w:val="left"/>
            </w:pPr>
            <w:r>
              <w:t xml:space="preserve">CIV</w:t>
            </w:r>
          </w:p>
        </w:tc>
        <w:tc>
          <w:p>
            <w:pPr>
              <w:pStyle w:val="Compact"/>
              <w:jc w:val="left"/>
            </w:pPr>
            <w:r>
              <w:t xml:space="preserve">-0.07</w:t>
            </w:r>
          </w:p>
        </w:tc>
        <w:tc>
          <w:p>
            <w:pPr>
              <w:pStyle w:val="Compact"/>
              <w:jc w:val="left"/>
            </w:pPr>
            <w:r>
              <w:t xml:space="preserve">1</w:t>
            </w:r>
          </w:p>
        </w:tc>
        <w:tc>
          <w:p/>
        </w:tc>
        <w:tc>
          <w:p/>
        </w:tc>
        <w:tc>
          <w:p/>
        </w:tc>
        <w:tc>
          <w:p/>
        </w:tc>
        <w:tc>
          <w:p/>
        </w:tc>
        <w:tc>
          <w:p/>
        </w:tc>
      </w:tr>
      <w:tr>
        <w:tc>
          <w:p>
            <w:pPr>
              <w:pStyle w:val="Compact"/>
              <w:jc w:val="left"/>
            </w:pPr>
            <w:r>
              <w:t xml:space="preserve">GHA</w:t>
            </w:r>
          </w:p>
        </w:tc>
        <w:tc>
          <w:p>
            <w:pPr>
              <w:pStyle w:val="Compact"/>
              <w:jc w:val="left"/>
            </w:pPr>
            <w:r>
              <w:t xml:space="preserve">-0.06</w:t>
            </w:r>
          </w:p>
        </w:tc>
        <w:tc>
          <w:p>
            <w:pPr>
              <w:pStyle w:val="Compact"/>
              <w:jc w:val="left"/>
            </w:pPr>
            <w:r>
              <w:t xml:space="preserve">-0.04</w:t>
            </w:r>
          </w:p>
        </w:tc>
        <w:tc>
          <w:p>
            <w:pPr>
              <w:pStyle w:val="Compact"/>
              <w:jc w:val="left"/>
            </w:pPr>
            <w:r>
              <w:t xml:space="preserve">1</w:t>
            </w:r>
          </w:p>
        </w:tc>
        <w:tc>
          <w:p/>
        </w:tc>
        <w:tc>
          <w:p/>
        </w:tc>
        <w:tc>
          <w:p/>
        </w:tc>
        <w:tc>
          <w:p/>
        </w:tc>
        <w:tc>
          <w:p/>
        </w:tc>
      </w:tr>
      <w:tr>
        <w:tc>
          <w:p>
            <w:pPr>
              <w:pStyle w:val="Compact"/>
              <w:jc w:val="left"/>
            </w:pPr>
            <w:r>
              <w:t xml:space="preserve">GMB</w:t>
            </w:r>
          </w:p>
        </w:tc>
        <w:tc>
          <w:p>
            <w:pPr>
              <w:pStyle w:val="Compact"/>
              <w:jc w:val="left"/>
            </w:pPr>
            <w:r>
              <w:t xml:space="preserve">-0.25</w:t>
            </w:r>
          </w:p>
        </w:tc>
        <w:tc>
          <w:p>
            <w:pPr>
              <w:pStyle w:val="Compact"/>
              <w:jc w:val="left"/>
            </w:pPr>
            <w:r>
              <w:t xml:space="preserve">0.13</w:t>
            </w:r>
          </w:p>
        </w:tc>
        <w:tc>
          <w:p>
            <w:pPr>
              <w:pStyle w:val="Compact"/>
              <w:jc w:val="left"/>
            </w:pPr>
            <w:r>
              <w:t xml:space="preserve">0.04</w:t>
            </w:r>
          </w:p>
        </w:tc>
        <w:tc>
          <w:p>
            <w:pPr>
              <w:pStyle w:val="Compact"/>
              <w:jc w:val="left"/>
            </w:pPr>
            <w:r>
              <w:t xml:space="preserve">1</w:t>
            </w:r>
          </w:p>
        </w:tc>
        <w:tc>
          <w:p/>
        </w:tc>
        <w:tc>
          <w:p/>
        </w:tc>
        <w:tc>
          <w:p/>
        </w:tc>
        <w:tc>
          <w:p/>
        </w:tc>
      </w:tr>
      <w:tr>
        <w:tc>
          <w:p>
            <w:pPr>
              <w:pStyle w:val="Compact"/>
              <w:jc w:val="left"/>
            </w:pPr>
            <w:r>
              <w:t xml:space="preserve">NER</w:t>
            </w:r>
          </w:p>
        </w:tc>
        <w:tc>
          <w:p>
            <w:pPr>
              <w:pStyle w:val="Compact"/>
              <w:jc w:val="left"/>
            </w:pPr>
            <w:r>
              <w:t xml:space="preserve">-0.1</w:t>
            </w:r>
          </w:p>
        </w:tc>
        <w:tc>
          <w:p>
            <w:pPr>
              <w:pStyle w:val="Compact"/>
              <w:jc w:val="left"/>
            </w:pPr>
            <w:r>
              <w:t xml:space="preserve">0.05</w:t>
            </w:r>
          </w:p>
        </w:tc>
        <w:tc>
          <w:p>
            <w:pPr>
              <w:pStyle w:val="Compact"/>
              <w:jc w:val="left"/>
            </w:pPr>
            <w:r>
              <w:t xml:space="preserve">-0.02</w:t>
            </w:r>
          </w:p>
        </w:tc>
        <w:tc>
          <w:p>
            <w:pPr>
              <w:pStyle w:val="Compact"/>
              <w:jc w:val="left"/>
            </w:pPr>
            <w:r>
              <w:t xml:space="preserve">-0.08</w:t>
            </w:r>
          </w:p>
        </w:tc>
        <w:tc>
          <w:p>
            <w:pPr>
              <w:pStyle w:val="Compact"/>
              <w:jc w:val="left"/>
            </w:pPr>
            <w:r>
              <w:t xml:space="preserve">1</w:t>
            </w:r>
          </w:p>
        </w:tc>
        <w:tc>
          <w:p/>
        </w:tc>
        <w:tc>
          <w:p/>
        </w:tc>
        <w:tc>
          <w:p/>
        </w:tc>
      </w:tr>
      <w:tr>
        <w:tc>
          <w:p>
            <w:pPr>
              <w:pStyle w:val="Compact"/>
              <w:jc w:val="left"/>
            </w:pPr>
            <w:r>
              <w:t xml:space="preserve">NGA</w:t>
            </w:r>
          </w:p>
        </w:tc>
        <w:tc>
          <w:p>
            <w:pPr>
              <w:pStyle w:val="Compact"/>
              <w:jc w:val="left"/>
            </w:pPr>
            <w:r>
              <w:t xml:space="preserve">-0.03</w:t>
            </w:r>
          </w:p>
        </w:tc>
        <w:tc>
          <w:p>
            <w:pPr>
              <w:pStyle w:val="Compact"/>
              <w:jc w:val="left"/>
            </w:pPr>
            <w:r>
              <w:t xml:space="preserve">-0.11</w:t>
            </w:r>
          </w:p>
        </w:tc>
        <w:tc>
          <w:p>
            <w:pPr>
              <w:pStyle w:val="Compact"/>
              <w:jc w:val="left"/>
            </w:pPr>
            <w:r>
              <w:t xml:space="preserve">-0.29</w:t>
            </w:r>
          </w:p>
        </w:tc>
        <w:tc>
          <w:p>
            <w:pPr>
              <w:pStyle w:val="Compact"/>
              <w:jc w:val="left"/>
            </w:pPr>
            <w:r>
              <w:t xml:space="preserve">-0.05</w:t>
            </w:r>
          </w:p>
        </w:tc>
        <w:tc>
          <w:p>
            <w:pPr>
              <w:pStyle w:val="Compact"/>
              <w:jc w:val="left"/>
            </w:pPr>
            <w:r>
              <w:t xml:space="preserve">0.05</w:t>
            </w:r>
          </w:p>
        </w:tc>
        <w:tc>
          <w:p>
            <w:pPr>
              <w:pStyle w:val="Compact"/>
              <w:jc w:val="left"/>
            </w:pPr>
            <w:r>
              <w:t xml:space="preserve">1</w:t>
            </w:r>
          </w:p>
        </w:tc>
        <w:tc>
          <w:p/>
        </w:tc>
        <w:tc>
          <w:p/>
        </w:tc>
      </w:tr>
      <w:tr>
        <w:tc>
          <w:p>
            <w:pPr>
              <w:pStyle w:val="Compact"/>
              <w:jc w:val="left"/>
            </w:pPr>
            <w:r>
              <w:t xml:space="preserve">SEN</w:t>
            </w:r>
          </w:p>
        </w:tc>
        <w:tc>
          <w:p>
            <w:pPr>
              <w:pStyle w:val="Compact"/>
              <w:jc w:val="left"/>
            </w:pPr>
            <w:r>
              <w:t xml:space="preserve">-0.06</w:t>
            </w:r>
          </w:p>
        </w:tc>
        <w:tc>
          <w:p>
            <w:pPr>
              <w:pStyle w:val="Compact"/>
              <w:jc w:val="left"/>
            </w:pPr>
            <w:r>
              <w:t xml:space="preserve">-0.11</w:t>
            </w:r>
          </w:p>
        </w:tc>
        <w:tc>
          <w:p>
            <w:pPr>
              <w:pStyle w:val="Compact"/>
              <w:jc w:val="left"/>
            </w:pPr>
            <w:r>
              <w:t xml:space="preserve">0.06</w:t>
            </w:r>
          </w:p>
        </w:tc>
        <w:tc>
          <w:p>
            <w:pPr>
              <w:pStyle w:val="Compact"/>
              <w:jc w:val="left"/>
            </w:pPr>
            <w:r>
              <w:t xml:space="preserve">0.1</w:t>
            </w:r>
          </w:p>
        </w:tc>
        <w:tc>
          <w:p>
            <w:pPr>
              <w:pStyle w:val="Compact"/>
              <w:jc w:val="left"/>
            </w:pPr>
            <w:r>
              <w:t xml:space="preserve">-0.17</w:t>
            </w:r>
          </w:p>
        </w:tc>
        <w:tc>
          <w:p>
            <w:pPr>
              <w:pStyle w:val="Compact"/>
              <w:jc w:val="left"/>
            </w:pPr>
            <w:r>
              <w:t xml:space="preserve">-0.12</w:t>
            </w:r>
          </w:p>
        </w:tc>
        <w:tc>
          <w:p>
            <w:pPr>
              <w:pStyle w:val="Compact"/>
              <w:jc w:val="left"/>
            </w:pPr>
            <w:r>
              <w:t xml:space="preserve">1</w:t>
            </w:r>
          </w:p>
        </w:tc>
        <w:tc>
          <w:p/>
        </w:tc>
      </w:tr>
      <w:tr>
        <w:tc>
          <w:p>
            <w:pPr>
              <w:pStyle w:val="Compact"/>
              <w:jc w:val="left"/>
            </w:pPr>
            <w:r>
              <w:t xml:space="preserve">TGO</w:t>
            </w:r>
          </w:p>
        </w:tc>
        <w:tc>
          <w:p>
            <w:pPr>
              <w:pStyle w:val="Compact"/>
              <w:jc w:val="left"/>
            </w:pPr>
            <w:r>
              <w:t xml:space="preserve">-0.26</w:t>
            </w:r>
          </w:p>
        </w:tc>
        <w:tc>
          <w:p>
            <w:pPr>
              <w:pStyle w:val="Compact"/>
              <w:jc w:val="left"/>
            </w:pPr>
            <w:r>
              <w:t xml:space="preserve">-0.24</w:t>
            </w:r>
          </w:p>
        </w:tc>
        <w:tc>
          <w:p>
            <w:pPr>
              <w:pStyle w:val="Compact"/>
              <w:jc w:val="left"/>
            </w:pPr>
            <w:r>
              <w:t xml:space="preserve">-0.31</w:t>
            </w:r>
          </w:p>
        </w:tc>
        <w:tc>
          <w:p>
            <w:pPr>
              <w:pStyle w:val="Compact"/>
              <w:jc w:val="left"/>
            </w:pPr>
            <w:r>
              <w:t xml:space="preserve">-0.13</w:t>
            </w:r>
          </w:p>
        </w:tc>
        <w:tc>
          <w:p>
            <w:pPr>
              <w:pStyle w:val="Compact"/>
              <w:jc w:val="left"/>
            </w:pPr>
            <w:r>
              <w:t xml:space="preserve">-0.38</w:t>
            </w:r>
          </w:p>
        </w:tc>
        <w:tc>
          <w:p>
            <w:pPr>
              <w:pStyle w:val="Compact"/>
              <w:jc w:val="left"/>
            </w:pPr>
            <w:r>
              <w:t xml:space="preserve">-0.11</w:t>
            </w:r>
          </w:p>
        </w:tc>
        <w:tc>
          <w:p>
            <w:pPr>
              <w:pStyle w:val="Compact"/>
              <w:jc w:val="left"/>
            </w:pPr>
            <w:r>
              <w:t xml:space="preserve">-0.31</w:t>
            </w:r>
          </w:p>
        </w:tc>
        <w:tc>
          <w:p>
            <w:pPr>
              <w:pStyle w:val="Compact"/>
              <w:jc w:val="left"/>
            </w:pPr>
            <w:r>
              <w:t xml:space="preserve">1</w:t>
            </w:r>
          </w:p>
        </w:tc>
      </w:tr>
    </w:tbl>
    <w:p>
      <w:pPr>
        <w:pStyle w:val="Heading1"/>
      </w:pPr>
      <w:bookmarkStart w:id="45" w:name="discussion-and-policy-implication"/>
      <w:r>
        <w:t xml:space="preserve">Discussion and policy implication</w:t>
      </w:r>
      <w:bookmarkEnd w:id="45"/>
    </w:p>
    <w:p>
      <w:pPr>
        <w:pStyle w:val="FirstParagraph"/>
      </w:pPr>
      <w:r>
        <w:t xml:space="preserve">The result in the previous section will be compared against the research questions and then propose some policy options based on the comparison. As regard to the first question which asks whether the ECOWAS members meet primary and secondary convergence criteria, none of the countries has met these criteria. Hence, the answer to the first research question is no as the overview of these criteria in section 2 reveals. The second question tries to examine whether the domestic shocks are symmetric. The answer to this question is also no because the correlations of the domestic shocks as indicated by Tables</w:t>
      </w:r>
      <w:r>
        <w:t xml:space="preserve"> </w:t>
      </w:r>
      <w:r>
        <w:t xml:space="preserve">4</w:t>
      </w:r>
      <w:r>
        <w:t xml:space="preserve"> </w:t>
      </w:r>
      <w:r>
        <w:t xml:space="preserve">and</w:t>
      </w:r>
      <w:r>
        <w:t xml:space="preserve"> </w:t>
      </w:r>
      <w:r>
        <w:t xml:space="preserve">5</w:t>
      </w:r>
      <w:r>
        <w:t xml:space="preserve"> </w:t>
      </w:r>
      <w:r>
        <w:t xml:space="preserve">are not strongly positive. This indicates that shocks that hit the ECOWAS members are asymmetric. The third question attempts to test whether shocks in the ECOWAS countries are dominated by regional shocks. Variance decomposition in Tables</w:t>
      </w:r>
      <w:r>
        <w:t xml:space="preserve"> </w:t>
      </w:r>
      <w:r>
        <w:t xml:space="preserve">4</w:t>
      </w:r>
      <w:r>
        <w:t xml:space="preserve"> </w:t>
      </w:r>
      <w:r>
        <w:t xml:space="preserve">and</w:t>
      </w:r>
      <w:r>
        <w:t xml:space="preserve"> </w:t>
      </w:r>
      <w:r>
        <w:t xml:space="preserve">5</w:t>
      </w:r>
      <w:r>
        <w:t xml:space="preserve"> </w:t>
      </w:r>
      <w:r>
        <w:t xml:space="preserve">are used to address this question. All the ECOWAS countries apart from Cote D’Ivoire, Niger and Togo are not DS-dominated before the establishment of WAEMU as shown by M2-2H and M3-24H, but only Nigeria, the Gambia and Ghana are not RS-dominated after the creation WAEMU as indicated by M3-2H. However, longer horizon indicates that only Ghana and the Gambia are not RS-dominated as shown by M3-24H of Table</w:t>
      </w:r>
      <w:r>
        <w:t xml:space="preserve"> </w:t>
      </w:r>
      <w:r>
        <w:t xml:space="preserve">2</w:t>
      </w:r>
      <w:r>
        <w:t xml:space="preserve">. This implies that Nigeria and all the WAEMU countries have become RS-dominated after the establishment of WAEMU. Furthermore, Nigeria, Ghana and the Gambia are not RS-dominated even after the establishment of WAMZ, as shown by M6-2H and M6-24H of Table</w:t>
      </w:r>
      <w:r>
        <w:t xml:space="preserve"> </w:t>
      </w:r>
      <w:r>
        <w:t xml:space="preserve">3</w:t>
      </w:r>
      <w:r>
        <w:t xml:space="preserve">. The implication is that Nigeria, which has been RS-dominated after the creation of WAEMU, has ceased to be RS-dominated after the establishment of WAMZ. Impulse response analysis is used to answer the fourth question, which examines whether the responses of ECOWAS countries to a given shock are similar. According to M2-G, M2-R, M3-G, and M3-R of Figure</w:t>
      </w:r>
      <w:r>
        <w:t xml:space="preserve"> </w:t>
      </w:r>
      <w:r>
        <w:t xml:space="preserve">1</w:t>
      </w:r>
      <w:r>
        <w:t xml:space="preserve">, the paths of impulse responses are not similar for all the countries, even after the establishment of WAEMU and WAMZ. Although some countries have similar paths of response to a given shock (GS or RS) in terms of sign, the magnitudes of the responses to such shocks are different.</w:t>
      </w:r>
    </w:p>
    <w:p>
      <w:pPr>
        <w:pStyle w:val="BodyText"/>
      </w:pPr>
      <w:r>
        <w:t xml:space="preserve">In essence, the answer to all the four questions are no, hence forming a monetary union among the ECOWAS members by 2020 is nothing but a mirage. This nevertheless, the impulse response figures indicate that forming the WAEMU and WAMZ leads to lower magnitude of responses to both regional and global inflationary shocks.</w:t>
      </w:r>
    </w:p>
    <w:p>
      <w:pPr>
        <w:pStyle w:val="Heading1"/>
      </w:pPr>
      <w:bookmarkStart w:id="46" w:name="conclusion"/>
      <w:r>
        <w:t xml:space="preserve">Conclusion</w:t>
      </w:r>
      <w:bookmarkEnd w:id="46"/>
    </w:p>
    <w:p>
      <w:pPr>
        <w:pStyle w:val="FirstParagraph"/>
      </w:pPr>
      <w:r>
        <w:t xml:space="preserve">Previous studies conducted in this area focus on the other sources of shocks than inflation. It is argued that inflationary shocks are equally important in any decision about forming an MU</w:t>
      </w:r>
      <w:r>
        <w:t xml:space="preserve"> </w:t>
      </w:r>
      <w:r>
        <w:t xml:space="preserve">(Alagidede et al.,</w:t>
      </w:r>
      <w:r>
        <w:t xml:space="preserve"> </w:t>
      </w:r>
      <w:hyperlink w:anchor="ref-ALAGIDEDE2012460">
        <w:r>
          <w:rPr>
            <w:rStyle w:val="Hyperlink"/>
          </w:rPr>
          <w:t xml:space="preserve">2012</w:t>
        </w:r>
      </w:hyperlink>
      <w:r>
        <w:t xml:space="preserve">)</w:t>
      </w:r>
      <w:r>
        <w:t xml:space="preserve">. After conducting analysis using ECOWAS Convergence Criteria, impulse response, variance decomposition and correlation of shocks, this study determines that ECOWAS vision 2020 aimed at forming a full-fledge monetary union is nothing but a mirage. On the other hand, impulse response analysis shows that creating a common currency among the WAEMU countries serves as an inflationary shock absorber as the magnitudes of responses to both regional and global inflationary shocks fall after the establishment of WAEMU. The analysis of variance decomposition further supports the advantage of creating a common currency, as all the WAEMU members and Nigeria have become RS-dominated since the inception of the WAEMU. However, the correlation analysis indicates that neither the creation of WAEMU nor WAMZ has led to significant improvement of symmetry of the domestic inflationary shocks</w:t>
      </w:r>
    </w:p>
    <w:p>
      <w:pPr>
        <w:pStyle w:val="BodyText"/>
      </w:pPr>
      <w:r>
        <w:t xml:space="preserve">The lack of support for all the hypotheses imply three conclusions: ECOWAS Vision 2020 is a mirage, single monetary policy could be costly for countries like Niger and Burkina Faso, and some countries like Gambia and Ghana can suffer from creating a common currency. However, creating common currency among the WAEMU members has not only reduced the magnitudes of impulse responses but also made regional shocks to dominate forecast error variance. To sum up, even though the ECOWAS Vision 2020 is not realizable, creating a single currency among the WAEMU members help reduce the negative spillover effect of global and regional shocks. Based on the foregoing analysis, this study has recommended that Nigeria can join the WAEMU as it is RS-dominated, and that more coordination among the ECOWAS members is necessary before going for a pan-ECOWAS monetary unification.</w:t>
      </w:r>
    </w:p>
    <w:p>
      <w:pPr>
        <w:pStyle w:val="BodyText"/>
      </w:pPr>
      <w:r>
        <w:t xml:space="preserve">This study is not intended to be exhaustive in this area as still there are some issues that can be explored in future researches. Another study can be conducted using other forms of shocks than inflation, for example monetary shocks.</w:t>
      </w:r>
    </w:p>
    <w:p>
      <w:pPr>
        <w:pStyle w:val="SourceCode"/>
      </w:pPr>
      <w:r>
        <w:rPr>
          <w:rStyle w:val="VerbatimChar"/>
        </w:rPr>
        <w:t xml:space="preserve">## Loading required package: maps</w:t>
      </w:r>
    </w:p>
    <w:p>
      <w:pPr>
        <w:pStyle w:val="CaptionedFigure"/>
      </w:pPr>
      <w:r>
        <w:drawing>
          <wp:inline>
            <wp:extent cx="4620126" cy="3696101"/>
            <wp:effectExtent b="0" l="0" r="0" t="0"/>
            <wp:docPr descr="Figure 3: Map of ECOWAS countries" title="" id="1" name="Picture"/>
            <a:graphic>
              <a:graphicData uri="http://schemas.openxmlformats.org/drawingml/2006/picture">
                <pic:pic>
                  <pic:nvPicPr>
                    <pic:cNvPr descr="delete_paper3_files/figure-docx/ECOWA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Map of ECOWAS countries</w:t>
      </w:r>
    </w:p>
    <w:p>
      <w:pPr>
        <w:pStyle w:val="Heading1"/>
      </w:pPr>
      <w:bookmarkStart w:id="48" w:name="references"/>
      <w:r>
        <w:t xml:space="preserve">References</w:t>
      </w:r>
      <w:bookmarkEnd w:id="48"/>
    </w:p>
    <w:p>
      <w:pPr>
        <w:pStyle w:val="FirstParagraph"/>
      </w:pPr>
      <w:r>
        <w:t xml:space="preserve"> </w:t>
      </w:r>
      <w:r>
        <w:t xml:space="preserve"> </w:t>
      </w:r>
      <w:r>
        <w:t xml:space="preserve">-1cm</w:t>
      </w:r>
    </w:p>
    <w:bookmarkStart w:id="103" w:name="refs"/>
    <w:bookmarkStart w:id="49" w:name="ref-agbeyegbe2008feasibility"/>
    <w:p>
      <w:pPr>
        <w:pStyle w:val="Bibliography"/>
      </w:pPr>
      <w:r>
        <w:t xml:space="preserve">Agbeyegbe, T. D. (2008). On the feasibility of a monetary union in the southern africa development community.</w:t>
      </w:r>
      <w:r>
        <w:t xml:space="preserve"> </w:t>
      </w:r>
      <w:r>
        <w:rPr>
          <w:i/>
        </w:rPr>
        <w:t xml:space="preserve">International Journal of Finance &amp; Economics</w:t>
      </w:r>
      <w:r>
        <w:t xml:space="preserve">,</w:t>
      </w:r>
      <w:r>
        <w:t xml:space="preserve"> </w:t>
      </w:r>
      <w:r>
        <w:rPr>
          <w:i/>
        </w:rPr>
        <w:t xml:space="preserve">13</w:t>
      </w:r>
      <w:r>
        <w:t xml:space="preserve">(2), 150–157.</w:t>
      </w:r>
    </w:p>
    <w:bookmarkEnd w:id="49"/>
    <w:bookmarkStart w:id="51" w:name="ref-ALAGIDEDE2012460"/>
    <w:p>
      <w:pPr>
        <w:pStyle w:val="Bibliography"/>
      </w:pPr>
      <w:r>
        <w:t xml:space="preserve">Alagidede, P., Coleman, S., &amp; Cuestas, J. C. (2012). Inflationary shocks and common economic trends: Implications for west african monetary union membership.</w:t>
      </w:r>
      <w:r>
        <w:t xml:space="preserve"> </w:t>
      </w:r>
      <w:r>
        <w:rPr>
          <w:i/>
        </w:rPr>
        <w:t xml:space="preserve">Journal of Policy Modeling</w:t>
      </w:r>
      <w:r>
        <w:t xml:space="preserve">,</w:t>
      </w:r>
      <w:r>
        <w:t xml:space="preserve"> </w:t>
      </w:r>
      <w:r>
        <w:rPr>
          <w:i/>
        </w:rPr>
        <w:t xml:space="preserve">34</w:t>
      </w:r>
      <w:r>
        <w:t xml:space="preserve">(3), 460–475.</w:t>
      </w:r>
      <w:r>
        <w:t xml:space="preserve"> </w:t>
      </w:r>
      <w:hyperlink r:id="rId50">
        <w:r>
          <w:rPr>
            <w:rStyle w:val="Hyperlink"/>
          </w:rPr>
          <w:t xml:space="preserve">https://doi.org/https://doi.org/10.1016/j.jpolmod.2011.10.001</w:t>
        </w:r>
      </w:hyperlink>
    </w:p>
    <w:bookmarkEnd w:id="51"/>
    <w:bookmarkStart w:id="53" w:name="ref-BAYOUMI1997761"/>
    <w:p>
      <w:pPr>
        <w:pStyle w:val="Bibliography"/>
      </w:pPr>
      <w:r>
        <w:t xml:space="preserve">Bayoumi, T., &amp; Eichengreen, B. (1997). Ever closer to heaven? An optimum-currency-area index for european countries.</w:t>
      </w:r>
      <w:r>
        <w:t xml:space="preserve"> </w:t>
      </w:r>
      <w:r>
        <w:rPr>
          <w:i/>
        </w:rPr>
        <w:t xml:space="preserve">European Economic Review</w:t>
      </w:r>
      <w:r>
        <w:t xml:space="preserve">,</w:t>
      </w:r>
      <w:r>
        <w:t xml:space="preserve"> </w:t>
      </w:r>
      <w:r>
        <w:rPr>
          <w:i/>
        </w:rPr>
        <w:t xml:space="preserve">41</w:t>
      </w:r>
      <w:r>
        <w:t xml:space="preserve">(3), 761–770.</w:t>
      </w:r>
      <w:r>
        <w:t xml:space="preserve"> </w:t>
      </w:r>
      <w:hyperlink r:id="rId52">
        <w:r>
          <w:rPr>
            <w:rStyle w:val="Hyperlink"/>
          </w:rPr>
          <w:t xml:space="preserve">https://doi.org/https://doi.org/10.1016/S0014-2921(97)00035-4</w:t>
        </w:r>
      </w:hyperlink>
    </w:p>
    <w:bookmarkEnd w:id="53"/>
    <w:bookmarkStart w:id="55" w:name="ref-Blanchard1989"/>
    <w:p>
      <w:pPr>
        <w:pStyle w:val="Bibliography"/>
      </w:pPr>
      <w:r>
        <w:t xml:space="preserve">Blanchard, O. J., &amp; Quah, D. (1989). The Dynamic Effects of Aggregate Demand and Supply Disturbances.</w:t>
      </w:r>
      <w:r>
        <w:t xml:space="preserve"> </w:t>
      </w:r>
      <w:r>
        <w:rPr>
          <w:i/>
        </w:rPr>
        <w:t xml:space="preserve">American Economic Review</w:t>
      </w:r>
      <w:r>
        <w:t xml:space="preserve">,</w:t>
      </w:r>
      <w:r>
        <w:t xml:space="preserve"> </w:t>
      </w:r>
      <w:r>
        <w:rPr>
          <w:i/>
        </w:rPr>
        <w:t xml:space="preserve">79</w:t>
      </w:r>
      <w:r>
        <w:t xml:space="preserve">(4), 655–673. Retrieved from</w:t>
      </w:r>
      <w:r>
        <w:t xml:space="preserve"> </w:t>
      </w:r>
      <w:hyperlink r:id="rId54">
        <w:r>
          <w:rPr>
            <w:rStyle w:val="Hyperlink"/>
          </w:rPr>
          <w:t xml:space="preserve">https://ideas.repec.org/a/aea/aecrev/v79y1989i4p655-73.html</w:t>
        </w:r>
      </w:hyperlink>
    </w:p>
    <w:bookmarkEnd w:id="55"/>
    <w:bookmarkStart w:id="57" w:name="ref-Boivin2008"/>
    <w:p>
      <w:pPr>
        <w:pStyle w:val="Bibliography"/>
      </w:pPr>
      <w:r>
        <w:t xml:space="preserve">Boivin, J., Giannoni, M. P., &amp; Mojon, B. (2008). How has the euro changed the monetary transmission mechanism?</w:t>
      </w:r>
      <w:r>
        <w:t xml:space="preserve"> </w:t>
      </w:r>
      <w:r>
        <w:rPr>
          <w:i/>
        </w:rPr>
        <w:t xml:space="preserve">NBER Macroeconomics Annual</w:t>
      </w:r>
      <w:r>
        <w:t xml:space="preserve">,</w:t>
      </w:r>
      <w:r>
        <w:t xml:space="preserve"> </w:t>
      </w:r>
      <w:r>
        <w:rPr>
          <w:i/>
        </w:rPr>
        <w:t xml:space="preserve">23</w:t>
      </w:r>
      <w:r>
        <w:t xml:space="preserve">(1), 77–126.</w:t>
      </w:r>
      <w:r>
        <w:t xml:space="preserve"> </w:t>
      </w:r>
      <w:hyperlink r:id="rId56">
        <w:r>
          <w:rPr>
            <w:rStyle w:val="Hyperlink"/>
          </w:rPr>
          <w:t xml:space="preserve">https://doi.org/10.1086/593083</w:t>
        </w:r>
      </w:hyperlink>
    </w:p>
    <w:bookmarkEnd w:id="57"/>
    <w:bookmarkStart w:id="58" w:name="ref-capie2003monetary"/>
    <w:p>
      <w:pPr>
        <w:pStyle w:val="Bibliography"/>
      </w:pPr>
      <w:r>
        <w:t xml:space="preserve">Capie, F. H., &amp; Wood, G. E. (2003). Monetary unions: Theory.</w:t>
      </w:r>
      <w:r>
        <w:t xml:space="preserve"> </w:t>
      </w:r>
      <w:r>
        <w:rPr>
          <w:i/>
        </w:rPr>
        <w:t xml:space="preserve">History</w:t>
      </w:r>
      <w:r>
        <w:t xml:space="preserve">.</w:t>
      </w:r>
    </w:p>
    <w:bookmarkEnd w:id="58"/>
    <w:bookmarkStart w:id="60" w:name="ref-Chow2003"/>
    <w:p>
      <w:pPr>
        <w:pStyle w:val="Bibliography"/>
      </w:pPr>
      <w:r>
        <w:t xml:space="preserve">Chow, H. K., &amp; Kim, Y. (2003). A common currency peg in east asia? Perspectives from western europe.</w:t>
      </w:r>
      <w:r>
        <w:t xml:space="preserve"> </w:t>
      </w:r>
      <w:r>
        <w:rPr>
          <w:i/>
        </w:rPr>
        <w:t xml:space="preserve">Journal of Macroeconomics</w:t>
      </w:r>
      <w:r>
        <w:t xml:space="preserve">,</w:t>
      </w:r>
      <w:r>
        <w:t xml:space="preserve"> </w:t>
      </w:r>
      <w:r>
        <w:rPr>
          <w:i/>
        </w:rPr>
        <w:t xml:space="preserve">25</w:t>
      </w:r>
      <w:r>
        <w:t xml:space="preserve">(3), 331–350.</w:t>
      </w:r>
      <w:r>
        <w:t xml:space="preserve"> </w:t>
      </w:r>
      <w:hyperlink r:id="rId59">
        <w:r>
          <w:rPr>
            <w:rStyle w:val="Hyperlink"/>
          </w:rPr>
          <w:t xml:space="preserve">https://doi.org/https://doi.org/10.1016/S0164-0704(03)00041-7</w:t>
        </w:r>
      </w:hyperlink>
    </w:p>
    <w:bookmarkEnd w:id="60"/>
    <w:bookmarkStart w:id="61" w:name="ref-chown2003history"/>
    <w:p>
      <w:pPr>
        <w:pStyle w:val="Bibliography"/>
      </w:pPr>
      <w:r>
        <w:t xml:space="preserve">Chown, J. F. (2003).</w:t>
      </w:r>
      <w:r>
        <w:t xml:space="preserve"> </w:t>
      </w:r>
      <w:r>
        <w:rPr>
          <w:i/>
        </w:rPr>
        <w:t xml:space="preserve">A history of monetary unions</w:t>
      </w:r>
      <w:r>
        <w:t xml:space="preserve">. Routledge.</w:t>
      </w:r>
    </w:p>
    <w:bookmarkEnd w:id="61"/>
    <w:bookmarkStart w:id="62" w:name="ref-debrun2005monetary"/>
    <w:p>
      <w:pPr>
        <w:pStyle w:val="Bibliography"/>
      </w:pPr>
      <w:r>
        <w:t xml:space="preserve">Debrun, X., Masson, P., &amp; Pattillo, C. (2005). Monetary union in west africa: Who might gain, who might lose, and why?</w:t>
      </w:r>
      <w:r>
        <w:t xml:space="preserve"> </w:t>
      </w:r>
      <w:r>
        <w:rPr>
          <w:i/>
        </w:rPr>
        <w:t xml:space="preserve">Canadian Journal of Economics/Revue Canadienne d’économique</w:t>
      </w:r>
      <w:r>
        <w:t xml:space="preserve">,</w:t>
      </w:r>
      <w:r>
        <w:t xml:space="preserve"> </w:t>
      </w:r>
      <w:r>
        <w:rPr>
          <w:i/>
        </w:rPr>
        <w:t xml:space="preserve">38</w:t>
      </w:r>
      <w:r>
        <w:t xml:space="preserve">(2), 454–481.</w:t>
      </w:r>
    </w:p>
    <w:bookmarkEnd w:id="62"/>
    <w:bookmarkStart w:id="63" w:name="ref-de2000monetary"/>
    <w:p>
      <w:pPr>
        <w:pStyle w:val="Bibliography"/>
      </w:pPr>
      <w:r>
        <w:t xml:space="preserve">De Grauwe, P. (2000). Monetary policies in the presence of asymmetries.</w:t>
      </w:r>
      <w:r>
        <w:t xml:space="preserve"> </w:t>
      </w:r>
      <w:r>
        <w:rPr>
          <w:i/>
        </w:rPr>
        <w:t xml:space="preserve">JCMS: Journal of Common Market Studies</w:t>
      </w:r>
      <w:r>
        <w:t xml:space="preserve">,</w:t>
      </w:r>
      <w:r>
        <w:t xml:space="preserve"> </w:t>
      </w:r>
      <w:r>
        <w:rPr>
          <w:i/>
        </w:rPr>
        <w:t xml:space="preserve">38</w:t>
      </w:r>
      <w:r>
        <w:t xml:space="preserve">(4), 593–612.</w:t>
      </w:r>
    </w:p>
    <w:bookmarkEnd w:id="63"/>
    <w:bookmarkStart w:id="65" w:name="ref-Dickey1979"/>
    <w:p>
      <w:pPr>
        <w:pStyle w:val="Bibliography"/>
      </w:pPr>
      <w:r>
        <w:t xml:space="preserve">Dickey, D. A., &amp; Fuller, W. A. (1979). Distribution of the estimators for autoregressive time series with a unit root.</w:t>
      </w:r>
      <w:r>
        <w:t xml:space="preserve"> </w:t>
      </w:r>
      <w:r>
        <w:rPr>
          <w:i/>
        </w:rPr>
        <w:t xml:space="preserve">Journal of the American Statistical Association</w:t>
      </w:r>
      <w:r>
        <w:t xml:space="preserve">,</w:t>
      </w:r>
      <w:r>
        <w:t xml:space="preserve"> </w:t>
      </w:r>
      <w:r>
        <w:rPr>
          <w:i/>
        </w:rPr>
        <w:t xml:space="preserve">74</w:t>
      </w:r>
      <w:r>
        <w:t xml:space="preserve">(366a), 427–431.</w:t>
      </w:r>
      <w:r>
        <w:t xml:space="preserve"> </w:t>
      </w:r>
      <w:hyperlink r:id="rId64">
        <w:r>
          <w:rPr>
            <w:rStyle w:val="Hyperlink"/>
          </w:rPr>
          <w:t xml:space="preserve">https://doi.org/10.1080/01621459.1979.10482531</w:t>
        </w:r>
      </w:hyperlink>
    </w:p>
    <w:bookmarkEnd w:id="65"/>
    <w:bookmarkStart w:id="66" w:name="ref-ECOWAS2017"/>
    <w:p>
      <w:pPr>
        <w:pStyle w:val="Bibliography"/>
      </w:pPr>
      <w:r>
        <w:t xml:space="preserve">ECOWAS. (2017).</w:t>
      </w:r>
      <w:r>
        <w:t xml:space="preserve"> </w:t>
      </w:r>
      <w:r>
        <w:rPr>
          <w:i/>
        </w:rPr>
        <w:t xml:space="preserve">The implementation of the ecowas monetary cooperation programme</w:t>
      </w:r>
      <w:r>
        <w:t xml:space="preserve">.</w:t>
      </w:r>
    </w:p>
    <w:bookmarkEnd w:id="66"/>
    <w:bookmarkStart w:id="68" w:name="ref-eichengreen1996asia"/>
    <w:p>
      <w:pPr>
        <w:pStyle w:val="Bibliography"/>
      </w:pPr>
      <w:r>
        <w:t xml:space="preserve">Eichengreen, B., &amp; Bayoumi, T. (1996). Is asia an optimum currency area? Can it become one? Regional, global and historical perspectives on asian monetary relations.</w:t>
      </w:r>
      <w:r>
        <w:t xml:space="preserve"> </w:t>
      </w:r>
      <w:r>
        <w:rPr>
          <w:i/>
        </w:rPr>
        <w:t xml:space="preserve">Center for International and Development Economics Research</w:t>
      </w:r>
      <w:r>
        <w:t xml:space="preserve">. Retrieved from</w:t>
      </w:r>
      <w:r>
        <w:t xml:space="preserve"> </w:t>
      </w:r>
      <w:hyperlink r:id="rId67">
        <w:r>
          <w:rPr>
            <w:rStyle w:val="Hyperlink"/>
          </w:rPr>
          <w:t xml:space="preserve">https://escholarship.org/uc/item/1td5x343</w:t>
        </w:r>
      </w:hyperlink>
    </w:p>
    <w:bookmarkEnd w:id="68"/>
    <w:bookmarkStart w:id="69" w:name="ref-enders2015applied"/>
    <w:p>
      <w:pPr>
        <w:pStyle w:val="Bibliography"/>
      </w:pPr>
      <w:r>
        <w:t xml:space="preserve">Enders, W. (2015). Applied econometric time series. 4th.</w:t>
      </w:r>
      <w:r>
        <w:t xml:space="preserve"> </w:t>
      </w:r>
      <w:r>
        <w:rPr>
          <w:i/>
        </w:rPr>
        <w:t xml:space="preserve">Ed. Chichester, West Sussex: Jhon Wiley &amp; Sons</w:t>
      </w:r>
      <w:r>
        <w:t xml:space="preserve">.</w:t>
      </w:r>
    </w:p>
    <w:bookmarkEnd w:id="69"/>
    <w:bookmarkStart w:id="71" w:name="ref-Fielding2004"/>
    <w:p>
      <w:pPr>
        <w:pStyle w:val="Bibliography"/>
      </w:pPr>
      <w:r>
        <w:t xml:space="preserve">Fielding, D., Lee, K., &amp; Shields, K. (2004). The characteristics of macroeconomic shocks in the cfa franc zone.</w:t>
      </w:r>
      <w:r>
        <w:t xml:space="preserve"> </w:t>
      </w:r>
      <w:r>
        <w:rPr>
          <w:i/>
        </w:rPr>
        <w:t xml:space="preserve">Journal of African Economies</w:t>
      </w:r>
      <w:r>
        <w:t xml:space="preserve">,</w:t>
      </w:r>
      <w:r>
        <w:t xml:space="preserve"> </w:t>
      </w:r>
      <w:r>
        <w:rPr>
          <w:i/>
        </w:rPr>
        <w:t xml:space="preserve">13</w:t>
      </w:r>
      <w:r>
        <w:t xml:space="preserve">(4), 488–517.</w:t>
      </w:r>
      <w:r>
        <w:t xml:space="preserve"> </w:t>
      </w:r>
      <w:hyperlink r:id="rId70">
        <w:r>
          <w:rPr>
            <w:rStyle w:val="Hyperlink"/>
          </w:rPr>
          <w:t xml:space="preserve">https://doi.org/10.1093/jae/ejh037</w:t>
        </w:r>
      </w:hyperlink>
    </w:p>
    <w:bookmarkEnd w:id="71"/>
    <w:bookmarkStart w:id="73" w:name="ref-Fielding2005"/>
    <w:p>
      <w:pPr>
        <w:pStyle w:val="Bibliography"/>
      </w:pPr>
      <w:r>
        <w:t xml:space="preserve">Fielding, D., &amp; Shields, K. (2005). The impact of monetary union on macroeconomic integration: Evidence from west africa.</w:t>
      </w:r>
      <w:r>
        <w:t xml:space="preserve"> </w:t>
      </w:r>
      <w:r>
        <w:rPr>
          <w:i/>
        </w:rPr>
        <w:t xml:space="preserve">Economica</w:t>
      </w:r>
      <w:r>
        <w:t xml:space="preserve">,</w:t>
      </w:r>
      <w:r>
        <w:t xml:space="preserve"> </w:t>
      </w:r>
      <w:r>
        <w:rPr>
          <w:i/>
        </w:rPr>
        <w:t xml:space="preserve">72</w:t>
      </w:r>
      <w:r>
        <w:t xml:space="preserve">(288), 683–704. Retrieved from</w:t>
      </w:r>
      <w:r>
        <w:t xml:space="preserve"> </w:t>
      </w:r>
      <w:hyperlink r:id="rId72">
        <w:r>
          <w:rPr>
            <w:rStyle w:val="Hyperlink"/>
          </w:rPr>
          <w:t xml:space="preserve">http://www.jstor.org/stable/3548950</w:t>
        </w:r>
      </w:hyperlink>
    </w:p>
    <w:bookmarkEnd w:id="73"/>
    <w:bookmarkStart w:id="74" w:name="ref-gros1998european"/>
    <w:p>
      <w:pPr>
        <w:pStyle w:val="Bibliography"/>
      </w:pPr>
      <w:r>
        <w:t xml:space="preserve">Gros, D., &amp; Thygesen, N. (1998).</w:t>
      </w:r>
      <w:r>
        <w:t xml:space="preserve"> </w:t>
      </w:r>
      <w:r>
        <w:rPr>
          <w:i/>
        </w:rPr>
        <w:t xml:space="preserve">European monetary integration: From the ems to emu</w:t>
      </w:r>
      <w:r>
        <w:t xml:space="preserve">. Longman.</w:t>
      </w:r>
    </w:p>
    <w:bookmarkEnd w:id="74"/>
    <w:bookmarkStart w:id="75" w:name="ref-hefeker2010fiscal"/>
    <w:p>
      <w:pPr>
        <w:pStyle w:val="Bibliography"/>
      </w:pPr>
      <w:r>
        <w:t xml:space="preserve">Hefeker, C. (2010). Fiscal reform and monetary union in west africa.</w:t>
      </w:r>
      <w:r>
        <w:t xml:space="preserve"> </w:t>
      </w:r>
      <w:r>
        <w:rPr>
          <w:i/>
        </w:rPr>
        <w:t xml:space="preserve">Journal of International Development: The Journal of the Development Studies Association</w:t>
      </w:r>
      <w:r>
        <w:t xml:space="preserve">,</w:t>
      </w:r>
      <w:r>
        <w:t xml:space="preserve"> </w:t>
      </w:r>
      <w:r>
        <w:rPr>
          <w:i/>
        </w:rPr>
        <w:t xml:space="preserve">22</w:t>
      </w:r>
      <w:r>
        <w:t xml:space="preserve">(1), 86–102.</w:t>
      </w:r>
    </w:p>
    <w:bookmarkEnd w:id="75"/>
    <w:bookmarkStart w:id="76" w:name="ref-hsu2010common"/>
    <w:p>
      <w:pPr>
        <w:pStyle w:val="Bibliography"/>
      </w:pPr>
      <w:r>
        <w:t xml:space="preserve">Hsu, H.-F. (2010). Is a common currency area feasible for east asia? A multivariate structural vector autoregression approach.</w:t>
      </w:r>
      <w:r>
        <w:t xml:space="preserve"> </w:t>
      </w:r>
      <w:r>
        <w:rPr>
          <w:i/>
        </w:rPr>
        <w:t xml:space="preserve">Asian Economic Journal</w:t>
      </w:r>
      <w:r>
        <w:t xml:space="preserve">,</w:t>
      </w:r>
      <w:r>
        <w:t xml:space="preserve"> </w:t>
      </w:r>
      <w:r>
        <w:rPr>
          <w:i/>
        </w:rPr>
        <w:t xml:space="preserve">24</w:t>
      </w:r>
      <w:r>
        <w:t xml:space="preserve">(4), 391–411.</w:t>
      </w:r>
    </w:p>
    <w:bookmarkEnd w:id="76"/>
    <w:bookmarkStart w:id="77" w:name="ref-juselius2006cointegrated"/>
    <w:p>
      <w:pPr>
        <w:pStyle w:val="Bibliography"/>
      </w:pPr>
      <w:r>
        <w:t xml:space="preserve">Juselius, K. (2006).</w:t>
      </w:r>
      <w:r>
        <w:t xml:space="preserve"> </w:t>
      </w:r>
      <w:r>
        <w:rPr>
          <w:i/>
        </w:rPr>
        <w:t xml:space="preserve">The cointegrated var model: Methodology and applications</w:t>
      </w:r>
      <w:r>
        <w:t xml:space="preserve">. Oxford university press.</w:t>
      </w:r>
    </w:p>
    <w:bookmarkEnd w:id="77"/>
    <w:bookmarkStart w:id="78" w:name="ref-kenen1969theory"/>
    <w:p>
      <w:pPr>
        <w:pStyle w:val="Bibliography"/>
      </w:pPr>
      <w:r>
        <w:t xml:space="preserve">Kenen, P. (1969). The theory of optimum currency areas: An eclectic view.</w:t>
      </w:r>
      <w:r>
        <w:t xml:space="preserve"> </w:t>
      </w:r>
      <w:r>
        <w:rPr>
          <w:i/>
        </w:rPr>
        <w:t xml:space="preserve">Monetary Problems of the International Economy</w:t>
      </w:r>
      <w:r>
        <w:t xml:space="preserve">, 41–60.</w:t>
      </w:r>
    </w:p>
    <w:bookmarkEnd w:id="78"/>
    <w:bookmarkStart w:id="79" w:name="ref-khamfula2004southern"/>
    <w:p>
      <w:pPr>
        <w:pStyle w:val="Bibliography"/>
      </w:pPr>
      <w:r>
        <w:t xml:space="preserve">Khamfula, Y., &amp; Huizinga, H. (2004). The southern african development community: Suitable for a monetary union?</w:t>
      </w:r>
      <w:r>
        <w:t xml:space="preserve"> </w:t>
      </w:r>
      <w:r>
        <w:rPr>
          <w:i/>
        </w:rPr>
        <w:t xml:space="preserve">Journal of Development Economics</w:t>
      </w:r>
      <w:r>
        <w:t xml:space="preserve">,</w:t>
      </w:r>
      <w:r>
        <w:t xml:space="preserve"> </w:t>
      </w:r>
      <w:r>
        <w:rPr>
          <w:i/>
        </w:rPr>
        <w:t xml:space="preserve">73</w:t>
      </w:r>
      <w:r>
        <w:t xml:space="preserve">(2), 699–714.</w:t>
      </w:r>
    </w:p>
    <w:bookmarkEnd w:id="79"/>
    <w:bookmarkStart w:id="81" w:name="ref-Kunroo2015"/>
    <w:p>
      <w:pPr>
        <w:pStyle w:val="Bibliography"/>
      </w:pPr>
      <w:r>
        <w:t xml:space="preserve">Kunroo, M. H. (2015). Theory of optimum currency areas: A literature survey.</w:t>
      </w:r>
      <w:r>
        <w:t xml:space="preserve"> </w:t>
      </w:r>
      <w:r>
        <w:rPr>
          <w:i/>
        </w:rPr>
        <w:t xml:space="preserve">Review of Market Integration</w:t>
      </w:r>
      <w:r>
        <w:t xml:space="preserve">,</w:t>
      </w:r>
      <w:r>
        <w:t xml:space="preserve"> </w:t>
      </w:r>
      <w:r>
        <w:rPr>
          <w:i/>
        </w:rPr>
        <w:t xml:space="preserve">7</w:t>
      </w:r>
      <w:r>
        <w:t xml:space="preserve">(2), 87–116.</w:t>
      </w:r>
      <w:r>
        <w:t xml:space="preserve"> </w:t>
      </w:r>
      <w:hyperlink r:id="rId80">
        <w:r>
          <w:rPr>
            <w:rStyle w:val="Hyperlink"/>
          </w:rPr>
          <w:t xml:space="preserve">https://doi.org/10.1177/0974929216631381</w:t>
        </w:r>
      </w:hyperlink>
    </w:p>
    <w:bookmarkEnd w:id="81"/>
    <w:bookmarkStart w:id="83" w:name="ref-lee2012east"/>
    <w:p>
      <w:pPr>
        <w:pStyle w:val="Bibliography"/>
      </w:pPr>
      <w:r>
        <w:t xml:space="preserve">Lee, G. H., &amp; Azali, M. (2012). Is east asia an optimum currency area?</w:t>
      </w:r>
      <w:r>
        <w:t xml:space="preserve"> </w:t>
      </w:r>
      <w:r>
        <w:rPr>
          <w:i/>
        </w:rPr>
        <w:t xml:space="preserve">Economic Modelling</w:t>
      </w:r>
      <w:r>
        <w:t xml:space="preserve">,</w:t>
      </w:r>
      <w:r>
        <w:t xml:space="preserve"> </w:t>
      </w:r>
      <w:r>
        <w:rPr>
          <w:i/>
        </w:rPr>
        <w:t xml:space="preserve">29</w:t>
      </w:r>
      <w:r>
        <w:t xml:space="preserve">(2), 87–95. Retrieved from</w:t>
      </w:r>
      <w:r>
        <w:t xml:space="preserve"> </w:t>
      </w:r>
      <w:hyperlink r:id="rId82">
        <w:r>
          <w:rPr>
            <w:rStyle w:val="Hyperlink"/>
          </w:rPr>
          <w:t xml:space="preserve">https://mpra.ub.uni-muenchen.de/52556/1/MPRA_paper_52556.pdf</w:t>
        </w:r>
      </w:hyperlink>
    </w:p>
    <w:bookmarkEnd w:id="83"/>
    <w:bookmarkStart w:id="85" w:name="ref-LEGRAND2014136"/>
    <w:p>
      <w:pPr>
        <w:pStyle w:val="Bibliography"/>
      </w:pPr>
      <w:r>
        <w:t xml:space="preserve">Legrand, R. (2014). Euro introduction: Has there been a structural change? Study on 10 european union countries.</w:t>
      </w:r>
      <w:r>
        <w:t xml:space="preserve"> </w:t>
      </w:r>
      <w:r>
        <w:rPr>
          <w:i/>
        </w:rPr>
        <w:t xml:space="preserve">Economic Modelling</w:t>
      </w:r>
      <w:r>
        <w:t xml:space="preserve">,</w:t>
      </w:r>
      <w:r>
        <w:t xml:space="preserve"> </w:t>
      </w:r>
      <w:r>
        <w:rPr>
          <w:i/>
        </w:rPr>
        <w:t xml:space="preserve">40</w:t>
      </w:r>
      <w:r>
        <w:t xml:space="preserve">, 136–151.</w:t>
      </w:r>
      <w:r>
        <w:t xml:space="preserve"> </w:t>
      </w:r>
      <w:hyperlink r:id="rId84">
        <w:r>
          <w:rPr>
            <w:rStyle w:val="Hyperlink"/>
          </w:rPr>
          <w:t xml:space="preserve">https://doi.org/https://doi.org/10.1016/j.econmod.2014.03.020</w:t>
        </w:r>
      </w:hyperlink>
    </w:p>
    <w:bookmarkEnd w:id="85"/>
    <w:bookmarkStart w:id="86" w:name="ref-lutkepohl2004applied"/>
    <w:p>
      <w:pPr>
        <w:pStyle w:val="Bibliography"/>
      </w:pPr>
      <w:r>
        <w:t xml:space="preserve">Lütkepohl, H., Krätzig, M., &amp; Phillips, P. C. (2004).</w:t>
      </w:r>
      <w:r>
        <w:t xml:space="preserve"> </w:t>
      </w:r>
      <w:r>
        <w:rPr>
          <w:i/>
        </w:rPr>
        <w:t xml:space="preserve">Applied time series econometrics</w:t>
      </w:r>
      <w:r>
        <w:t xml:space="preserve">. Cambridge university press.</w:t>
      </w:r>
    </w:p>
    <w:bookmarkEnd w:id="86"/>
    <w:bookmarkStart w:id="88" w:name="ref-masson2001monetary"/>
    <w:p>
      <w:pPr>
        <w:pStyle w:val="Bibliography"/>
      </w:pPr>
      <w:r>
        <w:t xml:space="preserve">Masson, P. R., &amp; Pattillo, C. A. (2001).</w:t>
      </w:r>
      <w:r>
        <w:t xml:space="preserve"> </w:t>
      </w:r>
      <w:r>
        <w:rPr>
          <w:i/>
        </w:rPr>
        <w:t xml:space="preserve">Monetary union in west africa (ecowas): Is it desirable and how could it be achieved?</w:t>
      </w:r>
      <w:r>
        <w:t xml:space="preserve"> </w:t>
      </w:r>
      <w:r>
        <w:t xml:space="preserve">(Vol. 204). Retrieved from</w:t>
      </w:r>
      <w:r>
        <w:t xml:space="preserve"> </w:t>
      </w:r>
      <w:hyperlink r:id="rId87">
        <w:r>
          <w:rPr>
            <w:rStyle w:val="Hyperlink"/>
          </w:rPr>
          <w:t xml:space="preserve">http://www.imf.org/external/pubs/nft/op/204/</w:t>
        </w:r>
      </w:hyperlink>
    </w:p>
    <w:bookmarkEnd w:id="88"/>
    <w:bookmarkStart w:id="90" w:name="ref-McKinnon1963"/>
    <w:p>
      <w:pPr>
        <w:pStyle w:val="Bibliography"/>
      </w:pPr>
      <w:r>
        <w:t xml:space="preserve">McKinnon, R. I. (1963). Optimum currency areas.</w:t>
      </w:r>
      <w:r>
        <w:t xml:space="preserve"> </w:t>
      </w:r>
      <w:r>
        <w:rPr>
          <w:i/>
        </w:rPr>
        <w:t xml:space="preserve">The American Economic Review</w:t>
      </w:r>
      <w:r>
        <w:t xml:space="preserve">,</w:t>
      </w:r>
      <w:r>
        <w:t xml:space="preserve"> </w:t>
      </w:r>
      <w:r>
        <w:rPr>
          <w:i/>
        </w:rPr>
        <w:t xml:space="preserve">53</w:t>
      </w:r>
      <w:r>
        <w:t xml:space="preserve">(4), 717–725. Retrieved from</w:t>
      </w:r>
      <w:r>
        <w:t xml:space="preserve"> </w:t>
      </w:r>
      <w:hyperlink r:id="rId89">
        <w:r>
          <w:rPr>
            <w:rStyle w:val="Hyperlink"/>
          </w:rPr>
          <w:t xml:space="preserve">http://www.jstor.org/stable/1811021</w:t>
        </w:r>
      </w:hyperlink>
    </w:p>
    <w:bookmarkEnd w:id="90"/>
    <w:bookmarkStart w:id="91" w:name="ref-mundell1961theory"/>
    <w:p>
      <w:pPr>
        <w:pStyle w:val="Bibliography"/>
      </w:pPr>
      <w:r>
        <w:t xml:space="preserve">Mundell, R. A. (1961). A theory of optimum currency areas.</w:t>
      </w:r>
      <w:r>
        <w:t xml:space="preserve"> </w:t>
      </w:r>
      <w:r>
        <w:rPr>
          <w:i/>
        </w:rPr>
        <w:t xml:space="preserve">The American Economic Review</w:t>
      </w:r>
      <w:r>
        <w:t xml:space="preserve">,</w:t>
      </w:r>
      <w:r>
        <w:t xml:space="preserve"> </w:t>
      </w:r>
      <w:r>
        <w:rPr>
          <w:i/>
        </w:rPr>
        <w:t xml:space="preserve">51</w:t>
      </w:r>
      <w:r>
        <w:t xml:space="preserve">(4), 657–665.</w:t>
      </w:r>
    </w:p>
    <w:bookmarkEnd w:id="91"/>
    <w:bookmarkStart w:id="93" w:name="ref-10.2307/2336182"/>
    <w:p>
      <w:pPr>
        <w:pStyle w:val="Bibliography"/>
      </w:pPr>
      <w:r>
        <w:t xml:space="preserve">Phillips, P. C. B., &amp; Perron, P. (1988). Testing for a unit root in time series regression.</w:t>
      </w:r>
      <w:r>
        <w:t xml:space="preserve"> </w:t>
      </w:r>
      <w:r>
        <w:rPr>
          <w:i/>
        </w:rPr>
        <w:t xml:space="preserve">Biometrika</w:t>
      </w:r>
      <w:r>
        <w:t xml:space="preserve">,</w:t>
      </w:r>
      <w:r>
        <w:t xml:space="preserve"> </w:t>
      </w:r>
      <w:r>
        <w:rPr>
          <w:i/>
        </w:rPr>
        <w:t xml:space="preserve">75</w:t>
      </w:r>
      <w:r>
        <w:t xml:space="preserve">(2), 335–346. Retrieved from</w:t>
      </w:r>
      <w:r>
        <w:t xml:space="preserve"> </w:t>
      </w:r>
      <w:hyperlink r:id="rId92">
        <w:r>
          <w:rPr>
            <w:rStyle w:val="Hyperlink"/>
          </w:rPr>
          <w:t xml:space="preserve">http://www.jstor.org/stable/2336182</w:t>
        </w:r>
      </w:hyperlink>
    </w:p>
    <w:bookmarkEnd w:id="93"/>
    <w:bookmarkStart w:id="94" w:name="ref-plasmans2006dynamic"/>
    <w:p>
      <w:pPr>
        <w:pStyle w:val="Bibliography"/>
      </w:pPr>
      <w:r>
        <w:t xml:space="preserve">Plasmans, J. E., Engwerda, J., Van Aarle, B., Di Bartolomeo, G., &amp; Michalak, T. (2006).</w:t>
      </w:r>
      <w:r>
        <w:t xml:space="preserve"> </w:t>
      </w:r>
      <w:r>
        <w:rPr>
          <w:i/>
        </w:rPr>
        <w:t xml:space="preserve">Dynamic modeling of monetary and fiscal cooperation among nations</w:t>
      </w:r>
      <w:r>
        <w:t xml:space="preserve"> </w:t>
      </w:r>
      <w:r>
        <w:t xml:space="preserve">(Vol. 8). Springer Science &amp; Business Media.</w:t>
      </w:r>
    </w:p>
    <w:bookmarkEnd w:id="94"/>
    <w:bookmarkStart w:id="96" w:name="ref-RANA2007711"/>
    <w:p>
      <w:pPr>
        <w:pStyle w:val="Bibliography"/>
      </w:pPr>
      <w:r>
        <w:t xml:space="preserve">Rana, P. B. (2007). Economic integration and synchronization of business cycles in east asia.</w:t>
      </w:r>
      <w:r>
        <w:t xml:space="preserve"> </w:t>
      </w:r>
      <w:r>
        <w:rPr>
          <w:i/>
        </w:rPr>
        <w:t xml:space="preserve">Journal of Asian Economics</w:t>
      </w:r>
      <w:r>
        <w:t xml:space="preserve">,</w:t>
      </w:r>
      <w:r>
        <w:t xml:space="preserve"> </w:t>
      </w:r>
      <w:r>
        <w:rPr>
          <w:i/>
        </w:rPr>
        <w:t xml:space="preserve">18</w:t>
      </w:r>
      <w:r>
        <w:t xml:space="preserve">(5), 711–725.</w:t>
      </w:r>
      <w:r>
        <w:t xml:space="preserve"> </w:t>
      </w:r>
      <w:hyperlink r:id="rId95">
        <w:r>
          <w:rPr>
            <w:rStyle w:val="Hyperlink"/>
          </w:rPr>
          <w:t xml:space="preserve">https://doi.org/https://doi.org/10.1016/j.asieco.2007.07.002</w:t>
        </w:r>
      </w:hyperlink>
    </w:p>
    <w:bookmarkEnd w:id="96"/>
    <w:bookmarkStart w:id="98" w:name="ref-Regmi2015"/>
    <w:p>
      <w:pPr>
        <w:pStyle w:val="Bibliography"/>
      </w:pPr>
      <w:r>
        <w:t xml:space="preserve">Regmi, K., Nikolsko-Rzhevskyy, A., &amp; Thornton, R. (2015). To be or not to be: An optimum currency area for south asia?</w:t>
      </w:r>
      <w:r>
        <w:t xml:space="preserve"> </w:t>
      </w:r>
      <w:r>
        <w:rPr>
          <w:i/>
        </w:rPr>
        <w:t xml:space="preserve">Journal of Policy Modeling</w:t>
      </w:r>
      <w:r>
        <w:t xml:space="preserve">,</w:t>
      </w:r>
      <w:r>
        <w:t xml:space="preserve"> </w:t>
      </w:r>
      <w:r>
        <w:rPr>
          <w:i/>
        </w:rPr>
        <w:t xml:space="preserve">37</w:t>
      </w:r>
      <w:r>
        <w:t xml:space="preserve">(6), 930–944.</w:t>
      </w:r>
      <w:r>
        <w:t xml:space="preserve"> </w:t>
      </w:r>
      <w:hyperlink r:id="rId97">
        <w:r>
          <w:rPr>
            <w:rStyle w:val="Hyperlink"/>
          </w:rPr>
          <w:t xml:space="preserve">https://doi.org/https://doi.org/10.1016/j.jpolmod.2015.09.005</w:t>
        </w:r>
      </w:hyperlink>
    </w:p>
    <w:bookmarkEnd w:id="98"/>
    <w:bookmarkStart w:id="100" w:name="ref-TSANGARIDES20081261"/>
    <w:p>
      <w:pPr>
        <w:pStyle w:val="Bibliography"/>
      </w:pPr>
      <w:r>
        <w:t xml:space="preserve">Tsangarides, C. G., &amp; Qureshi, M. S. (2008). Monetary union membership in west africa: A cluster analysis.</w:t>
      </w:r>
      <w:r>
        <w:t xml:space="preserve"> </w:t>
      </w:r>
      <w:r>
        <w:rPr>
          <w:i/>
        </w:rPr>
        <w:t xml:space="preserve">World Development</w:t>
      </w:r>
      <w:r>
        <w:t xml:space="preserve">,</w:t>
      </w:r>
      <w:r>
        <w:t xml:space="preserve"> </w:t>
      </w:r>
      <w:r>
        <w:rPr>
          <w:i/>
        </w:rPr>
        <w:t xml:space="preserve">36</w:t>
      </w:r>
      <w:r>
        <w:t xml:space="preserve">(7), 1261–1279.</w:t>
      </w:r>
      <w:r>
        <w:t xml:space="preserve"> </w:t>
      </w:r>
      <w:hyperlink r:id="rId99">
        <w:r>
          <w:rPr>
            <w:rStyle w:val="Hyperlink"/>
          </w:rPr>
          <w:t xml:space="preserve">https://doi.org/https://doi.org/10.1016/j.worlddev.2007.06.019</w:t>
        </w:r>
      </w:hyperlink>
    </w:p>
    <w:bookmarkEnd w:id="100"/>
    <w:bookmarkStart w:id="102" w:name="ref-Zhao2009"/>
    <w:p>
      <w:pPr>
        <w:pStyle w:val="Bibliography"/>
      </w:pPr>
      <w:r>
        <w:t xml:space="preserve">Zhao, X., &amp; Kim, Y. (2009). Is the cfa franc zone an optimum currency area?</w:t>
      </w:r>
      <w:r>
        <w:t xml:space="preserve"> </w:t>
      </w:r>
      <w:r>
        <w:rPr>
          <w:i/>
        </w:rPr>
        <w:t xml:space="preserve">World Development</w:t>
      </w:r>
      <w:r>
        <w:t xml:space="preserve">,</w:t>
      </w:r>
      <w:r>
        <w:t xml:space="preserve"> </w:t>
      </w:r>
      <w:r>
        <w:rPr>
          <w:i/>
        </w:rPr>
        <w:t xml:space="preserve">37</w:t>
      </w:r>
      <w:r>
        <w:t xml:space="preserve">(12), 1877–1886.</w:t>
      </w:r>
      <w:r>
        <w:t xml:space="preserve"> </w:t>
      </w:r>
      <w:hyperlink r:id="rId101">
        <w:r>
          <w:rPr>
            <w:rStyle w:val="Hyperlink"/>
          </w:rPr>
          <w:t xml:space="preserve">https://doi.org/https://doi.org/10.1016/j.worlddev.2009.03.011</w:t>
        </w:r>
      </w:hyperlink>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ECOWAS official languages are English, French and Portuguese.</w:t>
      </w:r>
    </w:p>
  </w:footnote>
  <w:footnote w:id="25">
    <w:p>
      <w:pPr>
        <w:pStyle w:val="FootnoteText"/>
      </w:pPr>
      <w:r>
        <w:rPr>
          <w:rStyle w:val="FootnoteReference"/>
        </w:rPr>
        <w:footnoteRef/>
      </w:r>
      <w:r>
        <w:t xml:space="preserve"> </w:t>
      </w:r>
      <w:r>
        <w:t xml:space="preserve">Monetary union of Francophone countries whose economies are linked to the French franc.</w:t>
      </w:r>
    </w:p>
  </w:footnote>
  <w:footnote w:id="27">
    <w:p>
      <w:pPr>
        <w:pStyle w:val="FootnoteText"/>
      </w:pPr>
      <w:r>
        <w:rPr>
          <w:rStyle w:val="FootnoteReference"/>
        </w:rPr>
        <w:footnoteRef/>
      </w:r>
      <w:r>
        <w:t xml:space="preserve"> </w:t>
      </w:r>
      <w:r>
        <w:t xml:space="preserve">WAEMU and WAMZ were established in 1994 and 2000 respectively.</w:t>
      </w:r>
    </w:p>
  </w:footnote>
  <w:footnote w:id="30">
    <w:p>
      <w:pPr>
        <w:pStyle w:val="FootnoteText"/>
      </w:pPr>
      <w:r>
        <w:rPr>
          <w:rStyle w:val="FootnoteReference"/>
        </w:rPr>
        <w:footnoteRef/>
      </w:r>
      <w:r>
        <w:t xml:space="preserve"> </w:t>
      </w:r>
      <w:r>
        <w:t xml:space="preserve">The base year is 2010</w:t>
      </w:r>
    </w:p>
  </w:footnote>
  <w:footnote w:id="31">
    <w:p>
      <w:pPr>
        <w:pStyle w:val="FootnoteText"/>
      </w:pPr>
      <w:r>
        <w:rPr>
          <w:rStyle w:val="FootnoteReference"/>
        </w:rPr>
        <w:footnoteRef/>
      </w:r>
      <w:r>
        <w:t xml:space="preserve"> </w:t>
      </w:r>
      <m:oMath>
        <m:sSubSup>
          <m:e>
            <m:r>
              <m:t>π</m:t>
            </m:r>
          </m:e>
          <m:sub>
            <m:r>
              <m:t>t</m:t>
            </m:r>
          </m:sub>
          <m:sup>
            <m:r>
              <m:t>i</m:t>
            </m:r>
          </m:sup>
        </m:sSubSup>
        <m:r>
          <m:t>=</m:t>
        </m:r>
        <m:r>
          <m:t>(</m:t>
        </m:r>
        <m:r>
          <m:t>l</m:t>
        </m:r>
        <m:r>
          <m:t>n</m:t>
        </m:r>
        <m:sSub>
          <m:e>
            <m:r>
              <m:t>X</m:t>
            </m:r>
          </m:e>
          <m:sub>
            <m:r>
              <m:t>t</m:t>
            </m:r>
          </m:sub>
        </m:sSub>
        <m:r>
          <m:t>−</m:t>
        </m:r>
        <m:r>
          <m:t>l</m:t>
        </m:r>
        <m:r>
          <m:t>n</m:t>
        </m:r>
        <m:sSub>
          <m:e>
            <m:r>
              <m:t>X</m:t>
            </m:r>
          </m:e>
          <m:sub>
            <m:r>
              <m:t>t</m:t>
            </m:r>
            <m:r>
              <m:t>−</m:t>
            </m:r>
            <m:r>
              <m:t>12</m:t>
            </m:r>
          </m:sub>
        </m:sSub>
        <m:r>
          <m:t>)</m:t>
        </m:r>
        <m:r>
          <m:t>×</m:t>
        </m:r>
        <m:r>
          <m:t>100</m:t>
        </m:r>
      </m:oMath>
    </w:p>
  </w:footnote>
  <w:footnote w:id="32">
    <w:p>
      <w:pPr>
        <w:pStyle w:val="FootnoteText"/>
      </w:pPr>
      <w:r>
        <w:rPr>
          <w:rStyle w:val="FootnoteReference"/>
        </w:rPr>
        <w:footnoteRef/>
      </w:r>
      <w:r>
        <w:t xml:space="preserve"> </w:t>
      </w:r>
      <m:oMath>
        <m:sSub>
          <m:e>
            <m:r>
              <m:t>w</m:t>
            </m:r>
          </m:e>
          <m:sub>
            <m:r>
              <m:t>i</m:t>
            </m:r>
          </m:sub>
        </m:sSub>
        <m:r>
          <m:t>=</m:t>
        </m:r>
        <m:f>
          <m:fPr>
            <m:type m:val="bar"/>
          </m:fPr>
          <m:num>
            <m:sSub>
              <m:e>
                <m:bar>
                  <m:barPr>
                    <m:pos m:val="top"/>
                  </m:barPr>
                  <m:e>
                    <m:r>
                      <m:t>X</m:t>
                    </m:r>
                  </m:e>
                </m:bar>
              </m:e>
              <m:sub>
                <m:r>
                  <m:t>t</m:t>
                </m:r>
              </m:sub>
            </m:sSub>
          </m:num>
          <m:den>
            <m:nary>
              <m:naryPr>
                <m:chr m:val="∑"/>
                <m:limLoc m:val="undOvr"/>
                <m:subHide m:val="0"/>
                <m:supHide m:val="0"/>
              </m:naryPr>
              <m:sub>
                <m:r>
                  <m:t>1</m:t>
                </m:r>
              </m:sub>
              <m:sup>
                <m:r>
                  <m:t>n</m:t>
                </m:r>
              </m:sup>
              <m:e>
                <m:sSub>
                  <m:e>
                    <m:bar>
                      <m:barPr>
                        <m:pos m:val="top"/>
                      </m:barPr>
                      <m:e>
                        <m:r>
                          <m:t>X</m:t>
                        </m:r>
                      </m:e>
                    </m:bar>
                  </m:e>
                  <m:sub>
                    <m:r>
                      <m:t>t</m:t>
                    </m:r>
                  </m:sub>
                </m:sSub>
              </m:e>
            </m:nary>
          </m:den>
        </m:f>
        <m:r>
          <m:rPr>
            <m:sty m:val="p"/>
          </m:rPr>
          <m:t>, </m:t>
        </m:r>
        <m:sSub>
          <m:e>
            <m:r>
              <m:t>r</m:t>
            </m:r>
          </m:e>
          <m:sub>
            <m:r>
              <m:t>t</m:t>
            </m:r>
          </m:sub>
        </m:sSub>
        <m:r>
          <m:t>=</m:t>
        </m:r>
        <m:nary>
          <m:naryPr>
            <m:chr m:val="∑"/>
            <m:limLoc m:val="undOvr"/>
            <m:subHide m:val="0"/>
            <m:supHide m:val="0"/>
          </m:naryPr>
          <m:sub>
            <m:r>
              <m:t>1</m:t>
            </m:r>
          </m:sub>
          <m:sup>
            <m:r>
              <m:t>n</m:t>
            </m:r>
          </m:sup>
          <m:e>
            <m:sSub>
              <m:e>
                <m:r>
                  <m:t>w</m:t>
                </m:r>
              </m:e>
              <m:sub>
                <m:r>
                  <m:t>i</m:t>
                </m:r>
                <m:r>
                  <m:t>t</m:t>
                </m:r>
              </m:sub>
            </m:sSub>
          </m:e>
        </m:nary>
        <m:sSub>
          <m:e>
            <m:r>
              <m:t>X</m:t>
            </m:r>
          </m:e>
          <m:sub>
            <m:r>
              <m:t>i</m:t>
            </m:r>
            <m:r>
              <m:t>t</m:t>
            </m:r>
          </m:sub>
        </m:sSub>
        <m:r>
          <m:rPr>
            <m:sty m:val="p"/>
          </m:rPr>
          <m:t>, </m:t>
        </m:r>
        <m:sSub>
          <m:e>
            <m:r>
              <m:t>g</m:t>
            </m:r>
          </m:e>
          <m:sub>
            <m:r>
              <m:t>t</m:t>
            </m:r>
          </m:sub>
        </m:sSub>
        <m:r>
          <m:t>=</m:t>
        </m:r>
        <m:nary>
          <m:naryPr>
            <m:chr m:val="∑"/>
            <m:limLoc m:val="undOvr"/>
            <m:subHide m:val="0"/>
            <m:supHide m:val="0"/>
          </m:naryPr>
          <m:sub>
            <m:r>
              <m:t>1</m:t>
            </m:r>
          </m:sub>
          <m:sup>
            <m:r>
              <m:t>n</m:t>
            </m:r>
          </m:sup>
          <m:e>
            <m:sSub>
              <m:e>
                <m:r>
                  <m:t>w</m:t>
                </m:r>
              </m:e>
              <m:sub>
                <m:r>
                  <m:t>i</m:t>
                </m:r>
                <m:r>
                  <m:t>t</m:t>
                </m:r>
              </m:sub>
            </m:sSub>
          </m:e>
        </m:nary>
        <m:sSub>
          <m:e>
            <m:r>
              <m:t>X</m:t>
            </m:r>
          </m:e>
          <m:sub>
            <m:r>
              <m:t>i</m:t>
            </m:r>
            <m:r>
              <m:t>t</m:t>
            </m:r>
          </m:sub>
        </m:sSub>
      </m:oMath>
      <w:r>
        <w:t xml:space="preserve">, where</w:t>
      </w:r>
      <w:r>
        <w:t xml:space="preserve"> </w:t>
      </w:r>
      <m:oMath>
        <m:sSub>
          <m:e>
            <m:r>
              <m:t>w</m:t>
            </m:r>
          </m:e>
          <m:sub>
            <m:r>
              <m:t>i</m:t>
            </m:r>
          </m:sub>
        </m:sSub>
      </m:oMath>
      <w:r>
        <w:t xml:space="preserve">,</w:t>
      </w:r>
      <w:r>
        <w:t xml:space="preserve"> </w:t>
      </w:r>
      <m:oMath>
        <m:sSub>
          <m:e>
            <m:r>
              <m:t>r</m:t>
            </m:r>
          </m:e>
          <m:sub>
            <m:r>
              <m:t>t</m:t>
            </m:r>
          </m:sub>
        </m:sSub>
      </m:oMath>
      <w:r>
        <w:t xml:space="preserve"> </w:t>
      </w:r>
      <w:r>
        <w:t xml:space="preserve">and</w:t>
      </w:r>
      <w:r>
        <w:t xml:space="preserve"> </w:t>
      </w:r>
      <m:oMath>
        <m:sSub>
          <m:e>
            <m:r>
              <m:t>g</m:t>
            </m:r>
          </m:e>
          <m:sub>
            <m:r>
              <m:t>t</m:t>
            </m:r>
          </m:sub>
        </m:sSub>
      </m:oMath>
      <w:r>
        <w:t xml:space="preserve"> </w:t>
      </w:r>
      <w:r>
        <w:t xml:space="preserve">stand for the individual weight, regional CPI, and global CPI respectively.</w:t>
      </w:r>
      <w:r>
        <w:t xml:space="preserve"> </w:t>
      </w:r>
      <m:oMath>
        <m:sSub>
          <m:e>
            <m:r>
              <m:t>X</m:t>
            </m:r>
          </m:e>
          <m:sub>
            <m:r>
              <m:t>t</m:t>
            </m:r>
          </m:sub>
        </m:sSub>
      </m:oMath>
      <w:r>
        <w:t xml:space="preserve"> </w:t>
      </w:r>
      <w:r>
        <w:t xml:space="preserve">is the CPI and</w:t>
      </w:r>
      <w:r>
        <w:t xml:space="preserve"> </w:t>
      </w:r>
      <m:oMath>
        <m:sSub>
          <m:e>
            <m:bar>
              <m:barPr>
                <m:pos m:val="top"/>
              </m:barPr>
              <m:e>
                <m:r>
                  <m:t>X</m:t>
                </m:r>
              </m:e>
            </m:bar>
          </m:e>
          <m:sub>
            <m:r>
              <m:t>t</m:t>
            </m:r>
          </m:sub>
        </m:sSub>
      </m:oMath>
      <w:r>
        <w:t xml:space="preserve"> </w:t>
      </w:r>
      <w:r>
        <w:t xml:space="preserve">is the mean of the CPI, and n is the number of countries considered in the calculation of regional or global CPI</w:t>
      </w:r>
    </w:p>
  </w:footnote>
  <w:footnote w:id="33">
    <w:p>
      <w:pPr>
        <w:pStyle w:val="FootnoteText"/>
      </w:pPr>
      <w:r>
        <w:rPr>
          <w:rStyle w:val="FootnoteReference"/>
        </w:rPr>
        <w:footnoteRef/>
      </w:r>
      <w:r>
        <w:t xml:space="preserve"> </w:t>
      </w:r>
      <w:r>
        <w:t xml:space="preserve">These assumptions are the same as in</w:t>
      </w:r>
      <w:r>
        <w:t xml:space="preserve"> </w:t>
      </w:r>
      <w:r>
        <w:t xml:space="preserve">Chow &amp; Kim (</w:t>
      </w:r>
      <w:hyperlink w:anchor="ref-Chow2003">
        <w:r>
          <w:rPr>
            <w:rStyle w:val="Hyperlink"/>
          </w:rPr>
          <w:t xml:space="preserve">2003</w:t>
        </w:r>
      </w:hyperlink>
      <w:r>
        <w:t xml:space="preserve">)</w:t>
      </w:r>
      <w:r>
        <w:t xml:space="preserve">,</w:t>
      </w:r>
      <w:r>
        <w:t xml:space="preserve"> </w:t>
      </w:r>
      <w:r>
        <w:t xml:space="preserve">Hsu (</w:t>
      </w:r>
      <w:hyperlink w:anchor="ref-hsu2010common">
        <w:r>
          <w:rPr>
            <w:rStyle w:val="Hyperlink"/>
          </w:rPr>
          <w:t xml:space="preserve">2010</w:t>
        </w:r>
      </w:hyperlink>
      <w:r>
        <w:t xml:space="preserve">)</w:t>
      </w:r>
      <w:r>
        <w:t xml:space="preserve">, and</w:t>
      </w:r>
      <w:r>
        <w:t xml:space="preserve"> </w:t>
      </w:r>
      <w:r>
        <w:t xml:space="preserve">Regmi et al. (</w:t>
      </w:r>
      <w:hyperlink w:anchor="ref-Regmi2015">
        <w:r>
          <w:rPr>
            <w:rStyle w:val="Hyperlink"/>
          </w:rPr>
          <w:t xml:space="preserve">2015</w:t>
        </w:r>
      </w:hyperlink>
      <w:r>
        <w:t xml:space="preserve">)</w:t>
      </w:r>
    </w:p>
  </w:footnote>
  <w:footnote w:id="34">
    <w:p>
      <w:pPr>
        <w:pStyle w:val="FootnoteText"/>
      </w:pPr>
      <w:r>
        <w:rPr>
          <w:rStyle w:val="FootnoteReference"/>
        </w:rPr>
        <w:footnoteRef/>
      </w:r>
      <w:r>
        <w:t xml:space="preserve"> </w:t>
      </w:r>
      <w:r>
        <w:t xml:space="preserve">For just-identified VAR system, number of restrictions (r) is given by r=(n^2-n)/2, where n is the number of variables in the system. Given 3 variables, the required number of restriction is 3.</w:t>
      </w:r>
      <w:r>
        <w:t xml:space="preserve"> </w:t>
      </w:r>
    </w:p>
  </w:footnote>
  <w:footnote w:id="36">
    <w:p>
      <w:pPr>
        <w:pStyle w:val="FootnoteText"/>
      </w:pPr>
      <w:r>
        <w:rPr>
          <w:rStyle w:val="FootnoteReference"/>
        </w:rPr>
        <w:footnoteRef/>
      </w:r>
      <w:r>
        <w:t xml:space="preserve"> </w:t>
      </w:r>
      <w:r>
        <w:t xml:space="preserve">The SB dates for the global inflation is 1981:11, and 1987:01 and 1996:07 for the Gambia and Nigeria respectively</w:t>
      </w:r>
    </w:p>
  </w:footnote>
  <w:footnote w:id="37">
    <w:p>
      <w:pPr>
        <w:pStyle w:val="FootnoteText"/>
      </w:pPr>
      <w:r>
        <w:rPr>
          <w:rStyle w:val="FootnoteReference"/>
        </w:rPr>
        <w:footnoteRef/>
      </w:r>
      <w:r>
        <w:t xml:space="preserve"> </w:t>
      </w:r>
      <w:r>
        <w:t xml:space="preserve">The lag selection is guided by the number of lags necessary to make the VAR stable and whiten its error.</w:t>
      </w:r>
    </w:p>
  </w:footnote>
  <w:footnote w:id="38">
    <w:p>
      <w:pPr>
        <w:pStyle w:val="FootnoteText"/>
      </w:pPr>
      <w:r>
        <w:rPr>
          <w:rStyle w:val="FootnoteReference"/>
        </w:rPr>
        <w:footnoteRef/>
      </w:r>
      <w:r>
        <w:t xml:space="preserve"> </w:t>
      </w:r>
      <w:r>
        <w:t xml:space="preserve">The diagnostic results are not reported in order to save space.</w:t>
      </w:r>
    </w:p>
  </w:footnote>
  <w:footnote w:id="39">
    <w:p>
      <w:pPr>
        <w:pStyle w:val="FootnoteText"/>
      </w:pPr>
      <w:r>
        <w:rPr>
          <w:rStyle w:val="FootnoteReference"/>
        </w:rPr>
        <w:footnoteRef/>
      </w:r>
      <w:r>
        <w:t xml:space="preserve"> </w:t>
      </w:r>
      <w:r>
        <w:t xml:space="preserve">To save space, only comparison of models 2 and 3 and that of models 5 and 6 are reported. We also determine that inclusion of China as part of the global variable does make any significant difference.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47" Target="media/rId47.png" /><Relationship Type="http://schemas.openxmlformats.org/officeDocument/2006/relationships/hyperlink" Id="rId87" Target="http://www.imf.org/external/pubs/nft/op/204/" TargetMode="External" /><Relationship Type="http://schemas.openxmlformats.org/officeDocument/2006/relationships/hyperlink" Id="rId89" Target="http://www.jstor.org/stable/1811021" TargetMode="External" /><Relationship Type="http://schemas.openxmlformats.org/officeDocument/2006/relationships/hyperlink" Id="rId92" Target="http://www.jstor.org/stable/2336182" TargetMode="External" /><Relationship Type="http://schemas.openxmlformats.org/officeDocument/2006/relationships/hyperlink" Id="rId72" Target="http://www.jstor.org/stable/3548950" TargetMode="External" /><Relationship Type="http://schemas.openxmlformats.org/officeDocument/2006/relationships/hyperlink" Id="rId64" Target="https://doi.org/10.1080/01621459.1979.10482531" TargetMode="External" /><Relationship Type="http://schemas.openxmlformats.org/officeDocument/2006/relationships/hyperlink" Id="rId56" Target="https://doi.org/10.1086/593083" TargetMode="External" /><Relationship Type="http://schemas.openxmlformats.org/officeDocument/2006/relationships/hyperlink" Id="rId70" Target="https://doi.org/10.1093/jae/ejh037" TargetMode="External" /><Relationship Type="http://schemas.openxmlformats.org/officeDocument/2006/relationships/hyperlink" Id="rId80" Target="https://doi.org/10.1177/0974929216631381" TargetMode="External" /><Relationship Type="http://schemas.openxmlformats.org/officeDocument/2006/relationships/hyperlink" Id="rId52" Target="https://doi.org/https://doi.org/10.1016/S0014-2921(97)00035-4" TargetMode="External" /><Relationship Type="http://schemas.openxmlformats.org/officeDocument/2006/relationships/hyperlink" Id="rId59" Target="https://doi.org/https://doi.org/10.1016/S0164-0704(03)00041-7" TargetMode="External" /><Relationship Type="http://schemas.openxmlformats.org/officeDocument/2006/relationships/hyperlink" Id="rId95" Target="https://doi.org/https://doi.org/10.1016/j.asieco.2007.07.002" TargetMode="External" /><Relationship Type="http://schemas.openxmlformats.org/officeDocument/2006/relationships/hyperlink" Id="rId84" Target="https://doi.org/https://doi.org/10.1016/j.econmod.2014.03.020" TargetMode="External" /><Relationship Type="http://schemas.openxmlformats.org/officeDocument/2006/relationships/hyperlink" Id="rId50" Target="https://doi.org/https://doi.org/10.1016/j.jpolmod.2011.10.001" TargetMode="External" /><Relationship Type="http://schemas.openxmlformats.org/officeDocument/2006/relationships/hyperlink" Id="rId97" Target="https://doi.org/https://doi.org/10.1016/j.jpolmod.2015.09.005" TargetMode="External" /><Relationship Type="http://schemas.openxmlformats.org/officeDocument/2006/relationships/hyperlink" Id="rId99" Target="https://doi.org/https://doi.org/10.1016/j.worlddev.2007.06.019" TargetMode="External" /><Relationship Type="http://schemas.openxmlformats.org/officeDocument/2006/relationships/hyperlink" Id="rId101" Target="https://doi.org/https://doi.org/10.1016/j.worlddev.2009.03.011" TargetMode="External" /><Relationship Type="http://schemas.openxmlformats.org/officeDocument/2006/relationships/hyperlink" Id="rId67" Target="https://escholarship.org/uc/item/1td5x343" TargetMode="External" /><Relationship Type="http://schemas.openxmlformats.org/officeDocument/2006/relationships/hyperlink" Id="rId54" Target="https://ideas.repec.org/a/aea/aecrev/v79y1989i4p655-73.html" TargetMode="External" /><Relationship Type="http://schemas.openxmlformats.org/officeDocument/2006/relationships/hyperlink" Id="rId82" Target="https://mpra.ub.uni-muenchen.de/52556/1/MPRA_paper_52556.pdf" TargetMode="External" /><Relationship Type="http://schemas.openxmlformats.org/officeDocument/2006/relationships/hyperlink" Id="rId21" Target="mailto:civcir@politics.ankara.edu.tr" TargetMode="External" /><Relationship Type="http://schemas.openxmlformats.org/officeDocument/2006/relationships/hyperlink" Id="rId22" Target="mailto:huseyinozdeser@neu.edu.tr" TargetMode="External" /><Relationship Type="http://schemas.openxmlformats.org/officeDocument/2006/relationships/hyperlink" Id="rId20" Target="mailto:sagirumati@gmail.com" TargetMode="External" /></Relationships>
</file>

<file path=word/_rels/footnotes.xml.rels><?xml version="1.0" encoding="UTF-8"?>
<Relationships xmlns="http://schemas.openxmlformats.org/package/2006/relationships"><Relationship Type="http://schemas.openxmlformats.org/officeDocument/2006/relationships/hyperlink" Id="rId87" Target="http://www.imf.org/external/pubs/nft/op/204/" TargetMode="External" /><Relationship Type="http://schemas.openxmlformats.org/officeDocument/2006/relationships/hyperlink" Id="rId89" Target="http://www.jstor.org/stable/1811021" TargetMode="External" /><Relationship Type="http://schemas.openxmlformats.org/officeDocument/2006/relationships/hyperlink" Id="rId92" Target="http://www.jstor.org/stable/2336182" TargetMode="External" /><Relationship Type="http://schemas.openxmlformats.org/officeDocument/2006/relationships/hyperlink" Id="rId72" Target="http://www.jstor.org/stable/3548950" TargetMode="External" /><Relationship Type="http://schemas.openxmlformats.org/officeDocument/2006/relationships/hyperlink" Id="rId64" Target="https://doi.org/10.1080/01621459.1979.10482531" TargetMode="External" /><Relationship Type="http://schemas.openxmlformats.org/officeDocument/2006/relationships/hyperlink" Id="rId56" Target="https://doi.org/10.1086/593083" TargetMode="External" /><Relationship Type="http://schemas.openxmlformats.org/officeDocument/2006/relationships/hyperlink" Id="rId70" Target="https://doi.org/10.1093/jae/ejh037" TargetMode="External" /><Relationship Type="http://schemas.openxmlformats.org/officeDocument/2006/relationships/hyperlink" Id="rId80" Target="https://doi.org/10.1177/0974929216631381" TargetMode="External" /><Relationship Type="http://schemas.openxmlformats.org/officeDocument/2006/relationships/hyperlink" Id="rId52" Target="https://doi.org/https://doi.org/10.1016/S0014-2921(97)00035-4" TargetMode="External" /><Relationship Type="http://schemas.openxmlformats.org/officeDocument/2006/relationships/hyperlink" Id="rId59" Target="https://doi.org/https://doi.org/10.1016/S0164-0704(03)00041-7" TargetMode="External" /><Relationship Type="http://schemas.openxmlformats.org/officeDocument/2006/relationships/hyperlink" Id="rId95" Target="https://doi.org/https://doi.org/10.1016/j.asieco.2007.07.002" TargetMode="External" /><Relationship Type="http://schemas.openxmlformats.org/officeDocument/2006/relationships/hyperlink" Id="rId84" Target="https://doi.org/https://doi.org/10.1016/j.econmod.2014.03.020" TargetMode="External" /><Relationship Type="http://schemas.openxmlformats.org/officeDocument/2006/relationships/hyperlink" Id="rId50" Target="https://doi.org/https://doi.org/10.1016/j.jpolmod.2011.10.001" TargetMode="External" /><Relationship Type="http://schemas.openxmlformats.org/officeDocument/2006/relationships/hyperlink" Id="rId97" Target="https://doi.org/https://doi.org/10.1016/j.jpolmod.2015.09.005" TargetMode="External" /><Relationship Type="http://schemas.openxmlformats.org/officeDocument/2006/relationships/hyperlink" Id="rId99" Target="https://doi.org/https://doi.org/10.1016/j.worlddev.2007.06.019" TargetMode="External" /><Relationship Type="http://schemas.openxmlformats.org/officeDocument/2006/relationships/hyperlink" Id="rId101" Target="https://doi.org/https://doi.org/10.1016/j.worlddev.2009.03.011" TargetMode="External" /><Relationship Type="http://schemas.openxmlformats.org/officeDocument/2006/relationships/hyperlink" Id="rId67" Target="https://escholarship.org/uc/item/1td5x343" TargetMode="External" /><Relationship Type="http://schemas.openxmlformats.org/officeDocument/2006/relationships/hyperlink" Id="rId54" Target="https://ideas.repec.org/a/aea/aecrev/v79y1989i4p655-73.html" TargetMode="External" /><Relationship Type="http://schemas.openxmlformats.org/officeDocument/2006/relationships/hyperlink" Id="rId82" Target="https://mpra.ub.uni-muenchen.de/52556/1/MPRA_paper_52556.pdf" TargetMode="External" /><Relationship Type="http://schemas.openxmlformats.org/officeDocument/2006/relationships/hyperlink" Id="rId21" Target="mailto:civcir@politics.ankara.edu.tr" TargetMode="External" /><Relationship Type="http://schemas.openxmlformats.org/officeDocument/2006/relationships/hyperlink" Id="rId22" Target="mailto:huseyinozdeser@neu.edu.tr" TargetMode="External" /><Relationship Type="http://schemas.openxmlformats.org/officeDocument/2006/relationships/hyperlink" Id="rId20" Target="mailto:sagirumat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ECOWAS Common Currency, a Mirage or Possibility?</dc:title>
  <dc:creator>Sagiru Mati1, Irfan Civcir2*, Hüseyin Özdeşer3</dc:creator>
  <cp:keywords/>
  <dcterms:created xsi:type="dcterms:W3CDTF">2019-07-21T22:11:25Z</dcterms:created>
  <dcterms:modified xsi:type="dcterms:W3CDTF">2019-07-21T22:11:25Z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REFERENCES/MASTER_REFERENCES.bib</vt:lpwstr>
  </property>
  <property fmtid="{D5CDD505-2E9C-101B-9397-08002B2CF9AE}" pid="3" name="citecolor">
    <vt:lpwstr>green</vt:lpwstr>
  </property>
  <property fmtid="{D5CDD505-2E9C-101B-9397-08002B2CF9AE}" pid="4" name="csl">
    <vt:lpwstr>CSL/apa.csl</vt:lpwstr>
  </property>
  <property fmtid="{D5CDD505-2E9C-101B-9397-08002B2CF9AE}" pid="5" name="fig_caption">
    <vt:lpwstr>yes</vt:lpwstr>
  </property>
  <property fmtid="{D5CDD505-2E9C-101B-9397-08002B2CF9AE}" pid="6" name="font_size">
    <vt:lpwstr>12pt</vt:lpwstr>
  </property>
  <property fmtid="{D5CDD505-2E9C-101B-9397-08002B2CF9AE}" pid="7" name="geometry">
    <vt:lpwstr>a4paper,top=2.5cm,bottom=2.5cm,left=3.5cm,right=2.5cm</vt:lpwstr>
  </property>
  <property fmtid="{D5CDD505-2E9C-101B-9397-08002B2CF9AE}" pid="8" name="link-citations">
    <vt:lpwstr>yes</vt:lpwstr>
  </property>
  <property fmtid="{D5CDD505-2E9C-101B-9397-08002B2CF9AE}" pid="9" name="linkcolor">
    <vt:lpwstr>blue</vt:lpwstr>
  </property>
  <property fmtid="{D5CDD505-2E9C-101B-9397-08002B2CF9AE}" pid="10" name="output">
    <vt:lpwstr/>
  </property>
  <property fmtid="{D5CDD505-2E9C-101B-9397-08002B2CF9AE}" pid="11" name="pdf_crop">
    <vt:lpwstr>True</vt:lpwstr>
  </property>
  <property fmtid="{D5CDD505-2E9C-101B-9397-08002B2CF9AE}" pid="12" name="subparagraph">
    <vt:lpwstr>yes</vt:lpwstr>
  </property>
  <property fmtid="{D5CDD505-2E9C-101B-9397-08002B2CF9AE}" pid="13" name="urlcolor">
    <vt:lpwstr>blue</vt:lpwstr>
  </property>
</Properties>
</file>