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Базовые понятия</w:t>
      </w:r>
    </w:p>
    <w:p>
      <w:pPr>
        <w:pStyle w:val="Normal"/>
        <w:rPr>
          <w:lang w:val="en-US"/>
        </w:rPr>
      </w:pPr>
      <w:r>
        <w:rPr>
          <w:u w:val="single"/>
          <w:lang w:val="en-US"/>
        </w:rPr>
        <w:t>Harut-элемент –</w:t>
      </w:r>
      <w:r>
        <w:rPr>
          <w:lang w:val="en-US"/>
        </w:rPr>
        <w:t xml:space="preserve"> это базовый элемент модели. Это можно изобразить простой точкой.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1257300" cy="125730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u w:val="single"/>
          <w:lang w:val="en-US"/>
        </w:rPr>
        <w:t>Harut-пара – это пара двух Harut-элементов</w:t>
      </w:r>
      <w:r>
        <w:rPr>
          <w:lang w:val="en-US"/>
        </w:rPr>
        <w:t>.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1314450" cy="131445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u w:val="single"/>
          <w:lang w:val="en-US"/>
        </w:rPr>
        <w:t>Harut-система</w:t>
      </w:r>
      <w:r>
        <w:rPr>
          <w:lang w:val="en-US"/>
        </w:rPr>
        <w:t xml:space="preserve"> – это множество которое состоит из Harut-элементов и/или Harut-пар.</w:t>
      </w:r>
    </w:p>
    <w:p>
      <w:pPr>
        <w:pStyle w:val="Title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Условные обозначения</w:t>
      </w:r>
    </w:p>
    <w:p>
      <w:pPr>
        <w:pStyle w:val="Normal"/>
        <w:rPr>
          <w:lang w:val="en-US"/>
        </w:rPr>
      </w:pPr>
      <w:r>
        <w:rPr>
          <w:lang w:val="en-US"/>
        </w:rPr>
        <w:t>Harut-элемент обозначается буквой `h`.</w:t>
      </w:r>
    </w:p>
    <w:p>
      <w:pPr>
        <w:pStyle w:val="Normal"/>
        <w:rPr>
          <w:lang w:val="en-US"/>
        </w:rPr>
      </w:pPr>
      <w:r>
        <w:rPr>
          <w:lang w:val="en-US"/>
        </w:rPr>
        <w:t>Harut-пара обозначается буквой `H`.</w:t>
      </w:r>
    </w:p>
    <w:p>
      <w:pPr>
        <w:pStyle w:val="Normal"/>
        <w:rPr>
          <w:lang w:val="en-US"/>
        </w:rPr>
      </w:pPr>
      <w:r>
        <w:rPr>
          <w:lang w:val="en-US"/>
        </w:rPr>
        <w:t>Harut-система берется в скобки.</w:t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Классификация Harut-систем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 xml:space="preserve">Harut-системы бывают </w:t>
      </w:r>
      <w:r>
        <w:rPr>
          <w:rFonts w:eastAsia="" w:cs="Calibri" w:cstheme="minorHAnsi" w:eastAsiaTheme="minorEastAsia"/>
          <w:i/>
          <w:iCs/>
          <w:lang w:val="en-US"/>
        </w:rPr>
        <w:t>стабильными</w:t>
      </w:r>
      <w:r>
        <w:rPr>
          <w:rFonts w:eastAsia="" w:cs="Calibri" w:cstheme="minorHAnsi" w:eastAsiaTheme="minorEastAsia"/>
          <w:lang w:val="en-US"/>
        </w:rPr>
        <w:t xml:space="preserve"> или </w:t>
      </w:r>
      <w:r>
        <w:rPr>
          <w:rFonts w:eastAsia="" w:cs="Calibri" w:cstheme="minorHAnsi" w:eastAsiaTheme="minorEastAsia"/>
          <w:i/>
          <w:iCs/>
          <w:lang w:val="en-US"/>
        </w:rPr>
        <w:t>нестабильными</w:t>
      </w:r>
      <w:r>
        <w:rPr>
          <w:rFonts w:eastAsia="" w:cs="Calibri" w:cstheme="minorHAnsi" w:eastAsiaTheme="minorEastAsia"/>
          <w:lang w:val="en-US"/>
        </w:rPr>
        <w:t>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u w:val="single"/>
          <w:lang w:val="en-US"/>
        </w:rPr>
        <w:t>Стабильная Harut-система состоит только из</w:t>
      </w:r>
      <w:r>
        <w:rPr>
          <w:rFonts w:eastAsia="" w:cs="Calibri" w:cstheme="minorHAnsi" w:eastAsiaTheme="minorEastAsia"/>
          <w:lang w:val="en-US"/>
        </w:rPr>
        <w:t xml:space="preserve"> Harut-пар. Обозначается  (H, …).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u w:val="single"/>
          <w:lang w:val="en-US"/>
        </w:rPr>
        <w:t>Нестабильная Harut-система</w:t>
      </w:r>
      <w:r>
        <w:rPr>
          <w:rFonts w:eastAsia="" w:cs="Calibri" w:cstheme="minorHAnsi" w:eastAsiaTheme="minorEastAsia"/>
          <w:lang w:val="en-US"/>
        </w:rPr>
        <w:t xml:space="preserve"> – это система в которой есть один Harut-элемент. Обозначается </w:t>
      </w:r>
      <w:r>
        <w:rPr>
          <w:rFonts w:eastAsia="" w:cs="Calibri" w:cstheme="minorHAnsi" w:eastAsiaTheme="minorEastAsia"/>
        </w:rPr>
        <w:t>(H, …, h).</w:t>
      </w:r>
    </w:p>
    <w:p>
      <w:pPr>
        <w:pStyle w:val="Title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Title"/>
        <w:rPr>
          <w:sz w:val="44"/>
          <w:szCs w:val="44"/>
          <w:u w:val="single"/>
        </w:rPr>
      </w:pPr>
      <w:r>
        <w:rPr>
          <w:sz w:val="44"/>
          <w:szCs w:val="44"/>
          <w:u w:val="single"/>
          <w:lang w:val="en-US"/>
        </w:rPr>
        <w:t>Фундаментальные принципы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Harut-элемент стремится образовать пару с другим Harut-элементом.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Стабильная Harut-система стремится разделиться на две равные части.</w:t>
      </w:r>
    </w:p>
    <w:p>
      <w:pPr>
        <w:pStyle w:val="Normal"/>
        <w:rPr>
          <w:i/>
          <w:i/>
          <w:iCs/>
          <w:lang w:val="en-US"/>
        </w:rPr>
      </w:pPr>
      <w:r>
        <w:rPr>
          <w:i/>
          <w:iCs/>
          <w:lang w:val="en-US"/>
        </w:rPr>
        <w:t>Примеры:</w:t>
      </w:r>
    </w:p>
    <w:p>
      <w:pPr>
        <w:pStyle w:val="Normal"/>
        <w:rPr>
          <w:lang w:val="en-US"/>
        </w:rPr>
      </w:pPr>
      <w:r>
        <w:rPr>
          <w:lang w:val="en-US"/>
        </w:rPr>
        <w:t>(h, h) =</w:t>
      </w:r>
      <w:r>
        <w:rPr>
          <w:rFonts w:eastAsia="DejaVu Sans" w:cs="DejaVu Sans" w:ascii="DejaVu Sans" w:hAnsi="DejaVu Sans"/>
          <w:lang w:val="en-US"/>
        </w:rPr>
        <w:t xml:space="preserve"> (H)</w:t>
      </w:r>
    </w:p>
    <w:p>
      <w:pPr>
        <w:pStyle w:val="Normal"/>
        <w:rPr>
          <w:lang w:val="en-US"/>
        </w:rPr>
      </w:pPr>
      <w:r>
        <w:rPr>
          <w:rFonts w:eastAsia="DejaVu Sans" w:cs="DejaVu Sans" w:ascii="DejaVu Sans" w:hAnsi="DejaVu Sans"/>
          <w:lang w:val="en-US"/>
        </w:rPr>
        <w:t>(H, H) = (H) (H)</w:t>
      </w:r>
    </w:p>
    <w:p>
      <w:pPr>
        <w:pStyle w:val="Normal"/>
        <w:rPr>
          <w:lang w:val="en-US"/>
        </w:rPr>
      </w:pPr>
      <w:r>
        <w:rPr>
          <w:rFonts w:eastAsia="DejaVu Sans" w:cs="DejaVu Sans" w:ascii="DejaVu Sans" w:hAnsi="DejaVu Sans"/>
          <w:lang w:val="en-US"/>
        </w:rPr>
        <w:t>(H, H, H) = (H, H, h, h) = (H, h) (H, h)</w:t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Размерность Harut-системы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>Это количество Harut-пар в системе. Обозначается (H, ...)</w:t>
      </w:r>
      <w:r>
        <w:rPr>
          <w:rFonts w:eastAsia="" w:cs="Calibri" w:cstheme="minorHAnsi" w:eastAsiaTheme="minorEastAsia"/>
          <w:vertAlign w:val="subscript"/>
          <w:lang w:val="en-US"/>
        </w:rPr>
        <w:t>N</w:t>
      </w:r>
      <w:r>
        <w:rPr>
          <w:rFonts w:eastAsia="" w:cs="Calibri" w:cstheme="minorHAnsi" w:eastAsiaTheme="minorEastAsia"/>
          <w:lang w:val="en-US"/>
        </w:rPr>
        <w:t>, где N – размерность системы.</w:t>
      </w:r>
    </w:p>
    <w:p>
      <w:pPr>
        <w:pStyle w:val="Title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Мутации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>Это любое изменение Harut-системы. Под изменением, что элементы могут быть добавлены или удалены из системы. Система также можеть быть разделена на части, или части могут повторяться. Тоесть с системами можно проводить основные базовые операции (сложение, вычитание, умножение и деление)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>Мутации могут стабилизировать или дестабилизировать систему.</w:t>
      </w:r>
    </w:p>
    <w:p>
      <w:pPr>
        <w:pStyle w:val="Normal"/>
        <w:rPr>
          <w:i/>
          <w:i/>
          <w:iCs/>
          <w:lang w:val="en-US"/>
        </w:rPr>
      </w:pPr>
      <w:r>
        <w:rPr>
          <w:rFonts w:eastAsia="" w:cs="Calibri" w:cstheme="minorHAnsi" w:eastAsiaTheme="minorEastAsia"/>
          <w:i/>
          <w:iCs/>
          <w:lang w:val="en-US"/>
        </w:rPr>
        <w:t>Примеры: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>(H, …, h)</w:t>
      </w:r>
      <w:r>
        <w:rPr>
          <w:rFonts w:eastAsia="" w:cs="Calibri" w:cstheme="minorHAnsi" w:eastAsiaTheme="minorEastAsia"/>
          <w:vertAlign w:val="subscript"/>
          <w:lang w:val="en-US"/>
        </w:rPr>
        <w:t>N</w:t>
      </w:r>
      <w:r>
        <w:rPr>
          <w:rFonts w:eastAsia="" w:cs="Calibri" w:cstheme="minorHAnsi" w:eastAsiaTheme="minorEastAsia"/>
          <w:lang w:val="en-US"/>
        </w:rPr>
        <w:t xml:space="preserve"> + (h) =</w:t>
      </w:r>
      <w:r>
        <w:rPr>
          <w:rFonts w:eastAsia="DejaVu Sans" w:cs="DejaVu Sans" w:ascii="DejaVu Sans" w:hAnsi="DejaVu Sans"/>
          <w:lang w:val="en-US"/>
        </w:rPr>
        <w:t xml:space="preserve"> (H, ...)</w:t>
      </w:r>
      <w:r>
        <w:rPr>
          <w:rFonts w:eastAsia="DejaVu Sans" w:cs="DejaVu Sans" w:ascii="DejaVu Sans" w:hAnsi="DejaVu Sans"/>
          <w:vertAlign w:val="subscript"/>
          <w:lang w:val="en-US"/>
        </w:rPr>
        <w:t>N</w:t>
      </w:r>
      <w:r>
        <w:rPr>
          <w:rFonts w:eastAsia="DejaVu Sans" w:cs="DejaVu Sans" w:ascii="DejaVu Sans" w:hAnsi="DejaVu Sans"/>
          <w:lang w:val="en-US"/>
        </w:rPr>
        <w:t xml:space="preserve"> + (h, h) = (H, ...)</w:t>
      </w:r>
      <w:r>
        <w:rPr>
          <w:rFonts w:eastAsia="DejaVu Sans" w:cs="DejaVu Sans" w:ascii="DejaVu Sans" w:hAnsi="DejaVu Sans"/>
          <w:vertAlign w:val="subscript"/>
          <w:lang w:val="en-US"/>
        </w:rPr>
        <w:t>N</w:t>
      </w:r>
      <w:r>
        <w:rPr>
          <w:rFonts w:eastAsia="DejaVu Sans" w:cs="DejaVu Sans" w:ascii="DejaVu Sans" w:hAnsi="DejaVu Sans"/>
          <w:lang w:val="en-US"/>
        </w:rPr>
        <w:t xml:space="preserve"> + (H) = (H, ...)</w:t>
      </w:r>
      <w:r>
        <w:rPr>
          <w:rFonts w:eastAsia="DejaVu Sans" w:cs="DejaVu Sans" w:ascii="DejaVu Sans" w:hAnsi="DejaVu Sans"/>
          <w:vertAlign w:val="subscript"/>
          <w:lang w:val="en-US"/>
        </w:rPr>
        <w:t>N+1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>3 x (H, …, h)</w:t>
      </w:r>
      <w:r>
        <w:rPr>
          <w:rFonts w:eastAsia="" w:cs="Calibri" w:cstheme="minorHAnsi" w:eastAsiaTheme="minorEastAsia"/>
          <w:vertAlign w:val="subscript"/>
          <w:lang w:val="en-US"/>
        </w:rPr>
        <w:t>N</w:t>
      </w:r>
      <w:r>
        <w:rPr>
          <w:rFonts w:eastAsia="" w:cs="Calibri" w:cstheme="minorHAnsi" w:eastAsiaTheme="minorEastAsia"/>
          <w:lang w:val="en-US"/>
        </w:rPr>
        <w:t xml:space="preserve"> = (H, …, h)</w:t>
      </w:r>
      <w:r>
        <w:rPr>
          <w:rFonts w:eastAsia="" w:cs="Calibri" w:cstheme="minorHAnsi" w:eastAsiaTheme="minorEastAsia"/>
          <w:vertAlign w:val="subscript"/>
          <w:lang w:val="en-US"/>
        </w:rPr>
        <w:t>N</w:t>
      </w:r>
      <w:r>
        <w:rPr>
          <w:rFonts w:eastAsia="" w:cs="Calibri" w:cstheme="minorHAnsi" w:eastAsiaTheme="minorEastAsia"/>
          <w:lang w:val="en-US"/>
        </w:rPr>
        <w:t xml:space="preserve"> + (H, …, h)</w:t>
      </w:r>
      <w:r>
        <w:rPr>
          <w:rFonts w:eastAsia="" w:cs="Calibri" w:cstheme="minorHAnsi" w:eastAsiaTheme="minorEastAsia"/>
          <w:vertAlign w:val="subscript"/>
          <w:lang w:val="en-US"/>
        </w:rPr>
        <w:t>N</w:t>
      </w:r>
      <w:r>
        <w:rPr>
          <w:rFonts w:eastAsia="" w:cs="Calibri" w:cstheme="minorHAnsi" w:eastAsiaTheme="minorEastAsia"/>
          <w:lang w:val="en-US"/>
        </w:rPr>
        <w:t xml:space="preserve"> + (H, …, h)</w:t>
      </w:r>
      <w:r>
        <w:rPr>
          <w:rFonts w:eastAsia="" w:cs="Calibri" w:cstheme="minorHAnsi" w:eastAsiaTheme="minorEastAsia"/>
          <w:vertAlign w:val="subscript"/>
          <w:lang w:val="en-US"/>
        </w:rPr>
        <w:t>N</w:t>
      </w:r>
      <w:r>
        <w:rPr>
          <w:rFonts w:eastAsia="" w:cs="Calibri" w:cstheme="minorHAnsi" w:eastAsiaTheme="minorEastAsia"/>
          <w:lang w:val="en-US"/>
        </w:rPr>
        <w:t xml:space="preserve"> = (H, ...)</w:t>
      </w:r>
      <w:r>
        <w:rPr>
          <w:rFonts w:eastAsia="" w:cs="Calibri" w:cstheme="minorHAnsi" w:eastAsiaTheme="minorEastAsia"/>
          <w:vertAlign w:val="subscript"/>
          <w:lang w:val="en-US"/>
        </w:rPr>
        <w:t>3N</w:t>
      </w:r>
      <w:r>
        <w:rPr>
          <w:rFonts w:eastAsia="" w:cs="Calibri" w:cstheme="minorHAnsi" w:eastAsiaTheme="minorEastAsia"/>
          <w:lang w:val="en-US"/>
        </w:rPr>
        <w:t xml:space="preserve"> + (h, h) + (h) = (H, ...)</w:t>
      </w:r>
      <w:r>
        <w:rPr>
          <w:rFonts w:eastAsia="" w:cs="Calibri" w:cstheme="minorHAnsi" w:eastAsiaTheme="minorEastAsia"/>
          <w:vertAlign w:val="subscript"/>
          <w:lang w:val="en-US"/>
        </w:rPr>
        <w:t>3N</w:t>
      </w:r>
      <w:r>
        <w:rPr>
          <w:rFonts w:eastAsia="" w:cs="Calibri" w:cstheme="minorHAnsi" w:eastAsiaTheme="minorEastAsia"/>
          <w:lang w:val="en-US"/>
        </w:rPr>
        <w:t xml:space="preserve"> + (H) + (h) = (H, …, h)</w:t>
      </w:r>
      <w:r>
        <w:rPr>
          <w:rFonts w:eastAsia="" w:cs="Calibri" w:cstheme="minorHAnsi" w:eastAsiaTheme="minorEastAsia"/>
          <w:vertAlign w:val="subscript"/>
          <w:lang w:val="en-US"/>
        </w:rPr>
        <w:t>3N+1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>3 x (H, …, h)</w:t>
      </w:r>
      <w:r>
        <w:rPr>
          <w:rFonts w:eastAsia="" w:cs="Calibri" w:cstheme="minorHAnsi" w:eastAsiaTheme="minorEastAsia"/>
          <w:vertAlign w:val="subscript"/>
          <w:lang w:val="en-US"/>
        </w:rPr>
        <w:t>N</w:t>
      </w:r>
      <w:r>
        <w:rPr>
          <w:rFonts w:eastAsia="" w:cs="Calibri" w:cstheme="minorHAnsi" w:eastAsiaTheme="minorEastAsia"/>
          <w:lang w:val="en-US"/>
        </w:rPr>
        <w:t xml:space="preserve"> + (h) = (H, …, h)</w:t>
      </w:r>
      <w:r>
        <w:rPr>
          <w:rFonts w:eastAsia="" w:cs="Calibri" w:cstheme="minorHAnsi" w:eastAsiaTheme="minorEastAsia"/>
          <w:vertAlign w:val="subscript"/>
          <w:lang w:val="en-US"/>
        </w:rPr>
        <w:t>3N+1</w:t>
      </w:r>
      <w:r>
        <w:rPr>
          <w:rFonts w:eastAsia="" w:cs="Calibri" w:cstheme="minorHAnsi" w:eastAsiaTheme="minorEastAsia"/>
          <w:lang w:val="en-US"/>
        </w:rPr>
        <w:t xml:space="preserve"> + (h) = (H, ...)</w:t>
      </w:r>
      <w:r>
        <w:rPr>
          <w:rFonts w:eastAsia="" w:cs="Calibri" w:cstheme="minorHAnsi" w:eastAsiaTheme="minorEastAsia"/>
          <w:vertAlign w:val="subscript"/>
          <w:lang w:val="en-US"/>
        </w:rPr>
        <w:t>3N+1</w:t>
      </w:r>
      <w:r>
        <w:rPr>
          <w:rFonts w:eastAsia="" w:cs="Calibri" w:cstheme="minorHAnsi" w:eastAsiaTheme="minorEastAsia"/>
          <w:lang w:val="en-US"/>
        </w:rPr>
        <w:t xml:space="preserve"> + (h, h) = (H, ...)</w:t>
      </w:r>
      <w:r>
        <w:rPr>
          <w:rFonts w:eastAsia="" w:cs="Calibri" w:cstheme="minorHAnsi" w:eastAsiaTheme="minorEastAsia"/>
          <w:vertAlign w:val="subscript"/>
          <w:lang w:val="en-US"/>
        </w:rPr>
        <w:t>3N+2</w:t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Кратность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>Кратность – это свойство Harut-системы, позволяющее разделять её на равные части без потери стабильности каждой отдельной части.</w:t>
      </w:r>
    </w:p>
    <w:p>
      <w:pPr>
        <w:pStyle w:val="Normal"/>
        <w:rPr>
          <w:rFonts w:eastAsia="" w:cs="Calibri" w:cstheme="minorHAnsi" w:eastAsiaTheme="minorEastAsia"/>
          <w:lang w:val="en-US"/>
        </w:rPr>
      </w:pPr>
      <w:r>
        <w:rPr>
          <w:rFonts w:eastAsia="" w:cs="Calibri" w:cstheme="minorHAnsi" w:eastAsiaTheme="minorEastAsia"/>
          <w:lang w:val="en-US"/>
        </w:rPr>
        <w:t xml:space="preserve">Свойство обозначается </w:t>
      </w:r>
      <w:r>
        <w:rPr>
          <w:rFonts w:eastAsia="" w:cs="Calibri" w:cstheme="minorHAnsi" w:eastAsiaTheme="minorEastAsia"/>
          <w:vertAlign w:val="superscript"/>
          <w:lang w:val="en-US"/>
        </w:rPr>
        <w:t>m</w:t>
      </w:r>
      <w:r>
        <w:rPr>
          <w:rFonts w:eastAsia="" w:cs="Calibri" w:cstheme="minorHAnsi" w:eastAsiaTheme="minorEastAsia"/>
          <w:lang w:val="en-US"/>
        </w:rPr>
        <w:t>(H, ...)</w:t>
      </w:r>
      <w:r>
        <w:rPr>
          <w:rFonts w:eastAsia="" w:cs="Calibri" w:cstheme="minorHAnsi" w:eastAsiaTheme="minorEastAsia"/>
          <w:vertAlign w:val="subscript"/>
          <w:lang w:val="en-US"/>
        </w:rPr>
        <w:t>N</w:t>
      </w:r>
      <w:r>
        <w:rPr>
          <w:rFonts w:eastAsia="" w:cs="Calibri" w:cstheme="minorHAnsi" w:eastAsiaTheme="minorEastAsia"/>
          <w:lang w:val="en-US"/>
        </w:rPr>
        <w:t>, где m – параметр кратности.</w:t>
      </w:r>
    </w:p>
    <w:p>
      <w:pPr>
        <w:pStyle w:val="Normal"/>
        <w:rPr>
          <w:rFonts w:eastAsia="" w:cs="Calibri" w:cstheme="minorHAnsi" w:eastAsiaTheme="minorEastAsia"/>
          <w:lang w:val="en-US"/>
        </w:rPr>
      </w:pPr>
      <w:r>
        <w:rPr>
          <w:rFonts w:eastAsia="" w:cs="Calibri" w:cstheme="minorHAnsi" w:eastAsiaTheme="minorEastAsia"/>
          <w:lang w:val="en-US"/>
        </w:rPr>
        <w:t xml:space="preserve">Такая Harut-система обозначается буквой S (e.g. </w:t>
      </w:r>
      <w:r>
        <w:rPr>
          <w:rFonts w:eastAsia="" w:cs="Calibri" w:cstheme="minorHAnsi" w:eastAsiaTheme="minorEastAsia"/>
          <w:vertAlign w:val="superscript"/>
          <w:lang w:val="en-US"/>
        </w:rPr>
        <w:t>2</w:t>
      </w:r>
      <w:r>
        <w:rPr>
          <w:rFonts w:eastAsia="" w:cs="Calibri" w:cstheme="minorHAnsi" w:eastAsiaTheme="minorEastAsia"/>
          <w:lang w:val="en-US"/>
        </w:rPr>
        <w:t>S – 2-кратная стабильная Harut-система)</w:t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Harut-мутация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>Это мутация вида 3 x (</w:t>
      </w:r>
      <w:r>
        <w:rPr>
          <w:rFonts w:eastAsia="" w:cs="Calibri" w:cstheme="minorHAnsi" w:eastAsiaTheme="minorEastAsia"/>
          <w:vertAlign w:val="superscript"/>
          <w:lang w:val="en-US"/>
        </w:rPr>
        <w:t>2</w:t>
      </w:r>
      <w:r>
        <w:rPr>
          <w:rFonts w:eastAsia="" w:cs="Calibri" w:cstheme="minorHAnsi" w:eastAsiaTheme="minorEastAsia"/>
          <w:lang w:val="en-US"/>
        </w:rPr>
        <w:t>S, h) + h.</w:t>
      </w:r>
    </w:p>
    <w:p>
      <w:pPr>
        <w:pStyle w:val="Normal"/>
        <w:rPr>
          <w:rFonts w:eastAsia="" w:cs="Calibri" w:cstheme="minorHAnsi" w:eastAsiaTheme="minorEastAsia"/>
          <w:b/>
          <w:bCs/>
          <w:lang w:val="en-US"/>
        </w:rPr>
      </w:pPr>
      <w:r>
        <w:rPr>
          <w:rFonts w:eastAsia="" w:cs="Calibri" w:cstheme="minorHAnsi" w:eastAsiaTheme="minorEastAsia"/>
          <w:i/>
          <w:iCs/>
          <w:u w:val="single"/>
          <w:lang w:val="en-US"/>
        </w:rPr>
        <w:t>Теорема</w:t>
      </w:r>
      <w:r>
        <w:rPr>
          <w:rFonts w:eastAsia="" w:cs="Calibri" w:cstheme="minorHAnsi" w:eastAsiaTheme="minorEastAsia"/>
          <w:lang w:val="en-US"/>
        </w:rPr>
        <w:t xml:space="preserve">: </w:t>
      </w:r>
      <w:r>
        <w:rPr>
          <w:rFonts w:eastAsia="" w:cs="Calibri" w:cstheme="minorHAnsi" w:eastAsiaTheme="minorEastAsia"/>
          <w:b/>
          <w:bCs/>
          <w:lang w:val="en-US"/>
        </w:rPr>
        <w:t>Harut-Мутация оказывает стабилизирующий эффект на систему, однако если применять её рекурсивно к системе которая существует по своим фундаментальным правилам жизненного цикла, система вырождается, что означает что в результате её деления, все стабильные пары в конечном итоге будут существовать не в рамках системы, а сами по себе.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i/>
          <w:iCs/>
          <w:u w:val="single"/>
          <w:lang w:val="en-US"/>
        </w:rPr>
        <w:t>Доказательство</w:t>
      </w:r>
      <w:r>
        <w:rPr>
          <w:rFonts w:cs="Calibri" w:cstheme="minorHAnsi"/>
          <w:lang w:val="en-US"/>
        </w:rPr>
        <w:t>: Мы будем выполнять стабилизацию и деление 2-кратной нестабильной Harut-системы в соответствии с фундаментальными принципами её жизненного цикла.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…, h)</w:t>
      </w:r>
      <w:r>
        <w:rPr>
          <w:rFonts w:cs="Calibri" w:cstheme="minorHAnsi"/>
          <w:vertAlign w:val="subscript"/>
          <w:lang w:val="en-US"/>
        </w:rPr>
        <w:t>N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→ </w:t>
      </w:r>
      <w:r>
        <w:rPr>
          <w:rFonts w:cs="Calibri" w:cstheme="minorHAnsi"/>
          <w:lang w:val="en-US"/>
        </w:rPr>
        <w:t xml:space="preserve">(стабилизация) 3 x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…, h)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(h)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→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…, h)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…, h)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…, h)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(h)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→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(h, h, h, h)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→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(H, H)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→ </w:t>
      </w:r>
      <w:r>
        <w:rPr>
          <w:rFonts w:cs="Calibri" w:cstheme="minorHAnsi"/>
          <w:lang w:val="en-US"/>
        </w:rPr>
        <w:t xml:space="preserve">(деление)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N/2</w:t>
      </w:r>
      <w:r>
        <w:rPr>
          <w:rFonts w:cs="Calibri" w:cstheme="minorHAnsi"/>
          <w:lang w:val="en-US"/>
        </w:rPr>
        <w:t xml:space="preserve"> + H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→ 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N+N/2+1</w:t>
      </w:r>
    </w:p>
    <w:p>
      <w:pPr>
        <w:pStyle w:val="Normal"/>
        <w:rPr/>
      </w:pPr>
      <w:r>
        <w:rPr>
          <w:rFonts w:cs="Calibri" w:cstheme="minorHAnsi"/>
          <w:lang w:val="en-US"/>
        </w:rPr>
        <w:t xml:space="preserve">После стабилизации и деления, Harut-система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…, h)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мутирует в (H, …)</w:t>
      </w:r>
      <w:r>
        <w:rPr>
          <w:rFonts w:cs="Calibri" w:cstheme="minorHAnsi"/>
          <w:vertAlign w:val="subscript"/>
          <w:lang w:val="en-US"/>
        </w:rPr>
        <w:t>N+N/2+1</w:t>
      </w:r>
      <w:r>
        <w:rPr>
          <w:rFonts w:cs="Calibri" w:cstheme="minorHAnsi"/>
          <w:lang w:val="en-US"/>
        </w:rPr>
        <w:t>. Так как Harut-система изначально была 2-кратной, мы не можем гарантировать что она сохранила это свойство. Однако мы уверены что она все еще стабильна.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Поэтому в соответствии с фундаментальными принципами Harut-система должна разделиться на две равные части; однако после деления она может разделиться на две стабильные или две нестабильные системы.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N+N/2+1</w:t>
      </w:r>
      <w:r>
        <w:rPr>
          <w:rFonts w:cs="Calibri" w:cstheme="minorHAnsi"/>
          <w:lang w:val="en-US"/>
        </w:rPr>
        <w:t xml:space="preserve"> → (H, …)</w:t>
      </w:r>
      <w:r>
        <w:rPr>
          <w:rFonts w:cs="Calibri" w:cstheme="minorHAnsi"/>
          <w:vertAlign w:val="subscript"/>
          <w:lang w:val="en-US"/>
        </w:rPr>
        <w:t>(N+N/2+1)/2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Или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N+N/2+1</w:t>
      </w:r>
      <w:r>
        <w:rPr>
          <w:rFonts w:cs="Calibri" w:cstheme="minorHAnsi"/>
          <w:lang w:val="en-US"/>
        </w:rPr>
        <w:t xml:space="preserve"> → (H, …, h)</w:t>
      </w:r>
      <w:r>
        <w:rPr>
          <w:rFonts w:cs="Calibri" w:cstheme="minorHAnsi"/>
          <w:vertAlign w:val="subscript"/>
          <w:lang w:val="en-US"/>
        </w:rPr>
        <w:t>[(N+N/2+1)/2]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После всех мутаций размерность системы будет</w:t>
      </w:r>
    </w:p>
    <w:p>
      <w:pPr>
        <w:pStyle w:val="Normal"/>
        <w:jc w:val="center"/>
        <w:rPr>
          <w:rFonts w:cs="Calibri" w:cstheme="minorHAnsi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N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⌋</m:t>
          </m:r>
        </m:oMath>
      </m:oMathPara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 </w:t>
      </w:r>
      <w:r>
        <w:rPr>
          <w:rFonts w:cs="Calibri" w:cstheme="minorHAnsi"/>
          <w:lang w:val="en-US"/>
        </w:rPr>
        <w:t>и в самом неблагополучном случае размерность будет меняться по формуле</w:t>
      </w:r>
    </w:p>
    <w:p>
      <w:pPr>
        <w:pStyle w:val="Normal"/>
        <w:jc w:val="center"/>
        <w:rPr>
          <w:rFonts w:cs="Calibri" w:cstheme="minorHAnsi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+</m:t>
              </m:r>
              <m:f>
                <m:fPr>
                  <m:type m:val="lin"/>
                </m:fPr>
                <m:num>
                  <m:r>
                    <w:rPr>
                      <w:rFonts w:ascii="Cambria Math" w:hAnsi="Cambria Math"/>
                    </w:rPr>
                    <m:t xml:space="preserve">N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⌋</m:t>
          </m:r>
        </m:oMath>
      </m:oMathPara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Мы докажем что данная функция вырождается.</w:t>
      </w:r>
    </w:p>
    <w:p>
      <w:pPr>
        <w:pStyle w:val="Normal"/>
        <w:jc w:val="center"/>
        <w:rPr>
          <w:rFonts w:cs="Calibri" w:cstheme="minorHAnsi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+</m:t>
              </m:r>
              <m:f>
                <m:fPr>
                  <m:type m:val="lin"/>
                </m:fPr>
                <m:num>
                  <m:r>
                    <w:rPr>
                      <w:rFonts w:ascii="Cambria Math" w:hAnsi="Cambria Math"/>
                    </w:rPr>
                    <m:t xml:space="preserve">N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⌋</m:t>
          </m:r>
        </m:oMath>
      </m:oMathPara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Докажем методом изменения вокруг фиксированной точки.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Возьмем точку L = 2.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Рассмотрим D</w:t>
      </w:r>
      <w:r>
        <w:rPr>
          <w:rFonts w:cs="Calibri" w:cstheme="minorHAnsi"/>
          <w:vertAlign w:val="subscript"/>
          <w:lang w:val="en-US"/>
        </w:rPr>
        <w:t>i</w:t>
      </w:r>
      <w:r>
        <w:rPr>
          <w:rFonts w:cs="Calibri" w:cstheme="minorHAnsi"/>
          <w:lang w:val="en-US"/>
        </w:rPr>
        <w:t xml:space="preserve"> = N</w:t>
      </w:r>
      <w:r>
        <w:rPr>
          <w:rFonts w:cs="Calibri" w:cstheme="minorHAnsi"/>
          <w:vertAlign w:val="subscript"/>
          <w:lang w:val="en-US"/>
        </w:rPr>
        <w:t>i</w:t>
      </w:r>
      <w:r>
        <w:rPr>
          <w:rFonts w:cs="Calibri" w:cstheme="minorHAnsi"/>
          <w:lang w:val="en-US"/>
        </w:rPr>
        <w:t xml:space="preserve"> – 2. </w:t>
      </w:r>
    </w:p>
    <w:p>
      <w:pPr>
        <w:pStyle w:val="Normal"/>
        <w:jc w:val="left"/>
        <w:rPr>
          <w:rFonts w:cs="Calibri" w:cstheme="minorHAnsi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⌋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8</m:t>
              </m:r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⌋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6</m:t>
              </m:r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⌋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⋅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⌋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⌋</m:t>
          </m:r>
        </m:oMath>
      </m:oMathPara>
    </w:p>
    <w:p>
      <w:pPr>
        <w:pStyle w:val="Normal"/>
        <w:jc w:val="left"/>
        <w:rPr>
          <w:rFonts w:cs="Calibri" w:cstheme="minorHAnsi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⌋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→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&lt;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Title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Гипотеза Коллатца</w:t>
      </w:r>
    </w:p>
    <w:p>
      <w:pPr>
        <w:pStyle w:val="BodyText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Гипотеза Коллатца говорит что если вы возьмете любое целое положительное n и будете постоянно применять к нему ниже описанные правила, то в конце концов вы придете к числу 1.</w:t>
      </w:r>
    </w:p>
    <w:p>
      <w:pPr>
        <w:pStyle w:val="BodyText"/>
        <w:rPr/>
      </w:pPr>
      <w:r>
        <w:rPr/>
        <w:t>Правила такие:</w:t>
      </w:r>
    </w:p>
    <w:p>
      <w:pPr>
        <w:pStyle w:val="BodyText"/>
        <w:rPr/>
      </w:pPr>
      <w:r>
        <w:rPr/>
        <w:t>Если n четное, делим на 2</w:t>
      </w:r>
    </w:p>
    <w:p>
      <w:pPr>
        <w:pStyle w:val="BodyText"/>
        <w:rPr/>
      </w:pPr>
      <w:r>
        <w:rPr/>
        <w:t>Если n нечетное, умножаем на 3 и прибавляем 1</w:t>
      </w:r>
    </w:p>
    <w:p>
      <w:pPr>
        <w:pStyle w:val="BodyText"/>
        <w:rPr/>
      </w:pPr>
      <w:r>
        <w:rPr/>
        <w:t>Давайте проведем аналогию между числами и Harut-системами.</w:t>
      </w:r>
    </w:p>
    <w:p>
      <w:pPr>
        <w:pStyle w:val="BodyText"/>
        <w:rPr/>
      </w:pPr>
      <w:r>
        <w:rPr>
          <w:position w:val="8"/>
          <w:sz w:val="19"/>
        </w:rPr>
        <w:t>2</w:t>
      </w:r>
      <w:r>
        <w:rPr/>
        <w:t>(H, …, h)</w:t>
      </w:r>
      <w:r>
        <w:rPr>
          <w:position w:val="-2"/>
          <w:sz w:val="19"/>
        </w:rPr>
        <w:t>N</w:t>
      </w:r>
      <w:r>
        <w:rPr/>
        <w:t xml:space="preserve"> = (H, …, h)</w:t>
      </w:r>
      <w:r>
        <w:rPr>
          <w:position w:val="-2"/>
          <w:sz w:val="19"/>
        </w:rPr>
        <w:t>2N</w:t>
      </w:r>
    </w:p>
    <w:p>
      <w:pPr>
        <w:pStyle w:val="BodyText"/>
        <w:rPr/>
      </w:pPr>
      <w:r>
        <w:rPr/>
        <w:t>(H, …, h)</w:t>
      </w:r>
      <w:r>
        <w:rPr>
          <w:position w:val="-2"/>
          <w:sz w:val="19"/>
        </w:rPr>
        <w:t>2N</w:t>
      </w:r>
      <w:r>
        <w:rPr/>
        <w:t xml:space="preserve"> представляет число A, такое что A mod 4 = 1.</w:t>
      </w:r>
    </w:p>
    <w:p>
      <w:pPr>
        <w:pStyle w:val="BodyText"/>
        <w:rPr/>
      </w:pPr>
      <w:r>
        <w:rPr/>
        <w:t>(H, …)</w:t>
      </w:r>
      <w:r>
        <w:rPr>
          <w:position w:val="-2"/>
          <w:sz w:val="19"/>
        </w:rPr>
        <w:t>8n+2</w:t>
      </w:r>
      <w:r>
        <w:rPr/>
        <w:t xml:space="preserve"> представляет число B, такое что B mod 4 = 2.</w:t>
      </w:r>
    </w:p>
    <w:p>
      <w:pPr>
        <w:pStyle w:val="BodyText"/>
        <w:rPr/>
      </w:pPr>
      <w:r>
        <w:rPr/>
        <w:t>Два деления подряд говорят о том что вырождение начинается с числа C, такого что C mod 4 = 0.</w:t>
      </w:r>
    </w:p>
    <w:p>
      <w:pPr>
        <w:pStyle w:val="BodyText"/>
        <w:rPr/>
      </w:pPr>
      <w:r>
        <w:rPr/>
        <w:t>Harut-мутация представляет 3x+1 функцию</w:t>
      </w:r>
    </w:p>
    <w:p>
      <w:pPr>
        <w:pStyle w:val="BodyText"/>
        <w:rPr/>
      </w:pPr>
      <w:r>
        <w:rPr/>
        <w:t>Таким образом, гипотеза Коллатца верна для всех чисел которые дают остаток 0, 1 или 2 от деления на 4.</w:t>
      </w:r>
    </w:p>
    <w:p>
      <w:pPr>
        <w:pStyle w:val="BodyText"/>
        <w:rPr/>
      </w:pPr>
      <w:r>
        <w:rPr/>
        <w:t>Давайте докажем, что для любого числа D такого что D mod 4 = 3, гипотеза Коллатца также верна.</w:t>
      </w:r>
    </w:p>
    <w:p>
      <w:pPr>
        <w:pStyle w:val="BodyText"/>
        <w:rPr/>
      </w:pPr>
      <w:r>
        <w:rPr/>
        <w:t>D mod 4 = 3 =&gt; D = 4k + 3</w:t>
      </w:r>
    </w:p>
    <w:p>
      <w:pPr>
        <w:pStyle w:val="BodyText"/>
        <w:rPr/>
      </w:pPr>
      <w:r>
        <w:rPr/>
        <w:t>4k + 3 (нечетное) =&gt; C(D) = 3(4k + 3) + 1 = 12k + 10</w:t>
      </w:r>
    </w:p>
    <w:p>
      <w:pPr>
        <w:pStyle w:val="BodyText"/>
        <w:rPr/>
      </w:pPr>
      <w:r>
        <w:rPr/>
        <w:t>(12k + 10) mod 4 = (12k mod 4) + (10 mod 4) = 10 mod 4 = (8 + 2) mod 4 = 2 mod 4 = 2</w:t>
      </w:r>
    </w:p>
    <w:p>
      <w:pPr>
        <w:pStyle w:val="BodyText"/>
        <w:rPr/>
      </w:pPr>
      <w:r>
        <w:rPr/>
        <w:t>Тактм образом, любое число D такое что D mod 4 = 3 приведет к числу E такому что E mod 4 = 2.</w:t>
      </w:r>
    </w:p>
    <w:p>
      <w:pPr>
        <w:pStyle w:val="BodyText"/>
        <w:rPr/>
      </w:pPr>
      <w:r>
        <w:rPr/>
        <w:t>Гипотеза Коллатца для таких чисел E уже доказана.</w:t>
      </w:r>
    </w:p>
    <w:p>
      <w:pPr>
        <w:pStyle w:val="BodyText"/>
        <w:spacing w:before="0" w:after="140"/>
        <w:rPr/>
      </w:pPr>
      <w:r>
        <w:rPr/>
        <w:t>Q.E.D.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9f6a28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f6a28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f6a2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f6a2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f6a2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f6a2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f6a2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f6a2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f6a2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9f6a2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9f6a2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9f6a28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9f6a28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9f6a28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9f6a28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9f6a28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9f6a28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9f6a28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9f6a2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9f6a2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9f6a2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f6a28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9f6a28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9f6a28"/>
    <w:rPr>
      <w:b/>
      <w:bCs/>
      <w:smallCaps/>
      <w:color w:themeColor="accent1" w:themeShade="bf" w:val="2F5496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ed007d"/>
    <w:rPr>
      <w:color w:val="66666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9f6a28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9f6a2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9f6a2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f6a2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9f6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Application>LibreOffice/24.2.7.2$Linux_X86_64 LibreOffice_project/420$Build-2</Application>
  <AppVersion>15.0000</AppVersion>
  <Pages>5</Pages>
  <Words>769</Words>
  <Characters>3803</Characters>
  <CharactersWithSpaces>4509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2025-11-21T12:49:00Z</dcterms:created>
  <dc:creator>Юрий Арутюнян</dc:creator>
  <dc:description/>
  <dc:language>en-US</dc:language>
  <cp:lastModifiedBy/>
  <cp:lastPrinted>2025-11-28T19:39:54Z</cp:lastPrinted>
  <dcterms:modified xsi:type="dcterms:W3CDTF">2025-12-04T10:25:19Z</dcterms:modified>
  <cp:revision>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