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Göğüs Röntgenlerinden</w:t>
        <w:br/>
        <w:t>Pnömoni Sınıflandırma</w:t>
        <w:br/>
        <w:t>Proje Raporu</w:t>
      </w:r>
    </w:p>
    <w:p>
      <w:r>
        <w:rPr>
          <w:sz w:val="22"/>
        </w:rPr>
        <w:t>Mert Nusret Sağlam  |  2 Ekim 2026</w:t>
      </w:r>
    </w:p>
    <w:p>
      <w:r>
        <w:t>Donanım arızası sonrasında kaybolan projeyi yeniden oluşturmak için, göğüs röntgenlerini NORMAL ve PNEUMONIA olarak sınıflandıran bir Python ve PyTorch uygulaması geliştirildi. Bu rapor yeni uygulamanın veri hazırlama, eğitim, kesintiden devam etme ve test değerlendirmesi sürecini açıklar.</w:t>
      </w:r>
    </w:p>
    <w:p>
      <w:r>
        <w:t>ResNet18 modeli 624 test görüntüsünde %84,29 doğruluk ve grafikte 0,963 ROC AUC elde etti. Pnömoni duyarlılığı %99,49, normal görüntüleri doğru tanıma oranı %58,97 oldu. Sonuç, pnömoni görüntülerini yakalamada güçlü; normal görüntülerdeki yanlış alarmlar açısından geliştirmeye açık bir araştırma prototipidir.</w:t>
      </w:r>
    </w:p>
    <w:p>
      <w:pPr>
        <w:pStyle w:val="Heading2"/>
      </w:pPr>
      <w:r>
        <w:t>Adım adım çalışmanın akışı</w:t>
      </w:r>
    </w:p>
    <w:p>
      <w:r>
        <w:rPr>
          <w:b/>
        </w:rPr>
        <w:t>1. Çalışma ortamını kurduk.</w:t>
      </w:r>
      <w:r>
        <w:t xml:space="preserve"> Windows üzerinde projeye özel .venv ortamını hazırladık ve kaynak dosyalarını proje klasörüne yerleştirdik.</w:t>
      </w:r>
    </w:p>
    <w:p>
      <w:r>
        <w:rPr>
          <w:b/>
        </w:rPr>
        <w:t>2. Kodun çalıştığını doğruladık.</w:t>
      </w:r>
      <w:r>
        <w:t xml:space="preserve"> CLAHE seçeneğiyle küçük yapay görüntüler üzerinde eğitim ve değerlendirme akışını denedik.</w:t>
      </w:r>
    </w:p>
    <w:p>
      <w:r>
        <w:rPr>
          <w:b/>
        </w:rPr>
        <w:t>3. Gerçek veriyi denetledik.</w:t>
      </w:r>
      <w:r>
        <w:t xml:space="preserve"> Sınıf sayılarını, görüntülerin okunabilirliğini ve bölümler arasındaki birebir kopyaları kontrol ettik.</w:t>
      </w:r>
    </w:p>
    <w:p>
      <w:r>
        <w:rPr>
          <w:b/>
        </w:rPr>
        <w:t>4. Eğitim ve doğrulamayı yeniden ayırdık.</w:t>
      </w:r>
      <w:r>
        <w:t xml:space="preserve"> İlgili dosya gruplarını birlikte tuttuk; testle grup çakışması olan 457 görüntüyü eğitim havuzundan çıkardık.</w:t>
      </w:r>
    </w:p>
    <w:p>
      <w:r>
        <w:rPr>
          <w:b/>
        </w:rPr>
        <w:t>5. Görüntüleri modele hazırladık.</w:t>
      </w:r>
      <w:r>
        <w:t xml:space="preserve"> Kontrast düzenleme, 224 piksel boyutlandırma ve normalizasyon uyguladık.</w:t>
      </w:r>
    </w:p>
    <w:p>
      <w:r>
        <w:rPr>
          <w:b/>
        </w:rPr>
        <w:t>6. ResNet18 modelini eğittik.</w:t>
      </w:r>
      <w:r>
        <w:t xml:space="preserve"> CPU üzerinde, dörder görüntülük paketlerle toplam 10 epoka ulaştık.</w:t>
      </w:r>
    </w:p>
    <w:p>
      <w:r>
        <w:rPr>
          <w:b/>
        </w:rPr>
        <w:t>7. Kesintiden devam etmeyi ekledik.</w:t>
      </w:r>
      <w:r>
        <w:t xml:space="preserve"> İlerleme göstergesi ve tamamlanan epokları kaydeden devam mekanizması geliştirdik.</w:t>
      </w:r>
    </w:p>
    <w:p>
      <w:r>
        <w:rPr>
          <w:b/>
        </w:rPr>
        <w:t>8. Ayrılmış test setinde ölçtük.</w:t>
      </w:r>
      <w:r>
        <w:t xml:space="preserve"> Doğrulamada seçilen modeli kullanıp hata türlerini ve test metriklerini raporladık.</w:t>
      </w:r>
    </w:p>
    <w:p>
      <w:pPr>
        <w:pStyle w:val="Heading1"/>
        <w:pageBreakBefore/>
      </w:pPr>
      <w:r>
        <w:t>Veri denetimi ve yeni bölümleme</w:t>
      </w:r>
    </w:p>
    <w:p>
      <w:r>
        <w:t>Kullanılan veri, Chest X-Ray Images (Pneumonia) veri setinin train, val ve test klasörleridir [1]. NORMAL etiketi 0, PNEUMONIA etiketi 1 olarak tanımlandı. Eğitim başlamadan önce görüntüler açılabilirlik ve SHA256 dosya özeti açısından denetlendi.</w:t>
      </w:r>
    </w:p>
    <w:p>
      <w:pPr>
        <w:pStyle w:val="Heading2"/>
      </w:pPr>
      <w:r>
        <w:t>Başlangıçtaki dağılım</w:t>
      </w:r>
    </w:p>
    <w:tbl>
      <w:tblPr>
        <w:tblW w:type="auto" w:w="0"/>
        <w:jc w:val="center"/>
        <w:tblLayout w:type="fixed"/>
        <w:tblLook w:firstColumn="1" w:firstRow="1" w:lastColumn="0" w:lastRow="0" w:noHBand="0" w:noVBand="1" w:val="04A0"/>
      </w:tblPr>
      <w:tblGrid>
        <w:gridCol w:w="3024"/>
        <w:gridCol w:w="2088"/>
        <w:gridCol w:w="2520"/>
        <w:gridCol w:w="2232"/>
      </w:tblGrid>
      <w:tr>
        <w:trPr>
          <w:cantSplit/>
          <w:tblHeader/>
        </w:trPr>
        <w:tc>
          <w:tcPr>
            <w:tcW w:type="dxa" w:w="302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DCE6EF"/>
          </w:tcPr>
          <w:p>
            <w:pPr>
              <w:spacing w:after="0" w:line="252" w:lineRule="auto"/>
              <w:jc w:val="left"/>
            </w:pPr>
            <w:r>
              <w:rPr>
                <w:b/>
                <w:sz w:val="21"/>
              </w:rPr>
              <w:t>Bölüm</w:t>
            </w:r>
          </w:p>
        </w:tc>
        <w:tc>
          <w:tcPr>
            <w:tcW w:type="dxa" w:w="208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DCE6EF"/>
          </w:tcPr>
          <w:p>
            <w:pPr>
              <w:spacing w:after="0" w:line="252" w:lineRule="auto"/>
              <w:jc w:val="center"/>
            </w:pPr>
            <w:r>
              <w:rPr>
                <w:b/>
                <w:sz w:val="21"/>
              </w:rPr>
              <w:t>NORMAL</w:t>
            </w:r>
          </w:p>
        </w:tc>
        <w:tc>
          <w:tcPr>
            <w:tcW w:type="dxa" w:w="252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DCE6EF"/>
          </w:tcPr>
          <w:p>
            <w:pPr>
              <w:spacing w:after="0" w:line="252" w:lineRule="auto"/>
              <w:jc w:val="center"/>
            </w:pPr>
            <w:r>
              <w:rPr>
                <w:b/>
                <w:sz w:val="21"/>
              </w:rPr>
              <w:t>PNEUMONIA</w:t>
            </w:r>
          </w:p>
        </w:tc>
        <w:tc>
          <w:tcPr>
            <w:tcW w:type="dxa" w:w="223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DCE6EF"/>
          </w:tcPr>
          <w:p>
            <w:pPr>
              <w:spacing w:after="0" w:line="252" w:lineRule="auto"/>
              <w:jc w:val="center"/>
            </w:pPr>
            <w:r>
              <w:rPr>
                <w:b/>
                <w:sz w:val="21"/>
              </w:rPr>
              <w:t>Toplam</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left"/>
            </w:pPr>
            <w:r>
              <w:rPr>
                <w:b w:val="0"/>
                <w:sz w:val="21"/>
              </w:rPr>
              <w:t>Eğitim</w:t>
            </w:r>
          </w:p>
        </w:tc>
        <w:tc>
          <w:tcPr>
            <w:tcW w:type="dxa" w:w="208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1341</w:t>
            </w:r>
          </w:p>
        </w:tc>
        <w:tc>
          <w:tcPr>
            <w:tcW w:type="dxa" w:w="252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3875</w:t>
            </w:r>
          </w:p>
        </w:tc>
        <w:tc>
          <w:tcPr>
            <w:tcW w:type="dxa" w:w="223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5216</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left"/>
            </w:pPr>
            <w:r>
              <w:rPr>
                <w:b w:val="0"/>
                <w:sz w:val="21"/>
              </w:rPr>
              <w:t>Doğrulama</w:t>
            </w:r>
          </w:p>
        </w:tc>
        <w:tc>
          <w:tcPr>
            <w:tcW w:type="dxa" w:w="208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8</w:t>
            </w:r>
          </w:p>
        </w:tc>
        <w:tc>
          <w:tcPr>
            <w:tcW w:type="dxa" w:w="252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8</w:t>
            </w:r>
          </w:p>
        </w:tc>
        <w:tc>
          <w:tcPr>
            <w:tcW w:type="dxa" w:w="223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16</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left"/>
            </w:pPr>
            <w:r>
              <w:rPr>
                <w:b w:val="0"/>
                <w:sz w:val="21"/>
              </w:rPr>
              <w:t>Test</w:t>
            </w:r>
          </w:p>
        </w:tc>
        <w:tc>
          <w:tcPr>
            <w:tcW w:type="dxa" w:w="208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234</w:t>
            </w:r>
          </w:p>
        </w:tc>
        <w:tc>
          <w:tcPr>
            <w:tcW w:type="dxa" w:w="252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390</w:t>
            </w:r>
          </w:p>
        </w:tc>
        <w:tc>
          <w:tcPr>
            <w:tcW w:type="dxa" w:w="223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624</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left"/>
            </w:pPr>
            <w:r>
              <w:rPr>
                <w:b w:val="0"/>
                <w:sz w:val="21"/>
              </w:rPr>
              <w:t>Toplam</w:t>
            </w:r>
          </w:p>
        </w:tc>
        <w:tc>
          <w:tcPr>
            <w:tcW w:type="dxa" w:w="208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1583</w:t>
            </w:r>
          </w:p>
        </w:tc>
        <w:tc>
          <w:tcPr>
            <w:tcW w:type="dxa" w:w="252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4273</w:t>
            </w:r>
          </w:p>
        </w:tc>
        <w:tc>
          <w:tcPr>
            <w:tcW w:type="dxa" w:w="223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5856</w:t>
            </w:r>
          </w:p>
        </w:tc>
      </w:tr>
    </w:tbl>
    <w:p>
      <w:pPr>
        <w:spacing w:after="20" w:before="0" w:line="72" w:lineRule="auto"/>
      </w:pPr>
      <w:r>
        <w:rPr>
          <w:sz w:val="4"/>
        </w:rPr>
      </w:r>
    </w:p>
    <w:p>
      <w:r>
        <w:t>Başlangıçtaki doğrulama seti yalnızca 16 görüntü içeriyordu. Bu kadar az örnekle model seçimi kararsız olabileceği için eski eğitim ve doğrulama klasörleri ortak bir havuz olarak ele alındı. Orijinal dosyalar korunarak ayrı bir chest_xray_grouped klasörü oluşturuldu.</w:t>
      </w:r>
    </w:p>
    <w:p>
      <w:pPr>
        <w:pStyle w:val="Heading2"/>
      </w:pPr>
      <w:r>
        <w:t>Dosyaları gruplama yöntemi</w:t>
      </w:r>
    </w:p>
    <w:p>
      <w:r>
        <w:t>person1000_bacteria_2931.jpeg ve person1000_virus_1681.jpeg gibi aynı öneki taşıyan dosyalar aynı grupta tutuldu. NORMAL görüntülerinde IM ve NORMAL2-IM önekleri kullanıldı. Havuzdaki birebir aynı dosya içerikleri farklı adlar taşısa da aynı gruba bağlandı.</w:t>
      </w:r>
    </w:p>
    <w:p>
      <w:r>
        <w:t>Testteki dosya gruplarıyla çakışan 457 görüntü, --exclude-test-overlap seçeneğiyle yeni eğitim ve doğrulama havuzundan çıkarıldı. Testin 624 görüntüsü ve etiketleri korundu. Kalan havuz, StratifiedGroupKFold ile sınıf dağılımı gözetilerek yaklaşık %80 eğitim ve %20 doğrulama olarak ayrıldı; seed 42 kullanıldı [3]. Aday bölümleme model başarısına göre seçilmedi.</w:t>
      </w:r>
    </w:p>
    <w:p>
      <w:pPr>
        <w:pStyle w:val="Heading2"/>
      </w:pPr>
      <w:r>
        <w:t>Hazırlanan dağılım</w:t>
      </w:r>
    </w:p>
    <w:tbl>
      <w:tblPr>
        <w:tblW w:type="auto" w:w="0"/>
        <w:jc w:val="center"/>
        <w:tblLayout w:type="fixed"/>
        <w:tblLook w:firstColumn="1" w:firstRow="1" w:lastColumn="0" w:lastRow="0" w:noHBand="0" w:noVBand="1" w:val="04A0"/>
      </w:tblPr>
      <w:tblGrid>
        <w:gridCol w:w="3024"/>
        <w:gridCol w:w="2088"/>
        <w:gridCol w:w="2520"/>
        <w:gridCol w:w="2232"/>
      </w:tblGrid>
      <w:tr>
        <w:trPr>
          <w:cantSplit/>
          <w:tblHeader/>
        </w:trPr>
        <w:tc>
          <w:tcPr>
            <w:tcW w:type="dxa" w:w="302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DCE6EF"/>
          </w:tcPr>
          <w:p>
            <w:pPr>
              <w:spacing w:after="0" w:line="252" w:lineRule="auto"/>
              <w:jc w:val="left"/>
            </w:pPr>
            <w:r>
              <w:rPr>
                <w:b/>
                <w:sz w:val="21"/>
              </w:rPr>
              <w:t>Bölüm</w:t>
            </w:r>
          </w:p>
        </w:tc>
        <w:tc>
          <w:tcPr>
            <w:tcW w:type="dxa" w:w="208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DCE6EF"/>
          </w:tcPr>
          <w:p>
            <w:pPr>
              <w:spacing w:after="0" w:line="252" w:lineRule="auto"/>
              <w:jc w:val="center"/>
            </w:pPr>
            <w:r>
              <w:rPr>
                <w:b/>
                <w:sz w:val="21"/>
              </w:rPr>
              <w:t>NORMAL</w:t>
            </w:r>
          </w:p>
        </w:tc>
        <w:tc>
          <w:tcPr>
            <w:tcW w:type="dxa" w:w="252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DCE6EF"/>
          </w:tcPr>
          <w:p>
            <w:pPr>
              <w:spacing w:after="0" w:line="252" w:lineRule="auto"/>
              <w:jc w:val="center"/>
            </w:pPr>
            <w:r>
              <w:rPr>
                <w:b/>
                <w:sz w:val="21"/>
              </w:rPr>
              <w:t>PNEUMONIA</w:t>
            </w:r>
          </w:p>
        </w:tc>
        <w:tc>
          <w:tcPr>
            <w:tcW w:type="dxa" w:w="223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DCE6EF"/>
          </w:tcPr>
          <w:p>
            <w:pPr>
              <w:spacing w:after="0" w:line="252" w:lineRule="auto"/>
              <w:jc w:val="center"/>
            </w:pPr>
            <w:r>
              <w:rPr>
                <w:b/>
                <w:sz w:val="21"/>
              </w:rPr>
              <w:t>Toplam</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left"/>
            </w:pPr>
            <w:r>
              <w:rPr>
                <w:b w:val="0"/>
                <w:sz w:val="21"/>
              </w:rPr>
              <w:t>Eğitim</w:t>
            </w:r>
          </w:p>
        </w:tc>
        <w:tc>
          <w:tcPr>
            <w:tcW w:type="dxa" w:w="208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1079</w:t>
            </w:r>
          </w:p>
        </w:tc>
        <w:tc>
          <w:tcPr>
            <w:tcW w:type="dxa" w:w="252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2741</w:t>
            </w:r>
          </w:p>
        </w:tc>
        <w:tc>
          <w:tcPr>
            <w:tcW w:type="dxa" w:w="223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3820</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left"/>
            </w:pPr>
            <w:r>
              <w:rPr>
                <w:b w:val="0"/>
                <w:sz w:val="21"/>
              </w:rPr>
              <w:t>Doğrulama</w:t>
            </w:r>
          </w:p>
        </w:tc>
        <w:tc>
          <w:tcPr>
            <w:tcW w:type="dxa" w:w="208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270</w:t>
            </w:r>
          </w:p>
        </w:tc>
        <w:tc>
          <w:tcPr>
            <w:tcW w:type="dxa" w:w="252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685</w:t>
            </w:r>
          </w:p>
        </w:tc>
        <w:tc>
          <w:tcPr>
            <w:tcW w:type="dxa" w:w="223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955</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left"/>
            </w:pPr>
            <w:r>
              <w:rPr>
                <w:b w:val="0"/>
                <w:sz w:val="21"/>
              </w:rPr>
              <w:t>Test</w:t>
            </w:r>
          </w:p>
        </w:tc>
        <w:tc>
          <w:tcPr>
            <w:tcW w:type="dxa" w:w="208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234</w:t>
            </w:r>
          </w:p>
        </w:tc>
        <w:tc>
          <w:tcPr>
            <w:tcW w:type="dxa" w:w="252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390</w:t>
            </w:r>
          </w:p>
        </w:tc>
        <w:tc>
          <w:tcPr>
            <w:tcW w:type="dxa" w:w="223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624</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left"/>
            </w:pPr>
            <w:r>
              <w:rPr>
                <w:b w:val="0"/>
                <w:sz w:val="21"/>
              </w:rPr>
              <w:t>Toplam</w:t>
            </w:r>
          </w:p>
        </w:tc>
        <w:tc>
          <w:tcPr>
            <w:tcW w:type="dxa" w:w="2088"/>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1583</w:t>
            </w:r>
          </w:p>
        </w:tc>
        <w:tc>
          <w:tcPr>
            <w:tcW w:type="dxa" w:w="252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3816</w:t>
            </w:r>
          </w:p>
        </w:tc>
        <w:tc>
          <w:tcPr>
            <w:tcW w:type="dxa" w:w="223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5399</w:t>
            </w:r>
          </w:p>
        </w:tc>
      </w:tr>
    </w:tbl>
    <w:p>
      <w:pPr>
        <w:spacing w:after="20" w:before="0" w:line="72" w:lineRule="auto"/>
      </w:pPr>
      <w:r>
        <w:rPr>
          <w:sz w:val="4"/>
        </w:rPr>
      </w:r>
    </w:p>
    <w:p>
      <w:r>
        <w:t>Dosya adı grupları ve birebir dosya içerikleri bölümler arasında ayrıldı. Bu kontrol doğrulanmış hasta kimliği yerine dosya adlarını kullanır; gerçek hasta bağımsızlığını ve yakın kopyaların bulunmadığını tek başına kanıtlamaz.</w:t>
      </w:r>
    </w:p>
    <w:p>
      <w:pPr>
        <w:pStyle w:val="Heading1"/>
        <w:pageBreakBefore/>
      </w:pPr>
      <w:r>
        <w:t>Model ve görüntü işleme yöntemi</w:t>
      </w:r>
    </w:p>
    <w:p>
      <w:r>
        <w:t>Gerçek veri üzerindeki deneyde, ImageNet ağırlıklarıyla başlatılmış ResNet18 kullanıldı [2]. Son sınıflandırma katmanı tek çıkış üretecek şekilde değiştirildi. Çıkış sigmoid ile PNEUMONIA skoruna çevrildi. Yalnızca son katman yerine tüm model parametreleri güncellendi.</w:t>
      </w:r>
    </w:p>
    <w:p>
      <w:pPr>
        <w:pStyle w:val="Heading2"/>
      </w:pPr>
      <w:r>
        <w:t>Görüntü hazırlama</w:t>
      </w:r>
    </w:p>
    <w:p>
      <w:r>
        <w:t>Önce görüntünün yön bilgisi düzeltildi ve gri tonlara dönüştürüldü. CLAHE ile yerel kontrast düzenlendi; clipLimit 2,0 ve 8 × 8 bölge ayarı kullanıldı. Görüntü oranı korunarak, boşluklar doldurulup 224 × 224 piksele getirildi. Böylece merkezden kırpma uygulanmadı.</w:t>
      </w:r>
    </w:p>
    <w:p>
      <w:r>
        <w:t>Modelin üç kanallı girişi için gri görüntü RGB biçimine çevrildi. Piksel değerleri tensöre dönüştürüldü ve ImageNet ortalama değerleri 0,485 / 0,456 / 0,406 ile standart sapmaları 0,229 / 0,224 / 0,225 kullanılarak normalleştirildi.</w:t>
      </w:r>
    </w:p>
    <w:p>
      <w:r>
        <w:t>Yalnızca eğitim görüntülerine en fazla 7 derece döndürme, %3 öteleme ve 0,95–1,05 ölçekleme aralığında rastgele geometrik dönüşüm uygulandı. Doğrulama ve testte rastgele veri artırma kullanılmadı.</w:t>
      </w:r>
    </w:p>
    <w:p>
      <w:pPr>
        <w:pStyle w:val="Heading2"/>
      </w:pPr>
      <w:r>
        <w:t>Deney ayarları</w:t>
      </w:r>
    </w:p>
    <w:tbl>
      <w:tblPr>
        <w:tblW w:type="auto" w:w="0"/>
        <w:jc w:val="center"/>
        <w:tblLayout w:type="fixed"/>
        <w:tblLook w:firstColumn="1" w:firstRow="1" w:lastColumn="0" w:lastRow="0" w:noHBand="0" w:noVBand="1" w:val="04A0"/>
      </w:tblPr>
      <w:tblGrid>
        <w:gridCol w:w="4680"/>
        <w:gridCol w:w="5184"/>
      </w:tblGrid>
      <w:tr>
        <w:trPr>
          <w:cantSplit/>
          <w:tblHeader/>
        </w:trPr>
        <w:tc>
          <w:tcPr>
            <w:tcW w:type="dxa" w:w="468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DCE6EF"/>
          </w:tcPr>
          <w:p>
            <w:pPr>
              <w:spacing w:after="0" w:line="252" w:lineRule="auto"/>
              <w:jc w:val="left"/>
            </w:pPr>
            <w:r>
              <w:rPr>
                <w:b/>
                <w:sz w:val="21"/>
              </w:rPr>
              <w:t>Ayar</w:t>
            </w:r>
          </w:p>
        </w:tc>
        <w:tc>
          <w:tcPr>
            <w:tcW w:type="dxa" w:w="518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DCE6EF"/>
          </w:tcPr>
          <w:p>
            <w:pPr>
              <w:spacing w:after="0" w:line="252" w:lineRule="auto"/>
              <w:jc w:val="center"/>
            </w:pPr>
            <w:r>
              <w:rPr>
                <w:b/>
                <w:sz w:val="21"/>
              </w:rPr>
              <w:t>Kullanılan değer</w:t>
            </w:r>
          </w:p>
        </w:tc>
      </w:tr>
      <w:tr>
        <w:trPr>
          <w:cantSplit/>
        </w:trPr>
        <w:tc>
          <w:tcPr>
            <w:tcW w:type="dxa" w:w="468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left"/>
            </w:pPr>
            <w:r>
              <w:rPr>
                <w:b w:val="0"/>
                <w:sz w:val="21"/>
              </w:rPr>
              <w:t>Model ve başlangıç ağırlıkları</w:t>
            </w:r>
          </w:p>
        </w:tc>
        <w:tc>
          <w:tcPr>
            <w:tcW w:type="dxa" w:w="518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ResNet18 ve ImageNet</w:t>
            </w:r>
          </w:p>
        </w:tc>
      </w:tr>
      <w:tr>
        <w:trPr>
          <w:cantSplit/>
        </w:trPr>
        <w:tc>
          <w:tcPr>
            <w:tcW w:type="dxa" w:w="468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left"/>
            </w:pPr>
            <w:r>
              <w:rPr>
                <w:b w:val="0"/>
                <w:sz w:val="21"/>
              </w:rPr>
              <w:t>Çalışma ortamı</w:t>
            </w:r>
          </w:p>
        </w:tc>
        <w:tc>
          <w:tcPr>
            <w:tcW w:type="dxa" w:w="518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Windows ve CPU</w:t>
            </w:r>
          </w:p>
        </w:tc>
      </w:tr>
      <w:tr>
        <w:trPr>
          <w:cantSplit/>
        </w:trPr>
        <w:tc>
          <w:tcPr>
            <w:tcW w:type="dxa" w:w="468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left"/>
            </w:pPr>
            <w:r>
              <w:rPr>
                <w:b w:val="0"/>
                <w:sz w:val="21"/>
              </w:rPr>
              <w:t>Giriş boyutu</w:t>
            </w:r>
          </w:p>
        </w:tc>
        <w:tc>
          <w:tcPr>
            <w:tcW w:type="dxa" w:w="518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224 × 224 × 3</w:t>
            </w:r>
          </w:p>
        </w:tc>
      </w:tr>
      <w:tr>
        <w:trPr>
          <w:cantSplit/>
        </w:trPr>
        <w:tc>
          <w:tcPr>
            <w:tcW w:type="dxa" w:w="468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left"/>
            </w:pPr>
            <w:r>
              <w:rPr>
                <w:b w:val="0"/>
                <w:sz w:val="21"/>
              </w:rPr>
              <w:t>Paket büyüklüğü</w:t>
            </w:r>
          </w:p>
        </w:tc>
        <w:tc>
          <w:tcPr>
            <w:tcW w:type="dxa" w:w="518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4 görüntü</w:t>
            </w:r>
          </w:p>
        </w:tc>
      </w:tr>
      <w:tr>
        <w:trPr>
          <w:cantSplit/>
        </w:trPr>
        <w:tc>
          <w:tcPr>
            <w:tcW w:type="dxa" w:w="468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left"/>
            </w:pPr>
            <w:r>
              <w:rPr>
                <w:b w:val="0"/>
                <w:sz w:val="21"/>
              </w:rPr>
              <w:t>Tamamlanan eğitim</w:t>
            </w:r>
          </w:p>
        </w:tc>
        <w:tc>
          <w:tcPr>
            <w:tcW w:type="dxa" w:w="518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10 epok</w:t>
            </w:r>
          </w:p>
        </w:tc>
      </w:tr>
      <w:tr>
        <w:trPr>
          <w:cantSplit/>
        </w:trPr>
        <w:tc>
          <w:tcPr>
            <w:tcW w:type="dxa" w:w="468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left"/>
            </w:pPr>
            <w:r>
              <w:rPr>
                <w:b w:val="0"/>
                <w:sz w:val="21"/>
              </w:rPr>
              <w:t>Optimizasyon</w:t>
            </w:r>
          </w:p>
        </w:tc>
        <w:tc>
          <w:tcPr>
            <w:tcW w:type="dxa" w:w="518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AdamW</w:t>
            </w:r>
          </w:p>
        </w:tc>
      </w:tr>
      <w:tr>
        <w:trPr>
          <w:cantSplit/>
        </w:trPr>
        <w:tc>
          <w:tcPr>
            <w:tcW w:type="dxa" w:w="468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left"/>
            </w:pPr>
            <w:r>
              <w:rPr>
                <w:b w:val="0"/>
                <w:sz w:val="21"/>
              </w:rPr>
              <w:t>Öğrenme oranı ve ağırlık azalması</w:t>
            </w:r>
          </w:p>
        </w:tc>
        <w:tc>
          <w:tcPr>
            <w:tcW w:type="dxa" w:w="518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0,0001 ve 0,0001</w:t>
            </w:r>
          </w:p>
        </w:tc>
      </w:tr>
      <w:tr>
        <w:trPr>
          <w:cantSplit/>
        </w:trPr>
        <w:tc>
          <w:tcPr>
            <w:tcW w:type="dxa" w:w="468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left"/>
            </w:pPr>
            <w:r>
              <w:rPr>
                <w:b w:val="0"/>
                <w:sz w:val="21"/>
              </w:rPr>
              <w:t>Kayıp fonksiyonu</w:t>
            </w:r>
          </w:p>
        </w:tc>
        <w:tc>
          <w:tcPr>
            <w:tcW w:type="dxa" w:w="518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Sınıf ağırlıklı BCEWithLogitsLoss</w:t>
            </w:r>
          </w:p>
        </w:tc>
      </w:tr>
      <w:tr>
        <w:trPr>
          <w:cantSplit/>
        </w:trPr>
        <w:tc>
          <w:tcPr>
            <w:tcW w:type="dxa" w:w="468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left"/>
            </w:pPr>
            <w:r>
              <w:rPr>
                <w:b w:val="0"/>
                <w:sz w:val="21"/>
              </w:rPr>
              <w:t>Pozitif sınıf ağırlığı</w:t>
            </w:r>
          </w:p>
        </w:tc>
        <w:tc>
          <w:tcPr>
            <w:tcW w:type="dxa" w:w="518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1079 / 2741 ≈ 0,394</w:t>
            </w:r>
          </w:p>
        </w:tc>
      </w:tr>
      <w:tr>
        <w:trPr>
          <w:cantSplit/>
        </w:trPr>
        <w:tc>
          <w:tcPr>
            <w:tcW w:type="dxa" w:w="468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left"/>
            </w:pPr>
            <w:r>
              <w:rPr>
                <w:b w:val="0"/>
                <w:sz w:val="21"/>
              </w:rPr>
              <w:t>Rastgelelik başlangıcı</w:t>
            </w:r>
          </w:p>
        </w:tc>
        <w:tc>
          <w:tcPr>
            <w:tcW w:type="dxa" w:w="518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Seed 42</w:t>
            </w:r>
          </w:p>
        </w:tc>
      </w:tr>
      <w:tr>
        <w:trPr>
          <w:cantSplit/>
        </w:trPr>
        <w:tc>
          <w:tcPr>
            <w:tcW w:type="dxa" w:w="468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left"/>
            </w:pPr>
            <w:r>
              <w:rPr>
                <w:b w:val="0"/>
                <w:sz w:val="21"/>
              </w:rPr>
              <w:t>Model seçimi</w:t>
            </w:r>
          </w:p>
        </w:tc>
        <w:tc>
          <w:tcPr>
            <w:tcW w:type="dxa" w:w="518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En yüksek doğrulama ROC AUC</w:t>
            </w:r>
          </w:p>
        </w:tc>
      </w:tr>
      <w:tr>
        <w:trPr>
          <w:cantSplit/>
        </w:trPr>
        <w:tc>
          <w:tcPr>
            <w:tcW w:type="dxa" w:w="468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left"/>
            </w:pPr>
            <w:r>
              <w:rPr>
                <w:b w:val="0"/>
                <w:sz w:val="21"/>
              </w:rPr>
              <w:t>Erken durdurma ayarı</w:t>
            </w:r>
          </w:p>
        </w:tc>
        <w:tc>
          <w:tcPr>
            <w:tcW w:type="dxa" w:w="518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3 epok boyunca AUC iyileşmezse</w:t>
            </w:r>
          </w:p>
        </w:tc>
      </w:tr>
      <w:tr>
        <w:trPr>
          <w:cantSplit/>
        </w:trPr>
        <w:tc>
          <w:tcPr>
            <w:tcW w:type="dxa" w:w="468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left"/>
            </w:pPr>
            <w:r>
              <w:rPr>
                <w:b w:val="0"/>
                <w:sz w:val="21"/>
              </w:rPr>
              <w:t>Test karar eşiği</w:t>
            </w:r>
          </w:p>
        </w:tc>
        <w:tc>
          <w:tcPr>
            <w:tcW w:type="dxa" w:w="518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0,5</w:t>
            </w:r>
          </w:p>
        </w:tc>
      </w:tr>
    </w:tbl>
    <w:p>
      <w:pPr>
        <w:spacing w:after="20" w:before="0" w:line="72" w:lineRule="auto"/>
      </w:pPr>
      <w:r>
        <w:rPr>
          <w:sz w:val="4"/>
        </w:rPr>
      </w:r>
    </w:p>
    <w:p>
      <w:r>
        <w:t>Bir epokta 3820 eğitim görüntüsü 955 paketle işlendi. Eğitimde sınıf dengesizliği kayıp fonksiyonunda ağırlıklandırıldı. Bu ağırlıklandırma tek başına klinik bir karar eşiği veya kalibre edilmiş hastalık olasılığı sağlamaz.</w:t>
      </w:r>
    </w:p>
    <w:p>
      <w:r>
        <w:t>Kodda CNN, VGG16 ve InceptionV3 seçenekleri de bulunur. Yapay veri denemesinde CNN kullanıldı; gerçek veri üzerinde bu modellerin karşılaştırmalı başarı deneyi yapılmadı.</w:t>
      </w:r>
    </w:p>
    <w:p>
      <w:pPr>
        <w:pStyle w:val="Heading1"/>
        <w:pageBreakBefore/>
      </w:pPr>
      <w:r>
        <w:t>Eğitim süreci ve kayıtlar</w:t>
      </w:r>
    </w:p>
    <w:p>
      <w:r>
        <w:t>İlk sürüm epok sırasında sık durum mesajı vermediği için işlem takılmış gibi göründü ve Ctrl+C ile durduruldu. KeyboardInterrupt kaydı bu kullanıcı kesintisini gösteriyordu. İlk epok tamamlanmış ve model ağırlıkları best.pt dosyasına kaydedilmişti.</w:t>
      </w:r>
    </w:p>
    <w:p>
      <w:r>
        <w:t>Eğitim komutuna --resume ve --log-every desteği eklendi. Eski komut bu seçenekleri tanımayınca, proje kökündeki training_runner.py üzerinden güncel eğitim akışı çalıştırıldı. Her 25 pakette ilerleme yüzdesi, geçen süre, tahmini kalan süre ve eğitim kaybı gösterildi.</w:t>
      </w:r>
    </w:p>
    <w:p>
      <w:pPr>
        <w:pStyle w:val="Heading2"/>
      </w:pPr>
      <w:r>
        <w:t>Kesintiden nasıl devam edildi</w:t>
      </w:r>
    </w:p>
    <w:p>
      <w:r>
        <w:t>İlk kayıtta optimizasyon ve rastgelelik durumu bulunmadığından, 1. epokun model ağırlıkları yüklenip 2. epoktan yeni bir optimizer ile devam edildi. Dolayısıyla bu deney kesintisiz tek bir optimizer geçmişi olarak değerlendirilmemelidir. Güncel last.pt kaydı model, optimizer ve rastgelelik durumunu tamamlanmış epok sonunda birlikte saklar.</w:t>
      </w:r>
    </w:p>
    <w:p>
      <w:r>
        <w:t>Geçici dosyaya yazıp ardından asıl kaydı değiştiren kaydetme yöntemi eklendi. Yeni bir kesintide son tamamlanan epoktan devam edilir; yarım kalan epok yeniden çalıştırılır. Veri manifesti ve temel eğitim ayarları, devam etmeden önce önceki kayıtla karşılaştırılır.</w:t>
      </w:r>
    </w:p>
    <w:p>
      <w:pPr>
        <w:pStyle w:val="Heading2"/>
      </w:pPr>
      <w:r>
        <w:t>Gözlenen eğitim sonuçları</w:t>
      </w:r>
    </w:p>
    <w:tbl>
      <w:tblPr>
        <w:tblW w:type="auto" w:w="0"/>
        <w:jc w:val="center"/>
        <w:tblLayout w:type="fixed"/>
        <w:tblLook w:firstColumn="1" w:firstRow="1" w:lastColumn="0" w:lastRow="0" w:noHBand="0" w:noVBand="1" w:val="04A0"/>
      </w:tblPr>
      <w:tblGrid>
        <w:gridCol w:w="936"/>
        <w:gridCol w:w="2304"/>
        <w:gridCol w:w="3312"/>
        <w:gridCol w:w="3312"/>
      </w:tblGrid>
      <w:tr>
        <w:trPr>
          <w:cantSplit/>
          <w:tblHeader/>
        </w:trPr>
        <w:tc>
          <w:tcPr>
            <w:tcW w:type="dxa" w:w="936"/>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DCE6EF"/>
          </w:tcPr>
          <w:p>
            <w:pPr>
              <w:spacing w:after="0" w:line="252" w:lineRule="auto"/>
              <w:jc w:val="left"/>
            </w:pPr>
            <w:r>
              <w:rPr>
                <w:b/>
                <w:sz w:val="21"/>
              </w:rPr>
              <w:t>Epok</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DCE6EF"/>
          </w:tcPr>
          <w:p>
            <w:pPr>
              <w:spacing w:after="0" w:line="252" w:lineRule="auto"/>
              <w:jc w:val="center"/>
            </w:pPr>
            <w:r>
              <w:rPr>
                <w:b/>
                <w:sz w:val="21"/>
              </w:rPr>
              <w:t>Eğitim kaybı</w:t>
            </w:r>
          </w:p>
        </w:tc>
        <w:tc>
          <w:tcPr>
            <w:tcW w:type="dxa" w:w="331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DCE6EF"/>
          </w:tcPr>
          <w:p>
            <w:pPr>
              <w:spacing w:after="0" w:line="252" w:lineRule="auto"/>
              <w:jc w:val="center"/>
            </w:pPr>
            <w:r>
              <w:rPr>
                <w:b/>
                <w:sz w:val="21"/>
              </w:rPr>
              <w:t>Doğrulama doğruluğu</w:t>
            </w:r>
          </w:p>
        </w:tc>
        <w:tc>
          <w:tcPr>
            <w:tcW w:type="dxa" w:w="331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DCE6EF"/>
          </w:tcPr>
          <w:p>
            <w:pPr>
              <w:spacing w:after="0" w:line="252" w:lineRule="auto"/>
              <w:jc w:val="center"/>
            </w:pPr>
            <w:r>
              <w:rPr>
                <w:b/>
                <w:sz w:val="21"/>
              </w:rPr>
              <w:t>Doğrulama ROC AUC</w:t>
            </w:r>
          </w:p>
        </w:tc>
      </w:tr>
      <w:tr>
        <w:trPr>
          <w:cantSplit/>
        </w:trPr>
        <w:tc>
          <w:tcPr>
            <w:tcW w:type="dxa" w:w="936"/>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left"/>
            </w:pPr>
            <w:r>
              <w:rPr>
                <w:b w:val="0"/>
                <w:sz w:val="21"/>
              </w:rPr>
              <w:t>1</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0,122945</w:t>
            </w:r>
          </w:p>
        </w:tc>
        <w:tc>
          <w:tcPr>
            <w:tcW w:type="dxa" w:w="331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%98,01</w:t>
            </w:r>
          </w:p>
        </w:tc>
        <w:tc>
          <w:tcPr>
            <w:tcW w:type="dxa" w:w="331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0,997956</w:t>
            </w:r>
          </w:p>
        </w:tc>
      </w:tr>
      <w:tr>
        <w:trPr>
          <w:cantSplit/>
        </w:trPr>
        <w:tc>
          <w:tcPr>
            <w:tcW w:type="dxa" w:w="936"/>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left"/>
            </w:pPr>
            <w:r>
              <w:rPr>
                <w:b w:val="0"/>
                <w:sz w:val="21"/>
              </w:rPr>
              <w:t>10</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0,012181</w:t>
            </w:r>
          </w:p>
        </w:tc>
        <w:tc>
          <w:tcPr>
            <w:tcW w:type="dxa" w:w="331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%99,06</w:t>
            </w:r>
          </w:p>
        </w:tc>
        <w:tc>
          <w:tcPr>
            <w:tcW w:type="dxa" w:w="331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0,999146</w:t>
            </w:r>
          </w:p>
        </w:tc>
      </w:tr>
    </w:tbl>
    <w:p>
      <w:pPr>
        <w:spacing w:after="20" w:before="0" w:line="72" w:lineRule="auto"/>
      </w:pPr>
      <w:r>
        <w:rPr>
          <w:sz w:val="4"/>
        </w:rPr>
      </w:r>
    </w:p>
    <w:p>
      <w:r>
        <w:t>Eğitim 10. epoka ulaştı. last.pt son tamamlanan epoku, best.pt doğrulama AUC değeri en yüksek modeli temsil eder. Test için best.pt kullanılır; 10. epokun doğrulama değerleri otomatik olarak seçilen modelin epokunu göstermez.</w:t>
      </w:r>
    </w:p>
    <w:p>
      <w:pPr>
        <w:pStyle w:val="Heading2"/>
      </w:pPr>
      <w:r>
        <w:t>Üretilen kayıtların işlevi</w:t>
      </w:r>
    </w:p>
    <w:tbl>
      <w:tblPr>
        <w:tblW w:type="auto" w:w="0"/>
        <w:jc w:val="center"/>
        <w:tblLayout w:type="fixed"/>
        <w:tblLook w:firstColumn="1" w:firstRow="1" w:lastColumn="0" w:lastRow="0" w:noHBand="0" w:noVBand="1" w:val="04A0"/>
      </w:tblPr>
      <w:tblGrid>
        <w:gridCol w:w="4464"/>
        <w:gridCol w:w="5400"/>
      </w:tblGrid>
      <w:tr>
        <w:trPr>
          <w:cantSplit/>
          <w:tblHeader/>
        </w:trPr>
        <w:tc>
          <w:tcPr>
            <w:tcW w:type="dxa" w:w="446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DCE6EF"/>
          </w:tcPr>
          <w:p>
            <w:pPr>
              <w:spacing w:after="0" w:line="252" w:lineRule="auto"/>
              <w:jc w:val="left"/>
            </w:pPr>
            <w:r>
              <w:rPr>
                <w:b/>
                <w:sz w:val="21"/>
              </w:rPr>
              <w:t>Dosya</w:t>
            </w:r>
          </w:p>
        </w:tc>
        <w:tc>
          <w:tcPr>
            <w:tcW w:type="dxa" w:w="540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DCE6EF"/>
          </w:tcPr>
          <w:p>
            <w:pPr>
              <w:spacing w:after="0" w:line="252" w:lineRule="auto"/>
              <w:jc w:val="center"/>
            </w:pPr>
            <w:r>
              <w:rPr>
                <w:b/>
                <w:sz w:val="21"/>
              </w:rPr>
              <w:t>İşlev</w:t>
            </w:r>
          </w:p>
        </w:tc>
      </w:tr>
      <w:tr>
        <w:trPr>
          <w:cantSplit/>
        </w:trPr>
        <w:tc>
          <w:tcPr>
            <w:tcW w:type="dxa" w:w="446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left"/>
            </w:pPr>
            <w:r>
              <w:rPr>
                <w:b w:val="0"/>
                <w:sz w:val="21"/>
              </w:rPr>
              <w:t>split_report.json</w:t>
            </w:r>
          </w:p>
        </w:tc>
        <w:tc>
          <w:tcPr>
            <w:tcW w:type="dxa" w:w="540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Bölümleme sayıları ve grup kontrolleri</w:t>
            </w:r>
          </w:p>
        </w:tc>
      </w:tr>
      <w:tr>
        <w:trPr>
          <w:cantSplit/>
        </w:trPr>
        <w:tc>
          <w:tcPr>
            <w:tcW w:type="dxa" w:w="446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left"/>
            </w:pPr>
            <w:r>
              <w:rPr>
                <w:b w:val="0"/>
                <w:sz w:val="21"/>
              </w:rPr>
              <w:t>best.pt ve last.pt</w:t>
            </w:r>
          </w:p>
        </w:tc>
        <w:tc>
          <w:tcPr>
            <w:tcW w:type="dxa" w:w="540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Seçilen model ve eğitim devam kaydı</w:t>
            </w:r>
          </w:p>
        </w:tc>
      </w:tr>
      <w:tr>
        <w:trPr>
          <w:cantSplit/>
        </w:trPr>
        <w:tc>
          <w:tcPr>
            <w:tcW w:type="dxa" w:w="446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left"/>
            </w:pPr>
            <w:r>
              <w:rPr>
                <w:b w:val="0"/>
                <w:sz w:val="21"/>
              </w:rPr>
              <w:t>config.json ve manifest.json</w:t>
            </w:r>
          </w:p>
        </w:tc>
        <w:tc>
          <w:tcPr>
            <w:tcW w:type="dxa" w:w="540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Eğitim ayarları ve görüntü kayıtları</w:t>
            </w:r>
          </w:p>
        </w:tc>
      </w:tr>
      <w:tr>
        <w:trPr>
          <w:cantSplit/>
        </w:trPr>
        <w:tc>
          <w:tcPr>
            <w:tcW w:type="dxa" w:w="446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left"/>
            </w:pPr>
            <w:r>
              <w:rPr>
                <w:b w:val="0"/>
                <w:sz w:val="21"/>
              </w:rPr>
              <w:t>history.json ve resume_events.json</w:t>
            </w:r>
          </w:p>
        </w:tc>
        <w:tc>
          <w:tcPr>
            <w:tcW w:type="dxa" w:w="540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Epok ölçümleri ve devam olayları</w:t>
            </w:r>
          </w:p>
        </w:tc>
      </w:tr>
      <w:tr>
        <w:trPr>
          <w:cantSplit/>
        </w:trPr>
        <w:tc>
          <w:tcPr>
            <w:tcW w:type="dxa" w:w="446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left"/>
            </w:pPr>
            <w:r>
              <w:rPr>
                <w:b w:val="0"/>
                <w:sz w:val="21"/>
              </w:rPr>
              <w:t>environment.json ve requirements-frozen.txt</w:t>
            </w:r>
          </w:p>
        </w:tc>
        <w:tc>
          <w:tcPr>
            <w:tcW w:type="dxa" w:w="540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Çalışma ortamı ve paket bilgileri</w:t>
            </w:r>
          </w:p>
        </w:tc>
      </w:tr>
      <w:tr>
        <w:trPr>
          <w:cantSplit/>
        </w:trPr>
        <w:tc>
          <w:tcPr>
            <w:tcW w:type="dxa" w:w="4464"/>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left"/>
            </w:pPr>
            <w:r>
              <w:rPr>
                <w:b w:val="0"/>
                <w:sz w:val="21"/>
              </w:rPr>
              <w:t>test_final klasörü</w:t>
            </w:r>
          </w:p>
        </w:tc>
        <w:tc>
          <w:tcPr>
            <w:tcW w:type="dxa" w:w="540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Metrikler, tahminler, grafik ve test manifesti</w:t>
            </w:r>
          </w:p>
        </w:tc>
      </w:tr>
    </w:tbl>
    <w:p>
      <w:pPr>
        <w:spacing w:after="20" w:before="0" w:line="72" w:lineRule="auto"/>
      </w:pPr>
      <w:r>
        <w:rPr>
          <w:sz w:val="4"/>
        </w:rPr>
      </w:r>
    </w:p>
    <w:p>
      <w:r>
        <w:t>Yapay veriyle uçtan uca çalışma, kayıt yükleme, dosya gruplama ve devam mekanizması kontrol edildi. Windows üzerinde CLAHE içeren smoke test de geçti. Yapay görüntülerden çıkan metrikler gerçek veri başarısı olarak kullanılmadı.</w:t>
      </w:r>
    </w:p>
    <w:p>
      <w:pPr>
        <w:pStyle w:val="Heading1"/>
        <w:pageBreakBefore/>
      </w:pPr>
      <w:r>
        <w:t>Ayrılmış test setindeki sonuçlar</w:t>
      </w:r>
    </w:p>
    <w:p>
      <w:r>
        <w:t>Değerlendirme 234 NORMAL ve 390 PNEUMONIA görüntüsünden oluşan 624 örneklik test setinde, 0,5 karar eşiğiyle yapıldı. Aşağıdaki karışıklık matrisi ve ROC eğrisi test değerlendirme grafiğidir.</w:t>
      </w:r>
    </w:p>
    <w:p>
      <w:pPr>
        <w:spacing w:after="60"/>
      </w:pPr>
      <w:r>
        <w:drawing>
          <wp:inline xmlns:a="http://schemas.openxmlformats.org/drawingml/2006/main" xmlns:pic="http://schemas.openxmlformats.org/drawingml/2006/picture">
            <wp:extent cx="6263640" cy="2799590"/>
            <wp:docPr id="1" name="Picture 1" descr="Test karışıklık matrisi: 138 doğru normal, 96 yanlış pnömoni, 2 kaçırılan pnömoni, 388 doğru pnömoni. ROC AUC 0,963."/>
            <wp:cNvGraphicFramePr>
              <a:graphicFrameLocks noChangeAspect="1"/>
            </wp:cNvGraphicFramePr>
            <a:graphic>
              <a:graphicData uri="http://schemas.openxmlformats.org/drawingml/2006/picture">
                <pic:pic>
                  <pic:nvPicPr>
                    <pic:cNvPr id="0" name="report_test_figure.png"/>
                    <pic:cNvPicPr/>
                  </pic:nvPicPr>
                  <pic:blipFill>
                    <a:blip r:embed="rId10"/>
                    <a:stretch>
                      <a:fillRect/>
                    </a:stretch>
                  </pic:blipFill>
                  <pic:spPr>
                    <a:xfrm>
                      <a:off x="0" y="0"/>
                      <a:ext cx="6263640" cy="2799590"/>
                    </a:xfrm>
                    <a:prstGeom prst="rect"/>
                  </pic:spPr>
                </pic:pic>
              </a:graphicData>
            </a:graphic>
          </wp:inline>
        </w:drawing>
      </w:r>
    </w:p>
    <w:p>
      <w:r>
        <w:rPr>
          <w:sz w:val="19"/>
        </w:rPr>
        <w:t>Şekil 1  Satırlar gerçek sınıfı, sütunlar model tahminini gösterir.</w:t>
      </w:r>
    </w:p>
    <w:tbl>
      <w:tblPr>
        <w:tblW w:type="auto" w:w="0"/>
        <w:jc w:val="center"/>
        <w:tblLayout w:type="fixed"/>
        <w:tblLook w:firstColumn="1" w:firstRow="1" w:lastColumn="0" w:lastRow="0" w:noHBand="0" w:noVBand="1" w:val="04A0"/>
      </w:tblPr>
      <w:tblGrid>
        <w:gridCol w:w="2952"/>
        <w:gridCol w:w="1512"/>
        <w:gridCol w:w="5400"/>
      </w:tblGrid>
      <w:tr>
        <w:trPr>
          <w:cantSplit/>
          <w:tblHeader/>
        </w:trPr>
        <w:tc>
          <w:tcPr>
            <w:tcW w:type="dxa" w:w="295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DCE6EF"/>
          </w:tcPr>
          <w:p>
            <w:pPr>
              <w:spacing w:after="0" w:line="252" w:lineRule="auto"/>
              <w:jc w:val="left"/>
            </w:pPr>
            <w:r>
              <w:rPr>
                <w:b/>
                <w:sz w:val="21"/>
              </w:rPr>
              <w:t>Ölçüt</w:t>
            </w:r>
          </w:p>
        </w:tc>
        <w:tc>
          <w:tcPr>
            <w:tcW w:type="dxa" w:w="151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DCE6EF"/>
          </w:tcPr>
          <w:p>
            <w:pPr>
              <w:spacing w:after="0" w:line="252" w:lineRule="auto"/>
              <w:jc w:val="center"/>
            </w:pPr>
            <w:r>
              <w:rPr>
                <w:b/>
                <w:sz w:val="21"/>
              </w:rPr>
              <w:t>Sonuç</w:t>
            </w:r>
          </w:p>
        </w:tc>
        <w:tc>
          <w:tcPr>
            <w:tcW w:type="dxa" w:w="540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DCE6EF"/>
          </w:tcPr>
          <w:p>
            <w:pPr>
              <w:spacing w:after="0" w:line="252" w:lineRule="auto"/>
              <w:jc w:val="center"/>
            </w:pPr>
            <w:r>
              <w:rPr>
                <w:b/>
                <w:sz w:val="21"/>
              </w:rPr>
              <w:t>Hesap veya açıklama</w:t>
            </w:r>
          </w:p>
        </w:tc>
      </w:tr>
      <w:tr>
        <w:trPr>
          <w:cantSplit/>
        </w:trPr>
        <w:tc>
          <w:tcPr>
            <w:tcW w:type="dxa" w:w="295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left"/>
            </w:pPr>
            <w:r>
              <w:rPr>
                <w:b w:val="0"/>
                <w:sz w:val="21"/>
              </w:rPr>
              <w:t>Doğruluk</w:t>
            </w:r>
          </w:p>
        </w:tc>
        <w:tc>
          <w:tcPr>
            <w:tcW w:type="dxa" w:w="151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%84,29</w:t>
            </w:r>
          </w:p>
        </w:tc>
        <w:tc>
          <w:tcPr>
            <w:tcW w:type="dxa" w:w="540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526 doğru / 624 görüntü</w:t>
            </w:r>
          </w:p>
        </w:tc>
      </w:tr>
      <w:tr>
        <w:trPr>
          <w:cantSplit/>
        </w:trPr>
        <w:tc>
          <w:tcPr>
            <w:tcW w:type="dxa" w:w="295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left"/>
            </w:pPr>
            <w:r>
              <w:rPr>
                <w:b w:val="0"/>
                <w:sz w:val="21"/>
              </w:rPr>
              <w:t>Pnömoni duyarlılığı</w:t>
            </w:r>
          </w:p>
        </w:tc>
        <w:tc>
          <w:tcPr>
            <w:tcW w:type="dxa" w:w="151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%99,49</w:t>
            </w:r>
          </w:p>
        </w:tc>
        <w:tc>
          <w:tcPr>
            <w:tcW w:type="dxa" w:w="540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388 / 390 pnömoni</w:t>
            </w:r>
          </w:p>
        </w:tc>
      </w:tr>
      <w:tr>
        <w:trPr>
          <w:cantSplit/>
        </w:trPr>
        <w:tc>
          <w:tcPr>
            <w:tcW w:type="dxa" w:w="295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left"/>
            </w:pPr>
            <w:r>
              <w:rPr>
                <w:b w:val="0"/>
                <w:sz w:val="21"/>
              </w:rPr>
              <w:t>Normal özgüllüğü</w:t>
            </w:r>
          </w:p>
        </w:tc>
        <w:tc>
          <w:tcPr>
            <w:tcW w:type="dxa" w:w="151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%58,97</w:t>
            </w:r>
          </w:p>
        </w:tc>
        <w:tc>
          <w:tcPr>
            <w:tcW w:type="dxa" w:w="540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138 / 234 normal</w:t>
            </w:r>
          </w:p>
        </w:tc>
      </w:tr>
      <w:tr>
        <w:trPr>
          <w:cantSplit/>
        </w:trPr>
        <w:tc>
          <w:tcPr>
            <w:tcW w:type="dxa" w:w="295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left"/>
            </w:pPr>
            <w:r>
              <w:rPr>
                <w:b w:val="0"/>
                <w:sz w:val="21"/>
              </w:rPr>
              <w:t>Pnömoni kesinliği</w:t>
            </w:r>
          </w:p>
        </w:tc>
        <w:tc>
          <w:tcPr>
            <w:tcW w:type="dxa" w:w="151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%80,17</w:t>
            </w:r>
          </w:p>
        </w:tc>
        <w:tc>
          <w:tcPr>
            <w:tcW w:type="dxa" w:w="540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388 / 484 pnömoni tahmini</w:t>
            </w:r>
          </w:p>
        </w:tc>
      </w:tr>
      <w:tr>
        <w:trPr>
          <w:cantSplit/>
        </w:trPr>
        <w:tc>
          <w:tcPr>
            <w:tcW w:type="dxa" w:w="295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left"/>
            </w:pPr>
            <w:r>
              <w:rPr>
                <w:b w:val="0"/>
                <w:sz w:val="21"/>
              </w:rPr>
              <w:t>Pnömoni F1 skoru</w:t>
            </w:r>
          </w:p>
        </w:tc>
        <w:tc>
          <w:tcPr>
            <w:tcW w:type="dxa" w:w="151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%88,79</w:t>
            </w:r>
          </w:p>
        </w:tc>
        <w:tc>
          <w:tcPr>
            <w:tcW w:type="dxa" w:w="540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776 / 874</w:t>
            </w:r>
          </w:p>
        </w:tc>
      </w:tr>
      <w:tr>
        <w:trPr>
          <w:cantSplit/>
        </w:trPr>
        <w:tc>
          <w:tcPr>
            <w:tcW w:type="dxa" w:w="295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left"/>
            </w:pPr>
            <w:r>
              <w:rPr>
                <w:b w:val="0"/>
                <w:sz w:val="21"/>
              </w:rPr>
              <w:t>Dengeli doğruluk</w:t>
            </w:r>
          </w:p>
        </w:tc>
        <w:tc>
          <w:tcPr>
            <w:tcW w:type="dxa" w:w="151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%79,23</w:t>
            </w:r>
          </w:p>
        </w:tc>
        <w:tc>
          <w:tcPr>
            <w:tcW w:type="dxa" w:w="540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5F7FA"/>
          </w:tcPr>
          <w:p>
            <w:pPr>
              <w:spacing w:after="0" w:line="252" w:lineRule="auto"/>
              <w:jc w:val="center"/>
            </w:pPr>
            <w:r>
              <w:rPr>
                <w:b w:val="0"/>
                <w:sz w:val="21"/>
              </w:rPr>
              <w:t>Duyarlılık ve özgüllük ortalaması</w:t>
            </w:r>
          </w:p>
        </w:tc>
      </w:tr>
      <w:tr>
        <w:trPr>
          <w:cantSplit/>
        </w:trPr>
        <w:tc>
          <w:tcPr>
            <w:tcW w:type="dxa" w:w="295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left"/>
            </w:pPr>
            <w:r>
              <w:rPr>
                <w:b w:val="0"/>
                <w:sz w:val="21"/>
              </w:rPr>
              <w:t>ROC AUC</w:t>
            </w:r>
          </w:p>
        </w:tc>
        <w:tc>
          <w:tcPr>
            <w:tcW w:type="dxa" w:w="1512"/>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0,963</w:t>
            </w:r>
          </w:p>
        </w:tc>
        <w:tc>
          <w:tcPr>
            <w:tcW w:type="dxa" w:w="5400"/>
            <w:vAlign w:val="center"/>
            <w:tcBorders>
              <w:top w:val="single" w:sz="4" w:color="D9D9D9"/>
              <w:left w:val="single" w:sz="4" w:color="D9D9D9"/>
              <w:bottom w:val="single" w:sz="4" w:color="D9D9D9"/>
              <w:right w:val="single" w:sz="4" w:color="D9D9D9"/>
            </w:tcBorders>
            <w:tcMar>
              <w:top w:w="80" w:type="dxa"/>
              <w:bottom w:w="80" w:type="dxa"/>
              <w:left w:w="110" w:type="dxa"/>
              <w:right w:w="110" w:type="dxa"/>
            </w:tcMar>
            <w:shd w:fill="FFFFFF"/>
          </w:tcPr>
          <w:p>
            <w:pPr>
              <w:spacing w:after="0" w:line="252" w:lineRule="auto"/>
              <w:jc w:val="center"/>
            </w:pPr>
            <w:r>
              <w:rPr>
                <w:b w:val="0"/>
                <w:sz w:val="21"/>
              </w:rPr>
              <w:t>Grafikte üç ondalıkla gösterilen değer</w:t>
            </w:r>
          </w:p>
        </w:tc>
      </w:tr>
    </w:tbl>
    <w:p>
      <w:pPr>
        <w:spacing w:after="20" w:before="0" w:line="72" w:lineRule="auto"/>
      </w:pPr>
      <w:r>
        <w:rPr>
          <w:sz w:val="4"/>
        </w:rPr>
      </w:r>
    </w:p>
    <w:p>
      <w:pPr>
        <w:pStyle w:val="Heading2"/>
      </w:pPr>
      <w:r>
        <w:t>Hataların anlamı</w:t>
      </w:r>
    </w:p>
    <w:p>
      <w:r>
        <w:t>Model 390 pnömoni görüntüsünün 388 tanesini yakaladı ve 2 tanesini NORMAL olarak sınıflandırdı. Buna karşılık 234 normal görüntünün 96 tanesine PNEUMONIA dedi. Normal görüntülerdeki yanlış pozitif oranı %41,03 oldu; toplam 98 hatanın 96 tanesi bu tür yanlış alarmdı.</w:t>
      </w:r>
    </w:p>
    <w:p>
      <w:r>
        <w:t>ROC AUC farklı eşiklerde skorların sınıfları ayırma gücünü özetler; 0,963 AUC, %96,3 doğruluk demek değildir. Bu eşikte yüksek duyarlılığa daha düşük özgüllük eşlik eder. Başarı raporlanırken test doğruluğu ve iki sınıftaki hata türleri birlikte verilmelidir.</w:t>
      </w:r>
    </w:p>
    <w:p>
      <w:pPr>
        <w:pStyle w:val="Heading1"/>
        <w:pageBreakBefore/>
      </w:pPr>
      <w:r>
        <w:t>Sınırlamalar ve sonraki adımlar</w:t>
      </w:r>
    </w:p>
    <w:p>
      <w:pPr>
        <w:pStyle w:val="Heading2"/>
      </w:pPr>
      <w:r>
        <w:t>Sonuçların kapsamı</w:t>
      </w:r>
    </w:p>
    <w:p>
      <w:r>
        <w:t>Bu çalışma tek veri setinde yeniden oluşturulan bir sınıflandırma deneyidir. Test sonuçları araştırma ve portföy değerlendirmesi için kullanılabilir. Hastane ortamında kullanım, tanı koyma veya farklı cihaz ve merkezlerde aynı başarının elde edileceği sonucuna ulaşmak için yeterli değildir.</w:t>
      </w:r>
    </w:p>
    <w:p>
      <w:r>
        <w:t>Dosya adlarından üretilen gruplar gerçek hasta kaydının yerine geçmez. IM ve NORMAL2-IM adlarının aynı kişiye karşılık gelip gelmediği doğrulanmadı. SHA256 denetimi birebir aynı dosyaları bulur; yeniden kaydedilmiş, kırpılmış veya farklı biçimde kodlanmış yakın kopyaları bütünüyle tespit etmez.</w:t>
      </w:r>
    </w:p>
    <w:p>
      <w:r>
        <w:t>Eğitim ve doğrulamada PNEUMONIA oranı yaklaşık %71,75, testte %62,50 oldu. Son epokta doğrulama doğruluğu %99,06 iken test doğruluğu %84,29 çıktı. Bu fark genelleme açısından incelenmelidir; tek başına belirli bir veri sızıntısını veya aşırı öğrenmeyi kanıtlamaz.</w:t>
      </w:r>
    </w:p>
    <w:p>
      <w:r>
        <w:t>İlk kesintiden sonra eski model kaydından yeni optimizer ile devam edildi. Tek çalışma ve seed 42 sonucu raporlandı; farklı başlangıçlarla tekrarlanan deneyler, güven aralıkları ve başka bir veri setinde dış doğrulama yapılmadı.</w:t>
      </w:r>
    </w:p>
    <w:p>
      <w:pPr>
        <w:pStyle w:val="Heading2"/>
      </w:pPr>
      <w:r>
        <w:t>Öncelikli geliştirmeler</w:t>
      </w:r>
    </w:p>
    <w:p>
      <w:r>
        <w:rPr>
          <w:b/>
        </w:rPr>
        <w:t>1. Yanlış alarmları incelemek.</w:t>
      </w:r>
      <w:r>
        <w:t xml:space="preserve"> Yanlış pozitif ve yanlış negatif görüntülerde kalite, görünüm ve etiket sorunlarını araştırmak; yalnızca tahmine bakarak tıbbi etiket değiştirmemek.</w:t>
      </w:r>
    </w:p>
    <w:p>
      <w:r>
        <w:rPr>
          <w:b/>
        </w:rPr>
        <w:t>2. Karar eşiğini doğrulamada seçmek.</w:t>
      </w:r>
      <w:r>
        <w:t xml:space="preserve"> Hedef duyarlılık ve özgüllük ölçütünü önceden belirleyip eşiği doğrulama verisinde ayarlamak. Test sonucuna bakarak eşik seçmemek [4].</w:t>
      </w:r>
    </w:p>
    <w:p>
      <w:r>
        <w:rPr>
          <w:b/>
        </w:rPr>
        <w:t>3. Bağımsız değerlendirmeyi güçlendirmek.</w:t>
      </w:r>
      <w:r>
        <w:t xml:space="preserve"> Doğrulanmış hasta metadata bilgisi ve yakın kopya denetimi eklemek; sonraki model değişikliklerini yeni bağımsız veride değerlendirmek.</w:t>
      </w:r>
    </w:p>
    <w:p>
      <w:r>
        <w:rPr>
          <w:b/>
        </w:rPr>
        <w:t>4. Deneyi tekrarlamak.</w:t>
      </w:r>
      <w:r>
        <w:t xml:space="preserve"> Aynı bölümleme ve değerlendirme kurallarıyla farklı seed değerlerini denemek; CNN, VGG16 ve InceptionV3 karşılaştırmasını ayrı deneyler olarak yapmak.</w:t>
      </w:r>
    </w:p>
    <w:p>
      <w:r>
        <w:rPr>
          <w:b/>
        </w:rPr>
        <w:t>5. Projeyi yedeklemek.</w:t>
      </w:r>
      <w:r>
        <w:t xml:space="preserve"> Kaynak kodu, bölümleme raporu, model kayıtları ve test çıktıları için düzenli yedek almak. backup.py aracı hazırlandı; bu deneyin kullanıcı tarafında yedeklendiği henüz doğrulanmadı.</w:t>
      </w:r>
    </w:p>
    <w:p>
      <w:pPr>
        <w:pStyle w:val="Heading2"/>
      </w:pPr>
      <w:r>
        <w:t>Tamamlanan kapsam</w:t>
      </w:r>
    </w:p>
    <w:p>
      <w:r>
        <w:t>Pnömoni projesinin veri hazırlama, ResNet18 eğitim ve test değerlendirme akışı tamamlandı. Streamlit görüntü yükleme arayüzü kodda yer alır; bu oturumda kullanıcı tarafındaki arayüz çalışması doğrulanmadı. Ağ anomali tespiti ve AI veri asistanı projeleri bu raporun kapsamındaki yeniden oluşturma çalışmasına dahil değildir.</w:t>
      </w:r>
    </w:p>
    <w:p>
      <w:pPr>
        <w:pStyle w:val="Heading1"/>
        <w:pageBreakBefore/>
      </w:pPr>
      <w:r>
        <w:t>Komutlar ve teknik kaynaklar</w:t>
      </w:r>
    </w:p>
    <w:p>
      <w:r>
        <w:t>Aşağıdaki komutlar pneumonia_detection proje klasöründe PowerShell ile çalıştırılır. Satır sonlarındaki ` işareti PowerShell devam karakteridir; ardından boşluk bırakılmamalıdır. Bu komutlar çalışma kaydıdır; tamamlanan eğitimi veya testi yeniden çalıştırmak gerekmez.</w:t>
      </w:r>
    </w:p>
    <w:p>
      <w:pPr>
        <w:pStyle w:val="Heading2"/>
      </w:pPr>
      <w:r>
        <w:t>Kodun çalışmasını sınama</w:t>
      </w:r>
    </w:p>
    <w:p>
      <w:pPr>
        <w:spacing w:after="160" w:line="240" w:lineRule="auto"/>
      </w:pPr>
      <w:r>
        <w:rPr>
          <w:rFonts w:ascii="Consolas" w:hAnsi="Consolas"/>
          <w:sz w:val="18"/>
        </w:rPr>
        <w:t>.\.venv\Scripts\python.exe smoke_test.py --clahe</w:t>
      </w:r>
    </w:p>
    <w:p>
      <w:pPr>
        <w:pStyle w:val="Heading2"/>
      </w:pPr>
      <w:r>
        <w:t>Yeni veri klasörünü hazırlama</w:t>
      </w:r>
    </w:p>
    <w:p>
      <w:pPr>
        <w:spacing w:after="160" w:line="240" w:lineRule="auto"/>
      </w:pPr>
      <w:r>
        <w:rPr>
          <w:rFonts w:ascii="Consolas" w:hAnsi="Consolas"/>
          <w:sz w:val="18"/>
        </w:rPr>
        <w:t>.\.venv\Scripts\python.exe prepare_split.py `</w:t>
        <w:br/>
        <w:t xml:space="preserve">  --source "data\chest_xray" `</w:t>
        <w:br/>
        <w:t xml:space="preserve">  --output "data\chest_xray_grouped" --exclude-test-overlap</w:t>
      </w:r>
    </w:p>
    <w:p>
      <w:r>
        <w:rPr>
          <w:sz w:val="20"/>
        </w:rPr>
        <w:t>Kaynak klasör korunur. Hazır çıktı klasörü doluysa farklı bir çıktı adı gerekir.</w:t>
      </w:r>
    </w:p>
    <w:p>
      <w:pPr>
        <w:pStyle w:val="Heading2"/>
      </w:pPr>
      <w:r>
        <w:t>Mevcut eğitim kaydından devam etme</w:t>
      </w:r>
    </w:p>
    <w:p>
      <w:pPr>
        <w:spacing w:after="160" w:line="240" w:lineRule="auto"/>
      </w:pPr>
      <w:r>
        <w:rPr>
          <w:rFonts w:ascii="Consolas" w:hAnsi="Consolas"/>
          <w:sz w:val="18"/>
        </w:rPr>
        <w:t>.\.venv\Scripts\python.exe training_runner.py train `</w:t>
        <w:br/>
        <w:t xml:space="preserve">  --data "data\chest_xray_grouped" `</w:t>
        <w:br/>
        <w:t xml:space="preserve">  --output "runs\resnet18_grouped" --model resnet18 `</w:t>
        <w:br/>
        <w:t xml:space="preserve">  --epochs 10 --batch-size 4 --clahe --device cpu `</w:t>
        <w:br/>
        <w:t xml:space="preserve">  --patient-regex "^((?:NORMAL2-)?IM-[0-9]+|person[0-9]+)(?:-|_)" `</w:t>
        <w:br/>
        <w:t xml:space="preserve">  --resume --log-every 25</w:t>
      </w:r>
    </w:p>
    <w:p>
      <w:r>
        <w:rPr>
          <w:sz w:val="20"/>
        </w:rPr>
        <w:t>Bu deney zaten 10 epoka ulaştı. Yeni bir deneye başlarken boş bir çıktı klasörü seçilir ve --resume kullanılmaz. Modelin ayarlarıyla oynayıp aynı test setini tekrar tekrar nihai ölçüm olarak kullanmak sonuçların tarafsızlığını zayıflatır.</w:t>
      </w:r>
    </w:p>
    <w:p>
      <w:pPr>
        <w:pStyle w:val="Heading2"/>
      </w:pPr>
      <w:r>
        <w:t>Seçilen modeli test etme</w:t>
      </w:r>
    </w:p>
    <w:p>
      <w:pPr>
        <w:spacing w:after="160" w:line="240" w:lineRule="auto"/>
      </w:pPr>
      <w:r>
        <w:rPr>
          <w:rFonts w:ascii="Consolas" w:hAnsi="Consolas"/>
          <w:sz w:val="18"/>
        </w:rPr>
        <w:t>.\.venv\Scripts\python.exe training_runner.py evaluate `</w:t>
        <w:br/>
        <w:t xml:space="preserve">  --data "data\chest_xray_grouped" `</w:t>
        <w:br/>
        <w:t xml:space="preserve">  --checkpoint "runs\resnet18_grouped\best.pt" `</w:t>
        <w:br/>
        <w:t xml:space="preserve">  --output "runs\resnet18_grouped\test_final" `</w:t>
        <w:br/>
        <w:t xml:space="preserve">  --batch-size 4 --device cpu --log-every 25</w:t>
      </w:r>
    </w:p>
    <w:p>
      <w:r>
        <w:rPr>
          <w:sz w:val="20"/>
        </w:rPr>
        <w:t>Tamamlanan testin sonuçları test_final klasöründedir. Dolu değerlendirme klasörüne tekrar yazılması engellenir. Yeni değerlendirme gerektiğinde ayrı çıktı klasörü kullanılır.</w:t>
      </w:r>
    </w:p>
    <w:p>
      <w:pPr>
        <w:pStyle w:val="Heading2"/>
      </w:pPr>
      <w:r>
        <w:t>Teknik kaynaklar</w:t>
      </w:r>
    </w:p>
    <w:p>
      <w:pPr>
        <w:spacing w:after="100"/>
      </w:pPr>
      <w:hyperlink r:id="rId11">
        <w:r>
          <w:rPr>
            <w:color w:val="1F4E79"/>
            <w:sz w:val="20"/>
          </w:rPr>
          <w:t>[1] Kaggle  Chest X Ray Images Pneumonia veri seti</w:t>
        </w:r>
      </w:hyperlink>
    </w:p>
    <w:p>
      <w:pPr>
        <w:spacing w:after="100"/>
      </w:pPr>
      <w:hyperlink r:id="rId12">
        <w:r>
          <w:rPr>
            <w:color w:val="1F4E79"/>
            <w:sz w:val="20"/>
          </w:rPr>
          <w:t>[2] Torchvision  ResNet18 ve başlangıç ağırlıkları</w:t>
        </w:r>
      </w:hyperlink>
    </w:p>
    <w:p>
      <w:pPr>
        <w:spacing w:after="100"/>
      </w:pPr>
      <w:hyperlink r:id="rId13">
        <w:r>
          <w:rPr>
            <w:color w:val="1F4E79"/>
            <w:sz w:val="20"/>
          </w:rPr>
          <w:t>[3] scikit learn  StratifiedGroupKFold</w:t>
        </w:r>
      </w:hyperlink>
    </w:p>
    <w:p>
      <w:pPr>
        <w:spacing w:after="100"/>
      </w:pPr>
      <w:hyperlink r:id="rId14">
        <w:r>
          <w:rPr>
            <w:color w:val="1F4E79"/>
            <w:sz w:val="20"/>
          </w:rPr>
          <w:t>[4] scikit learn  Karar eşiğini ayarlama</w:t>
        </w:r>
      </w:hyperlink>
    </w:p>
    <w:p>
      <w:r>
        <w:rPr>
          <w:sz w:val="19"/>
        </w:rPr>
        <w:t>Deneye özgü sayılar eğitim kayıtları, veri bölümleme çıktısı ve test karışıklık matrisindeki örnek sayılarından elde edilmiştir. Doğruluk, duyarlılık, özgüllük, kesinlik ve F1 değerleri matristeki sayılardan hesaplanmıştır.</w:t>
      </w:r>
    </w:p>
    <w:sectPr w:rsidR="00FC693F" w:rsidRPr="0006063C" w:rsidSect="00034616">
      <w:footerReference w:type="default" r:id="rId9"/>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Sayfa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color w:val="000000"/>
    </w:rPr>
  </w:style>
  <w:style w:type="paragraph" w:styleId="BodyText">
    <w:name w:val="Body Text"/>
    <w:basedOn w:val="Normal"/>
    <w:link w:val="BodyTextChar"/>
    <w:uiPriority w:val="99"/>
    <w:unhideWhenUsed/>
    <w:rsid w:val="00AA1D8D"/>
    <w:pPr>
      <w:spacing w:after="12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Calibri" w:hAnsi="Calibri"/>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Calibri" w:hAnsi="Calibri"/>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Calibri" w:hAnsi="Calibri"/>
      <w:color w:val="000000"/>
    </w:rPr>
  </w:style>
  <w:style w:type="paragraph" w:styleId="List2">
    <w:name w:val="List 2"/>
    <w:basedOn w:val="Normal"/>
    <w:uiPriority w:val="99"/>
    <w:unhideWhenUsed/>
    <w:rsid w:val="00326F90"/>
    <w:pPr>
      <w:ind w:left="720" w:hanging="360"/>
      <w:contextualSpacing/>
    </w:pPr>
    <w:rPr>
      <w:rFonts w:ascii="Calibri" w:hAnsi="Calibri"/>
      <w:color w:val="000000"/>
    </w:rPr>
  </w:style>
  <w:style w:type="paragraph" w:styleId="List3">
    <w:name w:val="List 3"/>
    <w:basedOn w:val="Normal"/>
    <w:uiPriority w:val="99"/>
    <w:unhideWhenUsed/>
    <w:rsid w:val="00326F90"/>
    <w:pPr>
      <w:ind w:left="1080" w:hanging="360"/>
      <w:contextualSpacing/>
    </w:pPr>
    <w:rPr>
      <w:rFonts w:ascii="Calibri" w:hAnsi="Calibri"/>
      <w:color w:val="000000"/>
    </w:r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rPr>
      <w:rFonts w:ascii="Calibri" w:hAnsi="Calibri"/>
      <w:color w:val="000000"/>
    </w:rPr>
  </w:style>
  <w:style w:type="paragraph" w:styleId="ListBullet3">
    <w:name w:val="List Bullet 3"/>
    <w:basedOn w:val="Normal"/>
    <w:uiPriority w:val="99"/>
    <w:unhideWhenUsed/>
    <w:rsid w:val="00326F90"/>
    <w:pPr>
      <w:numPr>
        <w:numId w:val="3"/>
      </w:numPr>
      <w:contextualSpacing/>
    </w:pPr>
    <w:rPr>
      <w:rFonts w:ascii="Calibri" w:hAnsi="Calibri"/>
      <w:color w:val="000000"/>
    </w:r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rPr>
      <w:rFonts w:ascii="Calibri" w:hAnsi="Calibri"/>
      <w:color w:val="000000"/>
    </w:rPr>
  </w:style>
  <w:style w:type="paragraph" w:styleId="ListNumber3">
    <w:name w:val="List Number 3"/>
    <w:basedOn w:val="Normal"/>
    <w:uiPriority w:val="99"/>
    <w:unhideWhenUsed/>
    <w:rsid w:val="0029639D"/>
    <w:pPr>
      <w:numPr>
        <w:numId w:val="7"/>
      </w:numPr>
      <w:contextualSpacing/>
    </w:pPr>
    <w:rPr>
      <w:rFonts w:ascii="Calibri" w:hAnsi="Calibri"/>
      <w:color w:val="000000"/>
    </w:rPr>
  </w:style>
  <w:style w:type="paragraph" w:styleId="ListContinue">
    <w:name w:val="List Continue"/>
    <w:basedOn w:val="Normal"/>
    <w:uiPriority w:val="99"/>
    <w:unhideWhenUsed/>
    <w:rsid w:val="0029639D"/>
    <w:pPr>
      <w:spacing w:after="120"/>
      <w:ind w:left="360"/>
      <w:contextualSpacing/>
    </w:pPr>
    <w:rPr>
      <w:rFonts w:ascii="Calibri" w:hAnsi="Calibri"/>
      <w:color w:val="000000"/>
    </w:rPr>
  </w:style>
  <w:style w:type="paragraph" w:styleId="ListContinue2">
    <w:name w:val="List Continue 2"/>
    <w:basedOn w:val="Normal"/>
    <w:uiPriority w:val="99"/>
    <w:unhideWhenUsed/>
    <w:rsid w:val="0029639D"/>
    <w:pPr>
      <w:spacing w:after="120"/>
      <w:ind w:left="720"/>
      <w:contextualSpacing/>
    </w:pPr>
    <w:rPr>
      <w:rFonts w:ascii="Calibri" w:hAnsi="Calibri"/>
      <w:color w:val="000000"/>
    </w:rPr>
  </w:style>
  <w:style w:type="paragraph" w:styleId="ListContinue3">
    <w:name w:val="List Continue 3"/>
    <w:basedOn w:val="Normal"/>
    <w:uiPriority w:val="99"/>
    <w:unhideWhenUsed/>
    <w:rsid w:val="0029639D"/>
    <w:pPr>
      <w:spacing w:after="120"/>
      <w:ind w:left="1080"/>
      <w:contextualSpacing/>
    </w:pPr>
    <w:rPr>
      <w:rFonts w:ascii="Calibri" w:hAnsi="Calibri"/>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libri" w:hAnsi="Calibri"/>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Calibri" w:hAnsi="Calibri"/>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www.kaggle.com/datasets/paultimothymooney/chest-xray-pneumonia" TargetMode="External"/><Relationship Id="rId12" Type="http://schemas.openxmlformats.org/officeDocument/2006/relationships/hyperlink" Target="https://docs.pytorch.org/vision/stable/models/generated/torchvision.models.resnet18.html" TargetMode="External"/><Relationship Id="rId13" Type="http://schemas.openxmlformats.org/officeDocument/2006/relationships/hyperlink" Target="https://scikit-learn.org/stable/modules/generated/sklearn.model_selection.StratifiedGroupKFold.html" TargetMode="External"/><Relationship Id="rId14" Type="http://schemas.openxmlformats.org/officeDocument/2006/relationships/hyperlink" Target="https://scikit-learn.org/stable/modules/classification_threshol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Göğüs Röntgenlerinden Pnömoni Sınıflandırma Proje Raporu</dc:title>
  <dc:subject>Veri hazırlama, ResNet18 eğitimi ve test değerlendirmesi</dc:subject>
  <dc:creator>Mert Nusret Sağlam</dc:creator>
  <cp:keywords/>
  <dc:description>generated by python-docx</dc:description>
  <cp:lastModifiedBy/>
  <cp:revision>1</cp:revision>
  <dcterms:created xsi:type="dcterms:W3CDTF">2013-12-23T23:15:00Z</dcterms:created>
  <dcterms:modified xsi:type="dcterms:W3CDTF">2013-12-23T23:15:00Z</dcterms:modified>
  <cp:category/>
</cp:coreProperties>
</file>