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lated-work"/>
    <w:p>
      <w:pPr>
        <w:pStyle w:val="Heading1"/>
      </w:pPr>
      <w:r>
        <w:t xml:space="preserve">Related Work</w:t>
      </w:r>
    </w:p>
    <w:p>
      <w:pPr>
        <w:pStyle w:val="FirstParagraph"/>
      </w:pPr>
      <w:r>
        <w:t xml:space="preserve">Recent studies</w:t>
      </w:r>
      <w:r>
        <w:t xml:space="preserve"> </w:t>
      </w:r>
      <w:r>
        <w:t xml:space="preserve"> </w:t>
      </w:r>
      <w:r>
        <w:t xml:space="preserve">underscore the critical need for low-power uplink wireless communication systems capable of supporting advanced extended reality (XR) applications’ high data rates. Traditional approaches, such as orthogonal multiple access (OMA)-based techniques, have been extensively explored in this context. These techniques, including time division multiple access (TDMA) and orthogonal frequency division multiple access (OFDMA)</w:t>
      </w:r>
      <w:r>
        <w:t xml:space="preserve"> </w:t>
      </w:r>
      <w:r>
        <w:t xml:space="preserve">, involve users transmitting either at distinct time intervals or using frequency-domain resource blocks. Although OMA methods’ implementations are straightforward and efficient, they do not meet the high data rate demands, particularly uplink 500+ Mpbs requirements that surpass current Wi-Fi standards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This limitation has sparked significant research interest in non-orthogonal multiple-access (NOMA) methods as a wireless-transmission alternative. The literature</w:t>
      </w:r>
      <w:r>
        <w:t xml:space="preserve"> </w:t>
      </w:r>
      <w:r>
        <w:t xml:space="preserve"> </w:t>
      </w:r>
      <w:r>
        <w:t xml:space="preserve">extensively discusses these approaches and emphasizes power-domain NOMA with the AP’s superposition coding (SC) use downlink and successive interference cancellation (SIC) based decoding uplink. This method demonstrates a considerable data-rate improvement for a given signal-to-noise ratio (SNR). However, even with these advancements, the data achieved rates represented as 3 bits/s/Hz and translating to 240 Mbps for an 80 MHz channel still do not meet high-quality XR applications’ necessary thresholds</w:t>
      </w:r>
      <w:r>
        <w:t xml:space="preserve"> </w:t>
      </w:r>
      <w:r>
        <w:t xml:space="preserve">. Additionally,</w:t>
      </w:r>
      <w:r>
        <w:t xml:space="preserve"> </w:t>
      </w:r>
      <w:r>
        <w:t xml:space="preserve"> </w:t>
      </w:r>
      <w:r>
        <w:t xml:space="preserve">simultaneously transmits and receives reflecting intelligent surfaces (STAR-RISs) in conjunction with NOMA communications. This approach has shown potential in achieving spectral efficiency rates up to 11.2 bits/s/Hz. Despite these promising results, the practical implementation of RISs introduces additional complexities that the community continues to address.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2024-02-06T06:38:39Z</dcterms:created>
  <dcterms:modified xsi:type="dcterms:W3CDTF">2024-02-06T06:38:39Z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