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V714Subtitle"/>
      </w:pPr>
      <w:r>
        <w:t>INDIAN EQUITY INTELLIGENCE SYSTEM</w:t>
      </w:r>
    </w:p>
    <w:p>
      <w:pPr>
        <w:pStyle w:val="V714Title"/>
      </w:pPr>
      <w:r>
        <w:t>IEIS 7.1.4</w:t>
      </w:r>
    </w:p>
    <w:p>
      <w:pPr>
        <w:pStyle w:val="V714Title"/>
      </w:pPr>
      <w:r>
        <w:t>Corrected Master Specification and Reference Controls</w:t>
      </w:r>
    </w:p>
    <w:p>
      <w:pPr>
        <w:pStyle w:val="V714Subtitle"/>
      </w:pPr>
      <w:r>
        <w:t>Independent Re-Audit Remediation | 15 October 2026</w:t>
      </w:r>
    </w:p>
    <w:p>
      <w:pPr>
        <w:pStyle w:val="V714Text"/>
      </w:pPr>
      <w:r>
        <w:t>AUTHORITATIVE V7.1.4 CONTROL ADDENDUM + COMPLETE V7.1.3 / V7.1.2 HISTORICAL SPECIFICATION</w:t>
      </w:r>
    </w:p>
    <w:p>
      <w:pPr>
        <w:pStyle w:val="V714Warning"/>
      </w:pPr>
      <w:r>
        <w:t>RELEASE STATUS: OFFLINE REFERENCE TESTED — LIVE ORDERS BLOCKED</w:t>
      </w:r>
    </w:p>
    <w:p>
      <w:pPr>
        <w:pStyle w:val="V714Text"/>
      </w:pPr>
      <w:r>
        <w:t>This document addresses the twelve new findings N01–N12 reported in the independent V7.1.3 re-audit. It retains the 24 earlier remediations and the full historical master content as a subordinate annex. Documentation, local SQLite simulation, synthetic test vectors and reference calculations do NOT constitute a working market-data application, broker engine, regulatory approval or investment validation.</w:t>
      </w:r>
    </w:p>
    <w:tbl>
      <w:tblPr>
        <w:tblStyle w:val="TableGrid"/>
        <w:tblW w:type="auto" w:w="0"/>
        <w:jc w:val="center"/>
        <w:tblLook w:firstColumn="1" w:firstRow="1" w:lastColumn="0" w:lastRow="0" w:noHBand="0" w:noVBand="1" w:val="04A0"/>
      </w:tblPr>
      <w:tblGrid>
        <w:gridCol w:w="4997"/>
        <w:gridCol w:w="4997"/>
      </w:tblGrid>
      <w:tr>
        <w:trPr>
          <w:tblHeader/>
        </w:trPr>
        <w:tc>
          <w:tcPr>
            <w:tcW w:type="dxa" w:w="4997"/>
            <w:vAlign w:val="center"/>
            <w:shd w:fill="193F56"/>
          </w:tcPr>
          <w:p>
            <w:pPr>
              <w:spacing w:before="40" w:after="40"/>
            </w:pPr>
            <w:r>
              <w:rPr>
                <w:rFonts w:ascii="Aptos" w:hAnsi="Aptos"/>
                <w:b/>
                <w:color w:val="FFFFFF"/>
                <w:sz w:val="16"/>
              </w:rPr>
              <w:t>Validation domain</w:t>
            </w:r>
          </w:p>
        </w:tc>
        <w:tc>
          <w:tcPr>
            <w:tcW w:type="dxa" w:w="4997"/>
            <w:vAlign w:val="center"/>
            <w:shd w:fill="193F56"/>
          </w:tcPr>
          <w:p>
            <w:pPr>
              <w:spacing w:before="40" w:after="40"/>
            </w:pPr>
            <w:r>
              <w:rPr>
                <w:rFonts w:ascii="Aptos" w:hAnsi="Aptos"/>
                <w:b/>
                <w:color w:val="FFFFFF"/>
                <w:sz w:val="16"/>
              </w:rPr>
              <w:t>2026-10-15 disposition</w:t>
            </w:r>
          </w:p>
        </w:tc>
      </w:tr>
      <w:tr>
        <w:tc>
          <w:tcPr>
            <w:tcW w:type="dxa" w:w="4997"/>
            <w:vAlign w:val="center"/>
          </w:tcPr>
          <w:p>
            <w:pPr>
              <w:spacing w:before="40" w:after="40"/>
            </w:pPr>
            <w:r>
              <w:rPr>
                <w:rFonts w:ascii="Aptos" w:hAnsi="Aptos"/>
                <w:sz w:val="16"/>
              </w:rPr>
              <w:t>Design specification</w:t>
            </w:r>
          </w:p>
        </w:tc>
        <w:tc>
          <w:tcPr>
            <w:tcW w:type="dxa" w:w="4997"/>
            <w:vAlign w:val="center"/>
          </w:tcPr>
          <w:p>
            <w:pPr>
              <w:spacing w:before="40" w:after="40"/>
            </w:pPr>
            <w:r>
              <w:rPr>
                <w:rFonts w:ascii="Aptos" w:hAnsi="Aptos"/>
                <w:sz w:val="16"/>
              </w:rPr>
              <w:t>Revised; new N01–N12 requirements defined</w:t>
            </w:r>
          </w:p>
        </w:tc>
      </w:tr>
      <w:tr>
        <w:tc>
          <w:tcPr>
            <w:tcW w:type="dxa" w:w="4997"/>
            <w:vAlign w:val="center"/>
          </w:tcPr>
          <w:p>
            <w:pPr>
              <w:spacing w:before="40" w:after="40"/>
            </w:pPr>
            <w:r>
              <w:rPr>
                <w:rFonts w:ascii="Aptos" w:hAnsi="Aptos"/>
                <w:sz w:val="16"/>
              </w:rPr>
              <w:t>Offline reference code</w:t>
            </w:r>
          </w:p>
        </w:tc>
        <w:tc>
          <w:tcPr>
            <w:tcW w:type="dxa" w:w="4997"/>
            <w:vAlign w:val="center"/>
          </w:tcPr>
          <w:p>
            <w:pPr>
              <w:spacing w:before="40" w:after="40"/>
            </w:pPr>
            <w:r>
              <w:rPr>
                <w:rFonts w:ascii="Aptos" w:hAnsi="Aptos"/>
                <w:sz w:val="16"/>
              </w:rPr>
              <w:t>Implemented and adversarially tested in included package</w:t>
            </w:r>
          </w:p>
        </w:tc>
      </w:tr>
      <w:tr>
        <w:tc>
          <w:tcPr>
            <w:tcW w:type="dxa" w:w="4997"/>
            <w:vAlign w:val="center"/>
          </w:tcPr>
          <w:p>
            <w:pPr>
              <w:spacing w:before="40" w:after="40"/>
            </w:pPr>
            <w:r>
              <w:rPr>
                <w:rFonts w:ascii="Aptos" w:hAnsi="Aptos"/>
                <w:sz w:val="16"/>
              </w:rPr>
              <w:t>Market sessions</w:t>
            </w:r>
          </w:p>
        </w:tc>
        <w:tc>
          <w:tcPr>
            <w:tcW w:type="dxa" w:w="4997"/>
            <w:vAlign w:val="center"/>
          </w:tcPr>
          <w:p>
            <w:pPr>
              <w:spacing w:before="40" w:after="40"/>
            </w:pPr>
            <w:r>
              <w:rPr>
                <w:rFonts w:ascii="Aptos" w:hAnsi="Aptos"/>
                <w:sz w:val="16"/>
              </w:rPr>
              <w:t>NSE CAS-aware illustrative calendar/rule checks; broker and membership not connected</w:t>
            </w:r>
          </w:p>
        </w:tc>
      </w:tr>
      <w:tr>
        <w:tc>
          <w:tcPr>
            <w:tcW w:type="dxa" w:w="4997"/>
            <w:vAlign w:val="center"/>
          </w:tcPr>
          <w:p>
            <w:pPr>
              <w:spacing w:before="40" w:after="40"/>
            </w:pPr>
            <w:r>
              <w:rPr>
                <w:rFonts w:ascii="Aptos" w:hAnsi="Aptos"/>
                <w:sz w:val="16"/>
              </w:rPr>
              <w:t>Formula registry</w:t>
            </w:r>
          </w:p>
        </w:tc>
        <w:tc>
          <w:tcPr>
            <w:tcW w:type="dxa" w:w="4997"/>
            <w:vAlign w:val="center"/>
          </w:tcPr>
          <w:p>
            <w:pPr>
              <w:spacing w:before="40" w:after="40"/>
            </w:pPr>
            <w:r>
              <w:rPr>
                <w:rFonts w:ascii="Aptos" w:hAnsi="Aptos"/>
                <w:sz w:val="16"/>
              </w:rPr>
              <w:t>26 whitelist-dispatched synthetic reference formulas; NOT production approved</w:t>
            </w:r>
          </w:p>
        </w:tc>
      </w:tr>
      <w:tr>
        <w:tc>
          <w:tcPr>
            <w:tcW w:type="dxa" w:w="4997"/>
            <w:vAlign w:val="center"/>
          </w:tcPr>
          <w:p>
            <w:pPr>
              <w:spacing w:before="40" w:after="40"/>
            </w:pPr>
            <w:r>
              <w:rPr>
                <w:rFonts w:ascii="Aptos" w:hAnsi="Aptos"/>
                <w:sz w:val="16"/>
              </w:rPr>
              <w:t>Execution uniqueness</w:t>
            </w:r>
          </w:p>
        </w:tc>
        <w:tc>
          <w:tcPr>
            <w:tcW w:type="dxa" w:w="4997"/>
            <w:vAlign w:val="center"/>
          </w:tcPr>
          <w:p>
            <w:pPr>
              <w:spacing w:before="40" w:after="40"/>
            </w:pPr>
            <w:r>
              <w:rPr>
                <w:rFonts w:ascii="Aptos" w:hAnsi="Aptos"/>
                <w:sz w:val="16"/>
              </w:rPr>
              <w:t>SQLite local concurrency demonstrator; no live order/risk outbox</w:t>
            </w:r>
          </w:p>
        </w:tc>
      </w:tr>
      <w:tr>
        <w:tc>
          <w:tcPr>
            <w:tcW w:type="dxa" w:w="4997"/>
            <w:vAlign w:val="center"/>
          </w:tcPr>
          <w:p>
            <w:pPr>
              <w:spacing w:before="40" w:after="40"/>
            </w:pPr>
            <w:r>
              <w:rPr>
                <w:rFonts w:ascii="Aptos" w:hAnsi="Aptos"/>
                <w:sz w:val="16"/>
              </w:rPr>
              <w:t>Data / code / investment sign-off</w:t>
            </w:r>
          </w:p>
        </w:tc>
        <w:tc>
          <w:tcPr>
            <w:tcW w:type="dxa" w:w="4997"/>
            <w:vAlign w:val="center"/>
          </w:tcPr>
          <w:p>
            <w:pPr>
              <w:spacing w:before="40" w:after="40"/>
            </w:pPr>
            <w:r>
              <w:rPr>
                <w:rFonts w:ascii="Aptos" w:hAnsi="Aptos"/>
                <w:sz w:val="16"/>
              </w:rPr>
              <w:t>NOT OBTAINED</w:t>
            </w:r>
          </w:p>
        </w:tc>
      </w:tr>
      <w:tr>
        <w:tc>
          <w:tcPr>
            <w:tcW w:type="dxa" w:w="4997"/>
            <w:vAlign w:val="center"/>
          </w:tcPr>
          <w:p>
            <w:pPr>
              <w:spacing w:before="40" w:after="40"/>
            </w:pPr>
            <w:r>
              <w:rPr>
                <w:rFonts w:ascii="Aptos" w:hAnsi="Aptos"/>
                <w:sz w:val="16"/>
              </w:rPr>
              <w:t>Permitted live order modes</w:t>
            </w:r>
          </w:p>
        </w:tc>
        <w:tc>
          <w:tcPr>
            <w:tcW w:type="dxa" w:w="4997"/>
            <w:vAlign w:val="center"/>
          </w:tcPr>
          <w:p>
            <w:pPr>
              <w:spacing w:before="40" w:after="40"/>
            </w:pPr>
            <w:r>
              <w:rPr>
                <w:rFonts w:ascii="Aptos" w:hAnsi="Aptos"/>
                <w:sz w:val="16"/>
              </w:rPr>
              <w:t>NONE — blocked in example release configuration</w:t>
            </w:r>
          </w:p>
        </w:tc>
      </w:tr>
    </w:tbl>
    <w:p>
      <w:pPr>
        <w:pStyle w:val="V714Small"/>
      </w:pPr>
    </w:p>
    <w:p>
      <w:pPr>
        <w:pStyle w:val="V714Small"/>
      </w:pPr>
      <w:r>
        <w:t>Primary sources: IEIS 7.1.3 re-audit (15 October 2026), IEIS 7.1.3 master, IEIS 7.1.2 consolidated specification. NSE CAS official reference: https://www.nseindia.com/static/products-services/closing-auction-session (page updated 12 August 2026).</w:t>
      </w:r>
    </w:p>
    <w:p>
      <w:r>
        <w:br w:type="page"/>
      </w:r>
    </w:p>
    <w:p>
      <w:pPr>
        <w:pStyle w:val="V714Head"/>
      </w:pPr>
      <w:r>
        <w:t>0 | Document authority, preserved scope and release boundary</w:t>
      </w:r>
    </w:p>
    <w:p>
      <w:pPr>
        <w:pStyle w:val="V714Text"/>
      </w:pPr>
      <w:r>
        <w:t>Precedence: (1) V7.1.4 control layer and machine-readable reference contract; (2) previous V7.1.3 specification where not replaced; (3) V7.1.2 canonical front matter; (4) historical V7.2 / V7.1.1 and correction changelog. A conflict with legal, data-rights, broker or safety policy BLOCKS the affected action until reviewed. Earlier version labels and old formulas in the annex are explicitly historical and do not supersede these corrections.</w:t>
      </w:r>
    </w:p>
    <w:p>
      <w:pPr>
        <w:pStyle w:val="V714Text"/>
      </w:pPr>
      <w:r>
        <w:t>What changed: strict type validation; complete capacity formula; attested approval evidence; integral lot sizes; nonfinite telemetry fail-closed; sealed-candle flags; CAS phases; minimum data/signal confidence; deterministic economic-action uniqueness; max-risk policy constraints; callable reference formula registry; quantifiable release-gate framework. The entire five-horizon research and signal design remains intact.</w:t>
      </w:r>
    </w:p>
    <w:p>
      <w:pPr>
        <w:pStyle w:val="V714Text"/>
      </w:pPr>
      <w:r>
        <w:t>What was NOT built: 2,000-stock source connectors, data rights and PIT warehouse; full signal-generation engines; broker adapters; real transactional outbox/risk-reservation ledger; dashboard; historical backtest/paper-trading; production cryptographic policy verifier; Windows deployment and monitoring. Paper/manual/semi/auto order modes remain disabled.</w:t>
      </w:r>
    </w:p>
    <w:p>
      <w:pPr>
        <w:pStyle w:val="V714Head"/>
      </w:pPr>
      <w:r>
        <w:t>1 | N01, N04, N05 and N06: strict, fail-closed input validation</w:t>
      </w:r>
    </w:p>
    <w:p>
      <w:pPr>
        <w:pStyle w:val="V714Subhead"/>
      </w:pPr>
      <w:r>
        <w:t>1.1 N01 | Boolean security controls</w:t>
      </w:r>
    </w:p>
    <w:p>
      <w:pPr>
        <w:pStyle w:val="V714Text"/>
      </w:pPr>
      <w:r>
        <w:t>Every execution authorization field must have the exact boolean type. Strings "False"/"True", integers, null and truthy user input are invalid. Validate DTOs at API boundary and again before business-state evaluation. Unauthorized/unknown inputs must cause a typed rejection, never a truthy object; `can_submit_new_entry` and `can_failover_entry` return only real Python booleans after validation.</w:t>
      </w:r>
    </w:p>
    <w:p>
      <w:pPr>
        <w:pStyle w:val="V714Subhead"/>
      </w:pPr>
      <w:r>
        <w:t>1.2 N04 | Lot sizes and integer instrument quantities</w:t>
      </w:r>
    </w:p>
    <w:p>
      <w:pPr>
        <w:pStyle w:val="V714Text"/>
      </w:pPr>
      <w:r>
        <w:t>Share/contract lot size is a strictly positive integer derived from a versioned broker/exchange instrument identity at trade time. Financially fractional or boolean lots are rejected. Every risk and capacity quantity uses integer flooring to the lawful lot multiple; do not rely on implicit float multiplication.</w:t>
      </w:r>
    </w:p>
    <w:p>
      <w:pPr>
        <w:pStyle w:val="V714Subhead"/>
      </w:pPr>
      <w:r>
        <w:t>1.3 N05 | Resource sensor failure</w:t>
      </w:r>
    </w:p>
    <w:p>
      <w:pPr>
        <w:pStyle w:val="V714Text"/>
      </w:pPr>
      <w:r>
        <w:t>Disk free space, reserve and hysteresis must be finite, typed, positive where required. Any NaN, infinity, missing reading, negative free space, invalid review flag or telemetry malfunction returns EMERGENCY_BLOCK_ENTRIES. Normal service resumes only after &gt;reserve+hysteresis and explicit health review; critical broker reconciliation and exit-risk monitoring take precedence.</w:t>
      </w:r>
    </w:p>
    <w:p>
      <w:pPr>
        <w:pStyle w:val="V714Subhead"/>
      </w:pPr>
      <w:r>
        <w:t>1.4 N06 | Provider-watermarked bar finality</w:t>
      </w:r>
    </w:p>
    <w:p>
      <w:pPr>
        <w:pStyle w:val="V714Code"/>
      </w:pPr>
      <w:r>
        <w:t>Sealed = CalendarConfirmed_bool AND ObservationCoverage_bool AND ChecksumVerified_bool AND NOT SourceConflict_bool AND (ProviderWatermark &gt;= IntervalEnd + SealDelay)</w:t>
      </w:r>
    </w:p>
    <w:p>
      <w:pPr>
        <w:pStyle w:val="V714Text"/>
      </w:pPr>
      <w:r>
        <w:t>The candle-seal reference accepts only timezone-aware bar and watermark timestamps; exact booleans; integer nonnegative settlement delay; explicit source-conflict and checksum flags. The upstream feed must supply exchange session ID, authoritative exchange timestamp, sequence continuity, adjusted/unadjusted price semantics, and as-known revisions. Missing watermark means preview only, not final.</w:t>
      </w:r>
    </w:p>
    <w:p>
      <w:pPr>
        <w:pStyle w:val="V714Head"/>
      </w:pPr>
      <w:r>
        <w:t>2 | N02 and N10: one full position cap and signed risk policy</w:t>
      </w:r>
    </w:p>
    <w:p>
      <w:pPr>
        <w:pStyle w:val="V714Subhead"/>
      </w:pPr>
      <w:r>
        <w:t>2.1 Formula authority generated from registry</w:t>
      </w:r>
    </w:p>
    <w:p>
      <w:pPr>
        <w:pStyle w:val="V714Code"/>
      </w:pPr>
      <w:r>
        <w:t>FinalQuantity = floor_to_lot(min(QRisk, QLiquidity, QCompanyResidual, QSectorResidual, QGroupResidual, QHorizonResidual, QEventResidual, QCorrelationResidual, QCashOrMargin, QGross, QNet, QFNOAllocation, QDrawdownResidual, QAccountRisk), LotSize)</w:t>
      </w:r>
    </w:p>
    <w:p>
      <w:pPr>
        <w:pStyle w:val="V714Text"/>
      </w:pPr>
      <w:r>
        <w:t>All caps are residual to broker-reconciled positions and durable pending commitments. A limit breaches if any required quantity is zero. All inputs, caps and lot size must be positive/integer-valid; missing constraints block an executable quantity. Any production engine must reserve funds, account risk, correlation/sector/company/F&amp;O/drawdown capacity in the same serializable or equivalent-safe OLTP transaction that records the deterministic intent and outbox row.</w:t>
      </w:r>
    </w:p>
    <w:p>
      <w:pPr>
        <w:pStyle w:val="V714Subhead"/>
      </w:pPr>
      <w:r>
        <w:t>2.2 Per-trade risk maximum</w:t>
      </w:r>
    </w:p>
    <w:p>
      <w:pPr>
        <w:pStyle w:val="V714Text"/>
      </w:pPr>
      <w:r>
        <w:t>RiskPercent is a decimal fraction (e.g. 0.002 = 0.2%) and is not allowed merely because it is &lt;=1.0. The offline reference default ceiling is 0.01 (1% of equity) as a test illustration, not an endorsed live threshold. Production maximum MUST come from an authenticated, independently approved, account+strategy+instrument-class specific risk policy with effective date, immutable configuration hash and signed limit record. Each new order is blocked without a current signed risk policy; enforce also daily and total drawdown caps and order/portfolio exposure under concurrent reservations.</w:t>
      </w:r>
    </w:p>
    <w:p>
      <w:pPr>
        <w:pStyle w:val="V714Head"/>
      </w:pPr>
      <w:r>
        <w:t>3 | N03: signed order-policy evidence and lifecycle</w:t>
      </w:r>
    </w:p>
    <w:p>
      <w:pPr>
        <w:pStyle w:val="V714Text"/>
      </w:pPr>
      <w:r>
        <w:t>A broker policy must include policy_id and version, approval identity, approval reference, time-bounded effective_from/valid_until, last_verified_at, regulatory circular references, broker confirmation references, signer key ID, current algo/registration/IP attestations, account, broker, exchange, segment, session, order type, product, strategy/algo and order origin. A policy with no reviewer/evidence, a stale verification date, missing identifiers, or an unverified signature is denied.</w:t>
      </w:r>
    </w:p>
    <w:p>
      <w:pPr>
        <w:pStyle w:val="V714Text"/>
      </w:pPr>
      <w:r>
        <w:t>The reference `signature_verified=true` is only a schema-level assertion. It does not cryptographically verify any signature; the production verifier must authenticate a detached signature against an independently controlled trust store, revocation registry and key rotation history. A user-edited JSON file is NOT proof of approval. Every new live mode remains disabled until these external steps exist and are tested.</w:t>
      </w:r>
    </w:p>
    <w:p>
      <w:pPr>
        <w:pStyle w:val="V714Head"/>
      </w:pPr>
      <w:r>
        <w:t>4 | N09: durable economic-action identity and replay protection</w:t>
      </w:r>
    </w:p>
    <w:p>
      <w:pPr>
        <w:pStyle w:val="V714Code"/>
      </w:pPr>
      <w:r>
        <w:t>BusinessActionKey = SHA256(canonical(account_id, strategy_id, security_id, horizon, signal_id, action, decision_version)); UNIQUE(account_id, business_action_key) in durable OLTP required for production</w:t>
      </w:r>
    </w:p>
    <w:p>
      <w:pPr>
        <w:pStyle w:val="V714Text"/>
      </w:pPr>
      <w:r>
        <w:t>Two distinct random order UUIDs must not create duplicate economic actions. In production, create one deterministic business_action_key based on account + strategy + stable security/contract + horizon + signal ID + action + decision version. Add unique database constraints on account_id + business_action_key, and immutable parent/child order IDs, action lifecycle and broker acknowledgement evidence. A retry always reuses the original business action and persisted order intent; changed quantity after a partial fill requires a separately authorized residual intent with lineage.</w:t>
      </w:r>
    </w:p>
    <w:p>
      <w:pPr>
        <w:pStyle w:val="V714Text"/>
      </w:pPr>
      <w:r>
        <w:t>The package includes a crash-persistent SQLite WAL demonstrator with `BEGIN IMMEDIATE` and uniqueness tests under concurrent local threads and process reopen. It is NOT a production durable broker outbox, cross-broker reconciler or portfolio risk-reservation transaction. A system without those elements must never enable broker submissions.</w:t>
      </w:r>
    </w:p>
    <w:p>
      <w:pPr>
        <w:pStyle w:val="V714Head"/>
      </w:pPr>
      <w:r>
        <w:t>5 | N07: NSE 2026 Closing Auction Session (CAS) contract</w:t>
      </w:r>
    </w:p>
    <w:p>
      <w:pPr>
        <w:pStyle w:val="V714Text"/>
      </w:pPr>
      <w:r>
        <w:t>Official NSE guidance current October 2026: Phase 1 CAS applies in cash equities only to stocks with exchange-traded derivatives. Schedule is effective-dated and must come from the exchange calendar and security master; special trading days and broker product restrictions override this illustrative rule. NSE official source: https://www.nseindia.com/static/products-services/closing-auction-session</w:t>
      </w:r>
    </w:p>
    <w:tbl>
      <w:tblPr>
        <w:tblStyle w:val="TableGrid"/>
        <w:tblW w:type="auto" w:w="0"/>
        <w:jc w:val="center"/>
        <w:tblLook w:firstColumn="1" w:firstRow="1" w:lastColumn="0" w:lastRow="0" w:noHBand="0" w:noVBand="1" w:val="04A0"/>
      </w:tblPr>
      <w:tblGrid>
        <w:gridCol w:w="3331"/>
        <w:gridCol w:w="3331"/>
        <w:gridCol w:w="3331"/>
      </w:tblGrid>
      <w:tr>
        <w:trPr>
          <w:tblHeader/>
        </w:trPr>
        <w:tc>
          <w:tcPr>
            <w:tcW w:type="dxa" w:w="3331"/>
            <w:vAlign w:val="center"/>
            <w:shd w:fill="193F56"/>
          </w:tcPr>
          <w:p>
            <w:pPr>
              <w:spacing w:before="40" w:after="40"/>
            </w:pPr>
            <w:r>
              <w:rPr>
                <w:rFonts w:ascii="Aptos" w:hAnsi="Aptos"/>
                <w:b/>
                <w:color w:val="FFFFFF"/>
                <w:sz w:val="16"/>
              </w:rPr>
              <w:t>IST</w:t>
            </w:r>
          </w:p>
        </w:tc>
        <w:tc>
          <w:tcPr>
            <w:tcW w:type="dxa" w:w="3331"/>
            <w:vAlign w:val="center"/>
            <w:shd w:fill="193F56"/>
          </w:tcPr>
          <w:p>
            <w:pPr>
              <w:spacing w:before="40" w:after="40"/>
            </w:pPr>
            <w:r>
              <w:rPr>
                <w:rFonts w:ascii="Aptos" w:hAnsi="Aptos"/>
                <w:b/>
                <w:color w:val="FFFFFF"/>
                <w:sz w:val="16"/>
              </w:rPr>
              <w:t>Segment / phase</w:t>
            </w:r>
          </w:p>
        </w:tc>
        <w:tc>
          <w:tcPr>
            <w:tcW w:type="dxa" w:w="3331"/>
            <w:vAlign w:val="center"/>
            <w:shd w:fill="193F56"/>
          </w:tcPr>
          <w:p>
            <w:pPr>
              <w:spacing w:before="40" w:after="40"/>
            </w:pPr>
            <w:r>
              <w:rPr>
                <w:rFonts w:ascii="Aptos" w:hAnsi="Aptos"/>
                <w:b/>
                <w:color w:val="FFFFFF"/>
                <w:sz w:val="16"/>
              </w:rPr>
              <w:t>Conservative order interpretation</w:t>
            </w:r>
          </w:p>
        </w:tc>
      </w:tr>
      <w:tr>
        <w:tc>
          <w:tcPr>
            <w:tcW w:type="dxa" w:w="3331"/>
            <w:vAlign w:val="center"/>
          </w:tcPr>
          <w:p>
            <w:pPr>
              <w:spacing w:before="40" w:after="40"/>
            </w:pPr>
            <w:r>
              <w:rPr>
                <w:rFonts w:ascii="Aptos" w:hAnsi="Aptos"/>
                <w:sz w:val="16"/>
              </w:rPr>
              <w:t>09:15–15:15</w:t>
            </w:r>
          </w:p>
        </w:tc>
        <w:tc>
          <w:tcPr>
            <w:tcW w:type="dxa" w:w="3331"/>
            <w:vAlign w:val="center"/>
          </w:tcPr>
          <w:p>
            <w:pPr>
              <w:spacing w:before="40" w:after="40"/>
            </w:pPr>
            <w:r>
              <w:rPr>
                <w:rFonts w:ascii="Aptos" w:hAnsi="Aptos"/>
                <w:sz w:val="16"/>
              </w:rPr>
              <w:t>CAS-eligible cash equity normal continuous</w:t>
            </w:r>
          </w:p>
        </w:tc>
        <w:tc>
          <w:tcPr>
            <w:tcW w:type="dxa" w:w="3331"/>
            <w:vAlign w:val="center"/>
          </w:tcPr>
          <w:p>
            <w:pPr>
              <w:spacing w:before="40" w:after="40"/>
            </w:pPr>
            <w:r>
              <w:rPr>
                <w:rFonts w:ascii="Aptos" w:hAnsi="Aptos"/>
                <w:sz w:val="16"/>
              </w:rPr>
              <w:t>Regular broker-qualified orders; pre-open not assumed</w:t>
            </w:r>
          </w:p>
        </w:tc>
      </w:tr>
      <w:tr>
        <w:tc>
          <w:tcPr>
            <w:tcW w:type="dxa" w:w="3331"/>
            <w:vAlign w:val="center"/>
          </w:tcPr>
          <w:p>
            <w:pPr>
              <w:spacing w:before="40" w:after="40"/>
            </w:pPr>
            <w:r>
              <w:rPr>
                <w:rFonts w:ascii="Aptos" w:hAnsi="Aptos"/>
                <w:sz w:val="16"/>
              </w:rPr>
              <w:t>15:15–15:20</w:t>
            </w:r>
          </w:p>
        </w:tc>
        <w:tc>
          <w:tcPr>
            <w:tcW w:type="dxa" w:w="3331"/>
            <w:vAlign w:val="center"/>
          </w:tcPr>
          <w:p>
            <w:pPr>
              <w:spacing w:before="40" w:after="40"/>
            </w:pPr>
            <w:r>
              <w:rPr>
                <w:rFonts w:ascii="Aptos" w:hAnsi="Aptos"/>
                <w:sz w:val="16"/>
              </w:rPr>
              <w:t>CAS reference calculation / transition</w:t>
            </w:r>
          </w:p>
        </w:tc>
        <w:tc>
          <w:tcPr>
            <w:tcW w:type="dxa" w:w="3331"/>
            <w:vAlign w:val="center"/>
          </w:tcPr>
          <w:p>
            <w:pPr>
              <w:spacing w:before="40" w:after="40"/>
            </w:pPr>
            <w:r>
              <w:rPr>
                <w:rFonts w:ascii="Aptos" w:hAnsi="Aptos"/>
                <w:sz w:val="16"/>
              </w:rPr>
              <w:t>No new automated orders</w:t>
            </w:r>
          </w:p>
        </w:tc>
      </w:tr>
      <w:tr>
        <w:tc>
          <w:tcPr>
            <w:tcW w:type="dxa" w:w="3331"/>
            <w:vAlign w:val="center"/>
          </w:tcPr>
          <w:p>
            <w:pPr>
              <w:spacing w:before="40" w:after="40"/>
            </w:pPr>
            <w:r>
              <w:rPr>
                <w:rFonts w:ascii="Aptos" w:hAnsi="Aptos"/>
                <w:sz w:val="16"/>
              </w:rPr>
              <w:t>15:20–15:25</w:t>
            </w:r>
          </w:p>
        </w:tc>
        <w:tc>
          <w:tcPr>
            <w:tcW w:type="dxa" w:w="3331"/>
            <w:vAlign w:val="center"/>
          </w:tcPr>
          <w:p>
            <w:pPr>
              <w:spacing w:before="40" w:after="40"/>
            </w:pPr>
            <w:r>
              <w:rPr>
                <w:rFonts w:ascii="Aptos" w:hAnsi="Aptos"/>
                <w:sz w:val="16"/>
              </w:rPr>
              <w:t>CAS collection</w:t>
            </w:r>
          </w:p>
        </w:tc>
        <w:tc>
          <w:tcPr>
            <w:tcW w:type="dxa" w:w="3331"/>
            <w:vAlign w:val="center"/>
          </w:tcPr>
          <w:p>
            <w:pPr>
              <w:spacing w:before="40" w:after="40"/>
            </w:pPr>
            <w:r>
              <w:rPr>
                <w:rFonts w:ascii="Aptos" w:hAnsi="Aptos"/>
                <w:sz w:val="16"/>
              </w:rPr>
              <w:t>Limit or market subject to broker verification; no stop-loss/iceberg</w:t>
            </w:r>
          </w:p>
        </w:tc>
      </w:tr>
      <w:tr>
        <w:tc>
          <w:tcPr>
            <w:tcW w:type="dxa" w:w="3331"/>
            <w:vAlign w:val="center"/>
          </w:tcPr>
          <w:p>
            <w:pPr>
              <w:spacing w:before="40" w:after="40"/>
            </w:pPr>
            <w:r>
              <w:rPr>
                <w:rFonts w:ascii="Aptos" w:hAnsi="Aptos"/>
                <w:sz w:val="16"/>
              </w:rPr>
              <w:t>15:25–15:28</w:t>
            </w:r>
          </w:p>
        </w:tc>
        <w:tc>
          <w:tcPr>
            <w:tcW w:type="dxa" w:w="3331"/>
            <w:vAlign w:val="center"/>
          </w:tcPr>
          <w:p>
            <w:pPr>
              <w:spacing w:before="40" w:after="40"/>
            </w:pPr>
            <w:r>
              <w:rPr>
                <w:rFonts w:ascii="Aptos" w:hAnsi="Aptos"/>
                <w:sz w:val="16"/>
              </w:rPr>
              <w:t>CAS limit-only entry</w:t>
            </w:r>
          </w:p>
        </w:tc>
        <w:tc>
          <w:tcPr>
            <w:tcW w:type="dxa" w:w="3331"/>
            <w:vAlign w:val="center"/>
          </w:tcPr>
          <w:p>
            <w:pPr>
              <w:spacing w:before="40" w:after="40"/>
            </w:pPr>
            <w:r>
              <w:rPr>
                <w:rFonts w:ascii="Aptos" w:hAnsi="Aptos"/>
                <w:sz w:val="16"/>
              </w:rPr>
              <w:t>Limit only; no market, stop-loss or iceberg</w:t>
            </w:r>
          </w:p>
        </w:tc>
      </w:tr>
      <w:tr>
        <w:tc>
          <w:tcPr>
            <w:tcW w:type="dxa" w:w="3331"/>
            <w:vAlign w:val="center"/>
          </w:tcPr>
          <w:p>
            <w:pPr>
              <w:spacing w:before="40" w:after="40"/>
            </w:pPr>
            <w:r>
              <w:rPr>
                <w:rFonts w:ascii="Aptos" w:hAnsi="Aptos"/>
                <w:sz w:val="16"/>
              </w:rPr>
              <w:t>15:28–15:30</w:t>
            </w:r>
          </w:p>
        </w:tc>
        <w:tc>
          <w:tcPr>
            <w:tcW w:type="dxa" w:w="3331"/>
            <w:vAlign w:val="center"/>
          </w:tcPr>
          <w:p>
            <w:pPr>
              <w:spacing w:before="40" w:after="40"/>
            </w:pPr>
            <w:r>
              <w:rPr>
                <w:rFonts w:ascii="Aptos" w:hAnsi="Aptos"/>
                <w:sz w:val="16"/>
              </w:rPr>
              <w:t>Random close conservatism</w:t>
            </w:r>
          </w:p>
        </w:tc>
        <w:tc>
          <w:tcPr>
            <w:tcW w:type="dxa" w:w="3331"/>
            <w:vAlign w:val="center"/>
          </w:tcPr>
          <w:p>
            <w:pPr>
              <w:spacing w:before="40" w:after="40"/>
            </w:pPr>
            <w:r>
              <w:rPr>
                <w:rFonts w:ascii="Aptos" w:hAnsi="Aptos"/>
                <w:sz w:val="16"/>
              </w:rPr>
              <w:t>Block new orders: exact close is exchange-determined</w:t>
            </w:r>
          </w:p>
        </w:tc>
      </w:tr>
      <w:tr>
        <w:tc>
          <w:tcPr>
            <w:tcW w:type="dxa" w:w="3331"/>
            <w:vAlign w:val="center"/>
          </w:tcPr>
          <w:p>
            <w:pPr>
              <w:spacing w:before="40" w:after="40"/>
            </w:pPr>
            <w:r>
              <w:rPr>
                <w:rFonts w:ascii="Aptos" w:hAnsi="Aptos"/>
                <w:sz w:val="16"/>
              </w:rPr>
              <w:t>15:30–15:35</w:t>
            </w:r>
          </w:p>
        </w:tc>
        <w:tc>
          <w:tcPr>
            <w:tcW w:type="dxa" w:w="3331"/>
            <w:vAlign w:val="center"/>
          </w:tcPr>
          <w:p>
            <w:pPr>
              <w:spacing w:before="40" w:after="40"/>
            </w:pPr>
            <w:r>
              <w:rPr>
                <w:rFonts w:ascii="Aptos" w:hAnsi="Aptos"/>
                <w:sz w:val="16"/>
              </w:rPr>
              <w:t>CAS matching/trade confirmation</w:t>
            </w:r>
          </w:p>
        </w:tc>
        <w:tc>
          <w:tcPr>
            <w:tcW w:type="dxa" w:w="3331"/>
            <w:vAlign w:val="center"/>
          </w:tcPr>
          <w:p>
            <w:pPr>
              <w:spacing w:before="40" w:after="40"/>
            </w:pPr>
            <w:r>
              <w:rPr>
                <w:rFonts w:ascii="Aptos" w:hAnsi="Aptos"/>
                <w:sz w:val="16"/>
              </w:rPr>
              <w:t>No new entries</w:t>
            </w:r>
          </w:p>
        </w:tc>
      </w:tr>
      <w:tr>
        <w:tc>
          <w:tcPr>
            <w:tcW w:type="dxa" w:w="3331"/>
            <w:vAlign w:val="center"/>
          </w:tcPr>
          <w:p>
            <w:pPr>
              <w:spacing w:before="40" w:after="40"/>
            </w:pPr>
            <w:r>
              <w:rPr>
                <w:rFonts w:ascii="Aptos" w:hAnsi="Aptos"/>
                <w:sz w:val="16"/>
              </w:rPr>
              <w:t>15:35–15:50</w:t>
            </w:r>
          </w:p>
        </w:tc>
        <w:tc>
          <w:tcPr>
            <w:tcW w:type="dxa" w:w="3331"/>
            <w:vAlign w:val="center"/>
          </w:tcPr>
          <w:p>
            <w:pPr>
              <w:spacing w:before="40" w:after="40"/>
            </w:pPr>
            <w:r>
              <w:rPr>
                <w:rFonts w:ascii="Aptos" w:hAnsi="Aptos"/>
                <w:sz w:val="16"/>
              </w:rPr>
              <w:t>CAS transition</w:t>
            </w:r>
          </w:p>
        </w:tc>
        <w:tc>
          <w:tcPr>
            <w:tcW w:type="dxa" w:w="3331"/>
            <w:vAlign w:val="center"/>
          </w:tcPr>
          <w:p>
            <w:pPr>
              <w:spacing w:before="40" w:after="40"/>
            </w:pPr>
            <w:r>
              <w:rPr>
                <w:rFonts w:ascii="Aptos" w:hAnsi="Aptos"/>
                <w:sz w:val="16"/>
              </w:rPr>
              <w:t>No automated new entries</w:t>
            </w:r>
          </w:p>
        </w:tc>
      </w:tr>
      <w:tr>
        <w:tc>
          <w:tcPr>
            <w:tcW w:type="dxa" w:w="3331"/>
            <w:vAlign w:val="center"/>
          </w:tcPr>
          <w:p>
            <w:pPr>
              <w:spacing w:before="40" w:after="40"/>
            </w:pPr>
            <w:r>
              <w:rPr>
                <w:rFonts w:ascii="Aptos" w:hAnsi="Aptos"/>
                <w:sz w:val="16"/>
              </w:rPr>
              <w:t>15:50–16:00</w:t>
            </w:r>
          </w:p>
        </w:tc>
        <w:tc>
          <w:tcPr>
            <w:tcW w:type="dxa" w:w="3331"/>
            <w:vAlign w:val="center"/>
          </w:tcPr>
          <w:p>
            <w:pPr>
              <w:spacing w:before="40" w:after="40"/>
            </w:pPr>
            <w:r>
              <w:rPr>
                <w:rFonts w:ascii="Aptos" w:hAnsi="Aptos"/>
                <w:sz w:val="16"/>
              </w:rPr>
              <w:t>Post-close CAS cash</w:t>
            </w:r>
          </w:p>
        </w:tc>
        <w:tc>
          <w:tcPr>
            <w:tcW w:type="dxa" w:w="3331"/>
            <w:vAlign w:val="center"/>
          </w:tcPr>
          <w:p>
            <w:pPr>
              <w:spacing w:before="40" w:after="40"/>
            </w:pPr>
            <w:r>
              <w:rPr>
                <w:rFonts w:ascii="Aptos" w:hAnsi="Aptos"/>
                <w:sz w:val="16"/>
              </w:rPr>
              <w:t>Unsupported for automation until separately licensed/approved</w:t>
            </w:r>
          </w:p>
        </w:tc>
      </w:tr>
      <w:tr>
        <w:tc>
          <w:tcPr>
            <w:tcW w:type="dxa" w:w="3331"/>
            <w:vAlign w:val="center"/>
          </w:tcPr>
          <w:p>
            <w:pPr>
              <w:spacing w:before="40" w:after="40"/>
            </w:pPr>
            <w:r>
              <w:rPr>
                <w:rFonts w:ascii="Aptos" w:hAnsi="Aptos"/>
                <w:sz w:val="16"/>
              </w:rPr>
              <w:t>09:15–15:30</w:t>
            </w:r>
          </w:p>
        </w:tc>
        <w:tc>
          <w:tcPr>
            <w:tcW w:type="dxa" w:w="3331"/>
            <w:vAlign w:val="center"/>
          </w:tcPr>
          <w:p>
            <w:pPr>
              <w:spacing w:before="40" w:after="40"/>
            </w:pPr>
            <w:r>
              <w:rPr>
                <w:rFonts w:ascii="Aptos" w:hAnsi="Aptos"/>
                <w:sz w:val="16"/>
              </w:rPr>
              <w:t>Non-CAS cash equities</w:t>
            </w:r>
          </w:p>
        </w:tc>
        <w:tc>
          <w:tcPr>
            <w:tcW w:type="dxa" w:w="3331"/>
            <w:vAlign w:val="center"/>
          </w:tcPr>
          <w:p>
            <w:pPr>
              <w:spacing w:before="40" w:after="40"/>
            </w:pPr>
            <w:r>
              <w:rPr>
                <w:rFonts w:ascii="Aptos" w:hAnsi="Aptos"/>
                <w:sz w:val="16"/>
              </w:rPr>
              <w:t>Regular continuous trading</w:t>
            </w:r>
          </w:p>
        </w:tc>
      </w:tr>
      <w:tr>
        <w:tc>
          <w:tcPr>
            <w:tcW w:type="dxa" w:w="3331"/>
            <w:vAlign w:val="center"/>
          </w:tcPr>
          <w:p>
            <w:pPr>
              <w:spacing w:before="40" w:after="40"/>
            </w:pPr>
            <w:r>
              <w:rPr>
                <w:rFonts w:ascii="Aptos" w:hAnsi="Aptos"/>
                <w:sz w:val="16"/>
              </w:rPr>
              <w:t>09:15–15:40</w:t>
            </w:r>
          </w:p>
        </w:tc>
        <w:tc>
          <w:tcPr>
            <w:tcW w:type="dxa" w:w="3331"/>
            <w:vAlign w:val="center"/>
          </w:tcPr>
          <w:p>
            <w:pPr>
              <w:spacing w:before="40" w:after="40"/>
            </w:pPr>
            <w:r>
              <w:rPr>
                <w:rFonts w:ascii="Aptos" w:hAnsi="Aptos"/>
                <w:sz w:val="16"/>
              </w:rPr>
              <w:t>Equity derivatives</w:t>
            </w:r>
          </w:p>
        </w:tc>
        <w:tc>
          <w:tcPr>
            <w:tcW w:type="dxa" w:w="3331"/>
            <w:vAlign w:val="center"/>
          </w:tcPr>
          <w:p>
            <w:pPr>
              <w:spacing w:before="40" w:after="40"/>
            </w:pPr>
            <w:r>
              <w:rPr>
                <w:rFonts w:ascii="Aptos" w:hAnsi="Aptos"/>
                <w:sz w:val="16"/>
              </w:rPr>
              <w:t>Regular derivatives trading; independent expiry/broker rules</w:t>
            </w:r>
          </w:p>
        </w:tc>
      </w:tr>
    </w:tbl>
    <w:p>
      <w:pPr>
        <w:pStyle w:val="V714Small"/>
      </w:pPr>
    </w:p>
    <w:p>
      <w:pPr>
        <w:pStyle w:val="V714Text"/>
      </w:pPr>
      <w:r>
        <w:t>CAS reference price derives from 15:00–15:15 VWAP (official rule); do not synthesize close prices as if a normal 15:30 continuous-trading candle existed for CAS stocks. Stop-loss orders are not permitted in CAS; protective-exit escalation must not mistakenly place a prohibited CAS stop order. The offline phase classifier is a conservative reference ONLY: actual CAS membership and calendar_open must be verified from effective-dated authoritative data.</w:t>
      </w:r>
    </w:p>
    <w:p>
      <w:pPr>
        <w:pStyle w:val="V714Head"/>
      </w:pPr>
      <w:r>
        <w:t>6 | N08: eligibility and signal-strength controls</w:t>
      </w:r>
    </w:p>
    <w:p>
      <w:pPr>
        <w:pStyle w:val="V714Text"/>
      </w:pPr>
      <w:r>
        <w:t>A numerical ActionableScore is NOT permission to place a trade. For an actionable research/trade candidate require: valid licensed source, sealed candle, no unresolved Level-1 gate, versioned strategy approval, DataConfidence &gt;= approved strategy minimum, and Signal/ResearchConfidence &gt;= approved strategy minimum. Missing, stale, unapproved or non-boolean preconditions yield NO_ACTION; do not promote a neutralized estimate into trade eligibility. Research rankings and execution authority remain strictly separate.</w:t>
      </w:r>
    </w:p>
    <w:p>
      <w:pPr>
        <w:pStyle w:val="V714Code"/>
      </w:pPr>
      <w:r>
        <w:t>TradeSignalEligible = LicensedSource AND SealedData AND NoHardGate AND ApprovedStrategy AND (DC &gt;= MinimumDC) AND (SignalConfidence &gt;= MinimumConfidence)</w:t>
      </w:r>
    </w:p>
    <w:p>
      <w:pPr>
        <w:pStyle w:val="V714Head"/>
      </w:pPr>
      <w:r>
        <w:t>7 | N11: canonical callable formula registry and synthetic vectors</w:t>
      </w:r>
    </w:p>
    <w:p>
      <w:pPr>
        <w:pStyle w:val="V714Text"/>
      </w:pPr>
      <w:r>
        <w:t>The delivered registry has 26 whitelisted function-call expression nodes with named arguments and an executable offline reference dispatcher. It does not use Python eval. All 26 have one deterministic synthetic normal-input vector; missing required arguments are separately tested. These expressions are NOT an independently verified accounting engine, empirical parameter calibration, unit-safe market data parser or approved trading model.</w:t>
      </w:r>
    </w:p>
    <w:p>
      <w:pPr>
        <w:pStyle w:val="V714Text"/>
      </w:pPr>
      <w:r>
        <w:t>Production approval still requires currency/unit/scope schemas, point-in-time source lineage, complete denominator/negative-base/missing-data/property test suites, formula-change hash/version checks, statistical calibration and independent financial review. The workflow identity reference is not a mathematical valuation formula.</w:t>
      </w:r>
    </w:p>
    <w:tbl>
      <w:tblPr>
        <w:tblStyle w:val="TableGrid"/>
        <w:tblW w:type="auto" w:w="0"/>
        <w:jc w:val="center"/>
        <w:tblLook w:firstColumn="1" w:firstRow="1" w:lastColumn="0" w:lastRow="0" w:noHBand="0" w:noVBand="1" w:val="04A0"/>
      </w:tblPr>
      <w:tblGrid>
        <w:gridCol w:w="4997"/>
        <w:gridCol w:w="4997"/>
      </w:tblGrid>
      <w:tr>
        <w:trPr>
          <w:tblHeader/>
        </w:trPr>
        <w:tc>
          <w:tcPr>
            <w:tcW w:type="dxa" w:w="4997"/>
            <w:vAlign w:val="center"/>
            <w:shd w:fill="193F56"/>
          </w:tcPr>
          <w:p>
            <w:pPr>
              <w:spacing w:before="40" w:after="40"/>
            </w:pPr>
            <w:r>
              <w:rPr>
                <w:rFonts w:ascii="Aptos" w:hAnsi="Aptos"/>
                <w:b/>
                <w:color w:val="FFFFFF"/>
                <w:sz w:val="16"/>
              </w:rPr>
              <w:t>Formula ID</w:t>
            </w:r>
          </w:p>
        </w:tc>
        <w:tc>
          <w:tcPr>
            <w:tcW w:type="dxa" w:w="4997"/>
            <w:vAlign w:val="center"/>
            <w:shd w:fill="193F56"/>
          </w:tcPr>
          <w:p>
            <w:pPr>
              <w:spacing w:before="40" w:after="40"/>
            </w:pPr>
            <w:r>
              <w:rPr>
                <w:rFonts w:ascii="Aptos" w:hAnsi="Aptos"/>
                <w:b/>
                <w:color w:val="FFFFFF"/>
                <w:sz w:val="16"/>
              </w:rPr>
              <w:t>Execution status</w:t>
            </w:r>
          </w:p>
        </w:tc>
      </w:tr>
      <w:tr>
        <w:tc>
          <w:tcPr>
            <w:tcW w:type="dxa" w:w="4997"/>
            <w:vAlign w:val="center"/>
          </w:tcPr>
          <w:p>
            <w:pPr>
              <w:spacing w:before="40" w:after="40"/>
            </w:pPr>
            <w:r>
              <w:rPr>
                <w:rFonts w:ascii="Aptos" w:hAnsi="Aptos"/>
                <w:sz w:val="16"/>
              </w:rPr>
              <w:t>RELATIVE_DIFFERENCE_V2</w:t>
            </w:r>
          </w:p>
        </w:tc>
        <w:tc>
          <w:tcPr>
            <w:tcW w:type="dxa" w:w="4997"/>
            <w:vAlign w:val="center"/>
          </w:tcPr>
          <w:p>
            <w:pPr>
              <w:spacing w:before="40" w:after="40"/>
            </w:pPr>
            <w:r>
              <w:rPr>
                <w:rFonts w:ascii="Aptos" w:hAnsi="Aptos"/>
                <w:sz w:val="16"/>
              </w:rPr>
              <w:t>OFFLINE REFERENCE ONLY — NOT APPROVED</w:t>
            </w:r>
          </w:p>
        </w:tc>
      </w:tr>
      <w:tr>
        <w:tc>
          <w:tcPr>
            <w:tcW w:type="dxa" w:w="4997"/>
            <w:vAlign w:val="center"/>
          </w:tcPr>
          <w:p>
            <w:pPr>
              <w:spacing w:before="40" w:after="40"/>
            </w:pPr>
            <w:r>
              <w:rPr>
                <w:rFonts w:ascii="Aptos" w:hAnsi="Aptos"/>
                <w:sz w:val="16"/>
              </w:rPr>
              <w:t>DATA_CONFIDENCE_V2</w:t>
            </w:r>
          </w:p>
        </w:tc>
        <w:tc>
          <w:tcPr>
            <w:tcW w:type="dxa" w:w="4997"/>
            <w:vAlign w:val="center"/>
          </w:tcPr>
          <w:p>
            <w:pPr>
              <w:spacing w:before="40" w:after="40"/>
            </w:pPr>
            <w:r>
              <w:rPr>
                <w:rFonts w:ascii="Aptos" w:hAnsi="Aptos"/>
                <w:sz w:val="16"/>
              </w:rPr>
              <w:t>OFFLINE REFERENCE ONLY — NOT APPROVED</w:t>
            </w:r>
          </w:p>
        </w:tc>
      </w:tr>
      <w:tr>
        <w:tc>
          <w:tcPr>
            <w:tcW w:type="dxa" w:w="4997"/>
            <w:vAlign w:val="center"/>
          </w:tcPr>
          <w:p>
            <w:pPr>
              <w:spacing w:before="40" w:after="40"/>
            </w:pPr>
            <w:r>
              <w:rPr>
                <w:rFonts w:ascii="Aptos" w:hAnsi="Aptos"/>
                <w:sz w:val="16"/>
              </w:rPr>
              <w:t>REQUIRED_MEDIAN_ADV_V2</w:t>
            </w:r>
          </w:p>
        </w:tc>
        <w:tc>
          <w:tcPr>
            <w:tcW w:type="dxa" w:w="4997"/>
            <w:vAlign w:val="center"/>
          </w:tcPr>
          <w:p>
            <w:pPr>
              <w:spacing w:before="40" w:after="40"/>
            </w:pPr>
            <w:r>
              <w:rPr>
                <w:rFonts w:ascii="Aptos" w:hAnsi="Aptos"/>
                <w:sz w:val="16"/>
              </w:rPr>
              <w:t>OFFLINE REFERENCE ONLY — NOT APPROVED</w:t>
            </w:r>
          </w:p>
        </w:tc>
      </w:tr>
      <w:tr>
        <w:tc>
          <w:tcPr>
            <w:tcW w:type="dxa" w:w="4997"/>
            <w:vAlign w:val="center"/>
          </w:tcPr>
          <w:p>
            <w:pPr>
              <w:spacing w:before="40" w:after="40"/>
            </w:pPr>
            <w:r>
              <w:rPr>
                <w:rFonts w:ascii="Aptos" w:hAnsi="Aptos"/>
                <w:sz w:val="16"/>
              </w:rPr>
              <w:t>EXIT_DAYS_V2</w:t>
            </w:r>
          </w:p>
        </w:tc>
        <w:tc>
          <w:tcPr>
            <w:tcW w:type="dxa" w:w="4997"/>
            <w:vAlign w:val="center"/>
          </w:tcPr>
          <w:p>
            <w:pPr>
              <w:spacing w:before="40" w:after="40"/>
            </w:pPr>
            <w:r>
              <w:rPr>
                <w:rFonts w:ascii="Aptos" w:hAnsi="Aptos"/>
                <w:sz w:val="16"/>
              </w:rPr>
              <w:t>OFFLINE REFERENCE ONLY — NOT APPROVED</w:t>
            </w:r>
          </w:p>
        </w:tc>
      </w:tr>
      <w:tr>
        <w:tc>
          <w:tcPr>
            <w:tcW w:type="dxa" w:w="4997"/>
            <w:vAlign w:val="center"/>
          </w:tcPr>
          <w:p>
            <w:pPr>
              <w:spacing w:before="40" w:after="40"/>
            </w:pPr>
            <w:r>
              <w:rPr>
                <w:rFonts w:ascii="Aptos" w:hAnsi="Aptos"/>
                <w:sz w:val="16"/>
              </w:rPr>
              <w:t>TRADING_CONTINUITY_V2</w:t>
            </w:r>
          </w:p>
        </w:tc>
        <w:tc>
          <w:tcPr>
            <w:tcW w:type="dxa" w:w="4997"/>
            <w:vAlign w:val="center"/>
          </w:tcPr>
          <w:p>
            <w:pPr>
              <w:spacing w:before="40" w:after="40"/>
            </w:pPr>
            <w:r>
              <w:rPr>
                <w:rFonts w:ascii="Aptos" w:hAnsi="Aptos"/>
                <w:sz w:val="16"/>
              </w:rPr>
              <w:t>OFFLINE REFERENCE ONLY — NOT APPROVED</w:t>
            </w:r>
          </w:p>
        </w:tc>
      </w:tr>
      <w:tr>
        <w:tc>
          <w:tcPr>
            <w:tcW w:type="dxa" w:w="4997"/>
            <w:vAlign w:val="center"/>
          </w:tcPr>
          <w:p>
            <w:pPr>
              <w:spacing w:before="40" w:after="40"/>
            </w:pPr>
            <w:r>
              <w:rPr>
                <w:rFonts w:ascii="Aptos" w:hAnsi="Aptos"/>
                <w:sz w:val="16"/>
              </w:rPr>
              <w:t>COVERAGE_SHRINKAGE_V2</w:t>
            </w:r>
          </w:p>
        </w:tc>
        <w:tc>
          <w:tcPr>
            <w:tcW w:type="dxa" w:w="4997"/>
            <w:vAlign w:val="center"/>
          </w:tcPr>
          <w:p>
            <w:pPr>
              <w:spacing w:before="40" w:after="40"/>
            </w:pPr>
            <w:r>
              <w:rPr>
                <w:rFonts w:ascii="Aptos" w:hAnsi="Aptos"/>
                <w:sz w:val="16"/>
              </w:rPr>
              <w:t>OFFLINE REFERENCE ONLY — NOT APPROVED</w:t>
            </w:r>
          </w:p>
        </w:tc>
      </w:tr>
      <w:tr>
        <w:tc>
          <w:tcPr>
            <w:tcW w:type="dxa" w:w="4997"/>
            <w:vAlign w:val="center"/>
          </w:tcPr>
          <w:p>
            <w:pPr>
              <w:spacing w:before="40" w:after="40"/>
            </w:pPr>
            <w:r>
              <w:rPr>
                <w:rFonts w:ascii="Aptos" w:hAnsi="Aptos"/>
                <w:sz w:val="16"/>
              </w:rPr>
              <w:t>FRESHNESS_FACTOR_V2</w:t>
            </w:r>
          </w:p>
        </w:tc>
        <w:tc>
          <w:tcPr>
            <w:tcW w:type="dxa" w:w="4997"/>
            <w:vAlign w:val="center"/>
          </w:tcPr>
          <w:p>
            <w:pPr>
              <w:spacing w:before="40" w:after="40"/>
            </w:pPr>
            <w:r>
              <w:rPr>
                <w:rFonts w:ascii="Aptos" w:hAnsi="Aptos"/>
                <w:sz w:val="16"/>
              </w:rPr>
              <w:t>OFFLINE REFERENCE ONLY — NOT APPROVED</w:t>
            </w:r>
          </w:p>
        </w:tc>
      </w:tr>
      <w:tr>
        <w:tc>
          <w:tcPr>
            <w:tcW w:type="dxa" w:w="4997"/>
            <w:vAlign w:val="center"/>
          </w:tcPr>
          <w:p>
            <w:pPr>
              <w:spacing w:before="40" w:after="40"/>
            </w:pPr>
            <w:r>
              <w:rPr>
                <w:rFonts w:ascii="Aptos" w:hAnsi="Aptos"/>
                <w:sz w:val="16"/>
              </w:rPr>
              <w:t>CANDIDATE_SCORE_V3</w:t>
            </w:r>
          </w:p>
        </w:tc>
        <w:tc>
          <w:tcPr>
            <w:tcW w:type="dxa" w:w="4997"/>
            <w:vAlign w:val="center"/>
          </w:tcPr>
          <w:p>
            <w:pPr>
              <w:spacing w:before="40" w:after="40"/>
            </w:pPr>
            <w:r>
              <w:rPr>
                <w:rFonts w:ascii="Aptos" w:hAnsi="Aptos"/>
                <w:sz w:val="16"/>
              </w:rPr>
              <w:t>OFFLINE REFERENCE ONLY — NOT APPROVED</w:t>
            </w:r>
          </w:p>
        </w:tc>
      </w:tr>
      <w:tr>
        <w:tc>
          <w:tcPr>
            <w:tcW w:type="dxa" w:w="4997"/>
            <w:vAlign w:val="center"/>
          </w:tcPr>
          <w:p>
            <w:pPr>
              <w:spacing w:before="40" w:after="40"/>
            </w:pPr>
            <w:r>
              <w:rPr>
                <w:rFonts w:ascii="Aptos" w:hAnsi="Aptos"/>
                <w:sz w:val="16"/>
              </w:rPr>
              <w:t>CFO_CONVERSION_V2</w:t>
            </w:r>
          </w:p>
        </w:tc>
        <w:tc>
          <w:tcPr>
            <w:tcW w:type="dxa" w:w="4997"/>
            <w:vAlign w:val="center"/>
          </w:tcPr>
          <w:p>
            <w:pPr>
              <w:spacing w:before="40" w:after="40"/>
            </w:pPr>
            <w:r>
              <w:rPr>
                <w:rFonts w:ascii="Aptos" w:hAnsi="Aptos"/>
                <w:sz w:val="16"/>
              </w:rPr>
              <w:t>OFFLINE REFERENCE ONLY — NOT APPROVED</w:t>
            </w:r>
          </w:p>
        </w:tc>
      </w:tr>
      <w:tr>
        <w:tc>
          <w:tcPr>
            <w:tcW w:type="dxa" w:w="4997"/>
            <w:vAlign w:val="center"/>
          </w:tcPr>
          <w:p>
            <w:pPr>
              <w:spacing w:before="40" w:after="40"/>
            </w:pPr>
            <w:r>
              <w:rPr>
                <w:rFonts w:ascii="Aptos" w:hAnsi="Aptos"/>
                <w:sz w:val="16"/>
              </w:rPr>
              <w:t>FCF_CONVERSION_V2</w:t>
            </w:r>
          </w:p>
        </w:tc>
        <w:tc>
          <w:tcPr>
            <w:tcW w:type="dxa" w:w="4997"/>
            <w:vAlign w:val="center"/>
          </w:tcPr>
          <w:p>
            <w:pPr>
              <w:spacing w:before="40" w:after="40"/>
            </w:pPr>
            <w:r>
              <w:rPr>
                <w:rFonts w:ascii="Aptos" w:hAnsi="Aptos"/>
                <w:sz w:val="16"/>
              </w:rPr>
              <w:t>OFFLINE REFERENCE ONLY — NOT APPROVED</w:t>
            </w:r>
          </w:p>
        </w:tc>
      </w:tr>
      <w:tr>
        <w:tc>
          <w:tcPr>
            <w:tcW w:type="dxa" w:w="4997"/>
            <w:vAlign w:val="center"/>
          </w:tcPr>
          <w:p>
            <w:pPr>
              <w:spacing w:before="40" w:after="40"/>
            </w:pPr>
            <w:r>
              <w:rPr>
                <w:rFonts w:ascii="Aptos" w:hAnsi="Aptos"/>
                <w:sz w:val="16"/>
              </w:rPr>
              <w:t>ACCRUAL_RATIO_V2</w:t>
            </w:r>
          </w:p>
        </w:tc>
        <w:tc>
          <w:tcPr>
            <w:tcW w:type="dxa" w:w="4997"/>
            <w:vAlign w:val="center"/>
          </w:tcPr>
          <w:p>
            <w:pPr>
              <w:spacing w:before="40" w:after="40"/>
            </w:pPr>
            <w:r>
              <w:rPr>
                <w:rFonts w:ascii="Aptos" w:hAnsi="Aptos"/>
                <w:sz w:val="16"/>
              </w:rPr>
              <w:t>OFFLINE REFERENCE ONLY — NOT APPROVED</w:t>
            </w:r>
          </w:p>
        </w:tc>
      </w:tr>
      <w:tr>
        <w:tc>
          <w:tcPr>
            <w:tcW w:type="dxa" w:w="4997"/>
            <w:vAlign w:val="center"/>
          </w:tcPr>
          <w:p>
            <w:pPr>
              <w:spacing w:before="40" w:after="40"/>
            </w:pPr>
            <w:r>
              <w:rPr>
                <w:rFonts w:ascii="Aptos" w:hAnsi="Aptos"/>
                <w:sz w:val="16"/>
              </w:rPr>
              <w:t>PER_SHARE_CAGR_V2</w:t>
            </w:r>
          </w:p>
        </w:tc>
        <w:tc>
          <w:tcPr>
            <w:tcW w:type="dxa" w:w="4997"/>
            <w:vAlign w:val="center"/>
          </w:tcPr>
          <w:p>
            <w:pPr>
              <w:spacing w:before="40" w:after="40"/>
            </w:pPr>
            <w:r>
              <w:rPr>
                <w:rFonts w:ascii="Aptos" w:hAnsi="Aptos"/>
                <w:sz w:val="16"/>
              </w:rPr>
              <w:t>OFFLINE REFERENCE ONLY — NOT APPROVED</w:t>
            </w:r>
          </w:p>
        </w:tc>
      </w:tr>
      <w:tr>
        <w:tc>
          <w:tcPr>
            <w:tcW w:type="dxa" w:w="4997"/>
            <w:vAlign w:val="center"/>
          </w:tcPr>
          <w:p>
            <w:pPr>
              <w:spacing w:before="40" w:after="40"/>
            </w:pPr>
            <w:r>
              <w:rPr>
                <w:rFonts w:ascii="Aptos" w:hAnsi="Aptos"/>
                <w:sz w:val="16"/>
              </w:rPr>
              <w:t>VALUE_QUALITY_ADJUSTMENT_V2</w:t>
            </w:r>
          </w:p>
        </w:tc>
        <w:tc>
          <w:tcPr>
            <w:tcW w:type="dxa" w:w="4997"/>
            <w:vAlign w:val="center"/>
          </w:tcPr>
          <w:p>
            <w:pPr>
              <w:spacing w:before="40" w:after="40"/>
            </w:pPr>
            <w:r>
              <w:rPr>
                <w:rFonts w:ascii="Aptos" w:hAnsi="Aptos"/>
                <w:sz w:val="16"/>
              </w:rPr>
              <w:t>OFFLINE REFERENCE ONLY — NOT APPROVED</w:t>
            </w:r>
          </w:p>
        </w:tc>
      </w:tr>
      <w:tr>
        <w:tc>
          <w:tcPr>
            <w:tcW w:type="dxa" w:w="4997"/>
            <w:vAlign w:val="center"/>
          </w:tcPr>
          <w:p>
            <w:pPr>
              <w:spacing w:before="40" w:after="40"/>
            </w:pPr>
            <w:r>
              <w:rPr>
                <w:rFonts w:ascii="Aptos" w:hAnsi="Aptos"/>
                <w:sz w:val="16"/>
              </w:rPr>
              <w:t>ROIIC_V2</w:t>
            </w:r>
          </w:p>
        </w:tc>
        <w:tc>
          <w:tcPr>
            <w:tcW w:type="dxa" w:w="4997"/>
            <w:vAlign w:val="center"/>
          </w:tcPr>
          <w:p>
            <w:pPr>
              <w:spacing w:before="40" w:after="40"/>
            </w:pPr>
            <w:r>
              <w:rPr>
                <w:rFonts w:ascii="Aptos" w:hAnsi="Aptos"/>
                <w:sz w:val="16"/>
              </w:rPr>
              <w:t>OFFLINE REFERENCE ONLY — NOT APPROVED</w:t>
            </w:r>
          </w:p>
        </w:tc>
      </w:tr>
      <w:tr>
        <w:tc>
          <w:tcPr>
            <w:tcW w:type="dxa" w:w="4997"/>
            <w:vAlign w:val="center"/>
          </w:tcPr>
          <w:p>
            <w:pPr>
              <w:spacing w:before="40" w:after="40"/>
            </w:pPr>
            <w:r>
              <w:rPr>
                <w:rFonts w:ascii="Aptos" w:hAnsi="Aptos"/>
                <w:sz w:val="16"/>
              </w:rPr>
              <w:t>COMPOSITE_RANK_V2</w:t>
            </w:r>
          </w:p>
        </w:tc>
        <w:tc>
          <w:tcPr>
            <w:tcW w:type="dxa" w:w="4997"/>
            <w:vAlign w:val="center"/>
          </w:tcPr>
          <w:p>
            <w:pPr>
              <w:spacing w:before="40" w:after="40"/>
            </w:pPr>
            <w:r>
              <w:rPr>
                <w:rFonts w:ascii="Aptos" w:hAnsi="Aptos"/>
                <w:sz w:val="16"/>
              </w:rPr>
              <w:t>OFFLINE REFERENCE ONLY — NOT APPROVED</w:t>
            </w:r>
          </w:p>
        </w:tc>
      </w:tr>
      <w:tr>
        <w:tc>
          <w:tcPr>
            <w:tcW w:type="dxa" w:w="4997"/>
            <w:vAlign w:val="center"/>
          </w:tcPr>
          <w:p>
            <w:pPr>
              <w:spacing w:before="40" w:after="40"/>
            </w:pPr>
            <w:r>
              <w:rPr>
                <w:rFonts w:ascii="Aptos" w:hAnsi="Aptos"/>
                <w:sz w:val="16"/>
              </w:rPr>
              <w:t>PROMOTION_SCORE_V2</w:t>
            </w:r>
          </w:p>
        </w:tc>
        <w:tc>
          <w:tcPr>
            <w:tcW w:type="dxa" w:w="4997"/>
            <w:vAlign w:val="center"/>
          </w:tcPr>
          <w:p>
            <w:pPr>
              <w:spacing w:before="40" w:after="40"/>
            </w:pPr>
            <w:r>
              <w:rPr>
                <w:rFonts w:ascii="Aptos" w:hAnsi="Aptos"/>
                <w:sz w:val="16"/>
              </w:rPr>
              <w:t>OFFLINE REFERENCE ONLY — NOT APPROVED</w:t>
            </w:r>
          </w:p>
        </w:tc>
      </w:tr>
      <w:tr>
        <w:tc>
          <w:tcPr>
            <w:tcW w:type="dxa" w:w="4997"/>
            <w:vAlign w:val="center"/>
          </w:tcPr>
          <w:p>
            <w:pPr>
              <w:spacing w:before="40" w:after="40"/>
            </w:pPr>
            <w:r>
              <w:rPr>
                <w:rFonts w:ascii="Aptos" w:hAnsi="Aptos"/>
                <w:sz w:val="16"/>
              </w:rPr>
              <w:t>RESEARCH_SCORE_V3</w:t>
            </w:r>
          </w:p>
        </w:tc>
        <w:tc>
          <w:tcPr>
            <w:tcW w:type="dxa" w:w="4997"/>
            <w:vAlign w:val="center"/>
          </w:tcPr>
          <w:p>
            <w:pPr>
              <w:spacing w:before="40" w:after="40"/>
            </w:pPr>
            <w:r>
              <w:rPr>
                <w:rFonts w:ascii="Aptos" w:hAnsi="Aptos"/>
                <w:sz w:val="16"/>
              </w:rPr>
              <w:t>OFFLINE REFERENCE ONLY — NOT APPROVED</w:t>
            </w:r>
          </w:p>
        </w:tc>
      </w:tr>
      <w:tr>
        <w:tc>
          <w:tcPr>
            <w:tcW w:type="dxa" w:w="4997"/>
            <w:vAlign w:val="center"/>
          </w:tcPr>
          <w:p>
            <w:pPr>
              <w:spacing w:before="40" w:after="40"/>
            </w:pPr>
            <w:r>
              <w:rPr>
                <w:rFonts w:ascii="Aptos" w:hAnsi="Aptos"/>
                <w:sz w:val="16"/>
              </w:rPr>
              <w:t>WEIGHTED_FAIR_VALUE_V2</w:t>
            </w:r>
          </w:p>
        </w:tc>
        <w:tc>
          <w:tcPr>
            <w:tcW w:type="dxa" w:w="4997"/>
            <w:vAlign w:val="center"/>
          </w:tcPr>
          <w:p>
            <w:pPr>
              <w:spacing w:before="40" w:after="40"/>
            </w:pPr>
            <w:r>
              <w:rPr>
                <w:rFonts w:ascii="Aptos" w:hAnsi="Aptos"/>
                <w:sz w:val="16"/>
              </w:rPr>
              <w:t>OFFLINE REFERENCE ONLY — NOT APPROVED</w:t>
            </w:r>
          </w:p>
        </w:tc>
      </w:tr>
      <w:tr>
        <w:tc>
          <w:tcPr>
            <w:tcW w:type="dxa" w:w="4997"/>
            <w:vAlign w:val="center"/>
          </w:tcPr>
          <w:p>
            <w:pPr>
              <w:spacing w:before="40" w:after="40"/>
            </w:pPr>
            <w:r>
              <w:rPr>
                <w:rFonts w:ascii="Aptos" w:hAnsi="Aptos"/>
                <w:sz w:val="16"/>
              </w:rPr>
              <w:t>EXPECTED_ANNUAL_RETURN_V2</w:t>
            </w:r>
          </w:p>
        </w:tc>
        <w:tc>
          <w:tcPr>
            <w:tcW w:type="dxa" w:w="4997"/>
            <w:vAlign w:val="center"/>
          </w:tcPr>
          <w:p>
            <w:pPr>
              <w:spacing w:before="40" w:after="40"/>
            </w:pPr>
            <w:r>
              <w:rPr>
                <w:rFonts w:ascii="Aptos" w:hAnsi="Aptos"/>
                <w:sz w:val="16"/>
              </w:rPr>
              <w:t>OFFLINE REFERENCE ONLY — NOT APPROVED</w:t>
            </w:r>
          </w:p>
        </w:tc>
      </w:tr>
      <w:tr>
        <w:tc>
          <w:tcPr>
            <w:tcW w:type="dxa" w:w="4997"/>
            <w:vAlign w:val="center"/>
          </w:tcPr>
          <w:p>
            <w:pPr>
              <w:spacing w:before="40" w:after="40"/>
            </w:pPr>
            <w:r>
              <w:rPr>
                <w:rFonts w:ascii="Aptos" w:hAnsi="Aptos"/>
                <w:sz w:val="16"/>
              </w:rPr>
              <w:t>HORIZON_SCORE_V2</w:t>
            </w:r>
          </w:p>
        </w:tc>
        <w:tc>
          <w:tcPr>
            <w:tcW w:type="dxa" w:w="4997"/>
            <w:vAlign w:val="center"/>
          </w:tcPr>
          <w:p>
            <w:pPr>
              <w:spacing w:before="40" w:after="40"/>
            </w:pPr>
            <w:r>
              <w:rPr>
                <w:rFonts w:ascii="Aptos" w:hAnsi="Aptos"/>
                <w:sz w:val="16"/>
              </w:rPr>
              <w:t>OFFLINE REFERENCE ONLY — NOT APPROVED</w:t>
            </w:r>
          </w:p>
        </w:tc>
      </w:tr>
      <w:tr>
        <w:tc>
          <w:tcPr>
            <w:tcW w:type="dxa" w:w="4997"/>
            <w:vAlign w:val="center"/>
          </w:tcPr>
          <w:p>
            <w:pPr>
              <w:spacing w:before="40" w:after="40"/>
            </w:pPr>
            <w:r>
              <w:rPr>
                <w:rFonts w:ascii="Aptos" w:hAnsi="Aptos"/>
                <w:sz w:val="16"/>
              </w:rPr>
              <w:t>SIGNAL_CONFIDENCE_V3</w:t>
            </w:r>
          </w:p>
        </w:tc>
        <w:tc>
          <w:tcPr>
            <w:tcW w:type="dxa" w:w="4997"/>
            <w:vAlign w:val="center"/>
          </w:tcPr>
          <w:p>
            <w:pPr>
              <w:spacing w:before="40" w:after="40"/>
            </w:pPr>
            <w:r>
              <w:rPr>
                <w:rFonts w:ascii="Aptos" w:hAnsi="Aptos"/>
                <w:sz w:val="16"/>
              </w:rPr>
              <w:t>OFFLINE REFERENCE ONLY — NOT APPROVED</w:t>
            </w:r>
          </w:p>
        </w:tc>
      </w:tr>
      <w:tr>
        <w:tc>
          <w:tcPr>
            <w:tcW w:type="dxa" w:w="4997"/>
            <w:vAlign w:val="center"/>
          </w:tcPr>
          <w:p>
            <w:pPr>
              <w:spacing w:before="40" w:after="40"/>
            </w:pPr>
            <w:r>
              <w:rPr>
                <w:rFonts w:ascii="Aptos" w:hAnsi="Aptos"/>
                <w:sz w:val="16"/>
              </w:rPr>
              <w:t>FINAL_HSS_V3</w:t>
            </w:r>
          </w:p>
        </w:tc>
        <w:tc>
          <w:tcPr>
            <w:tcW w:type="dxa" w:w="4997"/>
            <w:vAlign w:val="center"/>
          </w:tcPr>
          <w:p>
            <w:pPr>
              <w:spacing w:before="40" w:after="40"/>
            </w:pPr>
            <w:r>
              <w:rPr>
                <w:rFonts w:ascii="Aptos" w:hAnsi="Aptos"/>
                <w:sz w:val="16"/>
              </w:rPr>
              <w:t>OFFLINE REFERENCE ONLY — NOT APPROVED</w:t>
            </w:r>
          </w:p>
        </w:tc>
      </w:tr>
      <w:tr>
        <w:tc>
          <w:tcPr>
            <w:tcW w:type="dxa" w:w="4997"/>
            <w:vAlign w:val="center"/>
          </w:tcPr>
          <w:p>
            <w:pPr>
              <w:spacing w:before="40" w:after="40"/>
            </w:pPr>
            <w:r>
              <w:rPr>
                <w:rFonts w:ascii="Aptos" w:hAnsi="Aptos"/>
                <w:sz w:val="16"/>
              </w:rPr>
              <w:t>ALIGNMENT_SCORE_V2</w:t>
            </w:r>
          </w:p>
        </w:tc>
        <w:tc>
          <w:tcPr>
            <w:tcW w:type="dxa" w:w="4997"/>
            <w:vAlign w:val="center"/>
          </w:tcPr>
          <w:p>
            <w:pPr>
              <w:spacing w:before="40" w:after="40"/>
            </w:pPr>
            <w:r>
              <w:rPr>
                <w:rFonts w:ascii="Aptos" w:hAnsi="Aptos"/>
                <w:sz w:val="16"/>
              </w:rPr>
              <w:t>OFFLINE REFERENCE ONLY — NOT APPROVED</w:t>
            </w:r>
          </w:p>
        </w:tc>
      </w:tr>
      <w:tr>
        <w:tc>
          <w:tcPr>
            <w:tcW w:type="dxa" w:w="4997"/>
            <w:vAlign w:val="center"/>
          </w:tcPr>
          <w:p>
            <w:pPr>
              <w:spacing w:before="40" w:after="40"/>
            </w:pPr>
            <w:r>
              <w:rPr>
                <w:rFonts w:ascii="Aptos" w:hAnsi="Aptos"/>
                <w:sz w:val="16"/>
              </w:rPr>
              <w:t>POSITION_SUITABILITY_V2</w:t>
            </w:r>
          </w:p>
        </w:tc>
        <w:tc>
          <w:tcPr>
            <w:tcW w:type="dxa" w:w="4997"/>
            <w:vAlign w:val="center"/>
          </w:tcPr>
          <w:p>
            <w:pPr>
              <w:spacing w:before="40" w:after="40"/>
            </w:pPr>
            <w:r>
              <w:rPr>
                <w:rFonts w:ascii="Aptos" w:hAnsi="Aptos"/>
                <w:sz w:val="16"/>
              </w:rPr>
              <w:t>OFFLINE REFERENCE ONLY — NOT APPROVED</w:t>
            </w:r>
          </w:p>
        </w:tc>
      </w:tr>
      <w:tr>
        <w:tc>
          <w:tcPr>
            <w:tcW w:type="dxa" w:w="4997"/>
            <w:vAlign w:val="center"/>
          </w:tcPr>
          <w:p>
            <w:pPr>
              <w:spacing w:before="40" w:after="40"/>
            </w:pPr>
            <w:r>
              <w:rPr>
                <w:rFonts w:ascii="Aptos" w:hAnsi="Aptos"/>
                <w:sz w:val="16"/>
              </w:rPr>
              <w:t>POSITION_SIZING_V4</w:t>
            </w:r>
          </w:p>
        </w:tc>
        <w:tc>
          <w:tcPr>
            <w:tcW w:type="dxa" w:w="4997"/>
            <w:vAlign w:val="center"/>
          </w:tcPr>
          <w:p>
            <w:pPr>
              <w:spacing w:before="40" w:after="40"/>
            </w:pPr>
            <w:r>
              <w:rPr>
                <w:rFonts w:ascii="Aptos" w:hAnsi="Aptos"/>
                <w:sz w:val="16"/>
              </w:rPr>
              <w:t>OFFLINE REFERENCE ONLY — NOT APPROVED</w:t>
            </w:r>
          </w:p>
        </w:tc>
      </w:tr>
      <w:tr>
        <w:tc>
          <w:tcPr>
            <w:tcW w:type="dxa" w:w="4997"/>
            <w:vAlign w:val="center"/>
          </w:tcPr>
          <w:p>
            <w:pPr>
              <w:spacing w:before="40" w:after="40"/>
            </w:pPr>
            <w:r>
              <w:rPr>
                <w:rFonts w:ascii="Aptos" w:hAnsi="Aptos"/>
                <w:sz w:val="16"/>
              </w:rPr>
              <w:t>ORDER_INTENT_IDEMPOTENCY_V4</w:t>
            </w:r>
          </w:p>
        </w:tc>
        <w:tc>
          <w:tcPr>
            <w:tcW w:type="dxa" w:w="4997"/>
            <w:vAlign w:val="center"/>
          </w:tcPr>
          <w:p>
            <w:pPr>
              <w:spacing w:before="40" w:after="40"/>
            </w:pPr>
            <w:r>
              <w:rPr>
                <w:rFonts w:ascii="Aptos" w:hAnsi="Aptos"/>
                <w:sz w:val="16"/>
              </w:rPr>
              <w:t>OFFLINE REFERENCE ONLY — NOT APPROVED</w:t>
            </w:r>
          </w:p>
        </w:tc>
      </w:tr>
    </w:tbl>
    <w:p>
      <w:pPr>
        <w:pStyle w:val="V714Small"/>
      </w:pPr>
    </w:p>
    <w:p>
      <w:pPr>
        <w:pStyle w:val="V714Head"/>
      </w:pPr>
      <w:r>
        <w:t>8 | N12: measurable release and operating evidence</w:t>
      </w:r>
    </w:p>
    <w:p>
      <w:pPr>
        <w:pStyle w:val="V714Text"/>
      </w:pPr>
      <w:r>
        <w:t>The package contains an unapproved gate manifest. Any strategy-specific performance or operational field without a reviewed threshold, test period, source entitlement, approving identity or measurable evidence is UNKNOWN -&gt; FAIL. No default 60-session paper-trading sample, arbitrary latency, accuracy or profitability criterion may be interpreted as certified. Release requires historical delisted/PIT data; source licenses; calibrated feed SLO and symbol freshness; risk/stop/loss limits; OOS walk-forward; stress fill simulation; paper/live sandbox; independent broker algo permissions; backup restore; incident runbooks; intrusion review and human sign-off.</w:t>
      </w:r>
    </w:p>
    <w:tbl>
      <w:tblPr>
        <w:tblStyle w:val="TableGrid"/>
        <w:tblW w:type="auto" w:w="0"/>
        <w:jc w:val="center"/>
        <w:tblLook w:firstColumn="1" w:firstRow="1" w:lastColumn="0" w:lastRow="0" w:noHBand="0" w:noVBand="1" w:val="04A0"/>
      </w:tblPr>
      <w:tblGrid>
        <w:gridCol w:w="3331"/>
        <w:gridCol w:w="3331"/>
        <w:gridCol w:w="3331"/>
      </w:tblGrid>
      <w:tr>
        <w:trPr>
          <w:tblHeader/>
        </w:trPr>
        <w:tc>
          <w:tcPr>
            <w:tcW w:type="dxa" w:w="3331"/>
            <w:vAlign w:val="center"/>
            <w:shd w:fill="193F56"/>
          </w:tcPr>
          <w:p>
            <w:pPr>
              <w:spacing w:before="40" w:after="40"/>
            </w:pPr>
            <w:r>
              <w:rPr>
                <w:rFonts w:ascii="Aptos" w:hAnsi="Aptos"/>
                <w:b/>
                <w:color w:val="FFFFFF"/>
                <w:sz w:val="16"/>
              </w:rPr>
              <w:t>Evidence area</w:t>
            </w:r>
          </w:p>
        </w:tc>
        <w:tc>
          <w:tcPr>
            <w:tcW w:type="dxa" w:w="3331"/>
            <w:vAlign w:val="center"/>
            <w:shd w:fill="193F56"/>
          </w:tcPr>
          <w:p>
            <w:pPr>
              <w:spacing w:before="40" w:after="40"/>
            </w:pPr>
            <w:r>
              <w:rPr>
                <w:rFonts w:ascii="Aptos" w:hAnsi="Aptos"/>
                <w:b/>
                <w:color w:val="FFFFFF"/>
                <w:sz w:val="16"/>
              </w:rPr>
              <w:t>Requirement</w:t>
            </w:r>
          </w:p>
        </w:tc>
        <w:tc>
          <w:tcPr>
            <w:tcW w:type="dxa" w:w="3331"/>
            <w:vAlign w:val="center"/>
            <w:shd w:fill="193F56"/>
          </w:tcPr>
          <w:p>
            <w:pPr>
              <w:spacing w:before="40" w:after="40"/>
            </w:pPr>
            <w:r>
              <w:rPr>
                <w:rFonts w:ascii="Aptos" w:hAnsi="Aptos"/>
                <w:b/>
                <w:color w:val="FFFFFF"/>
                <w:sz w:val="16"/>
              </w:rPr>
              <w:t>Current state</w:t>
            </w:r>
          </w:p>
        </w:tc>
      </w:tr>
      <w:tr>
        <w:tc>
          <w:tcPr>
            <w:tcW w:type="dxa" w:w="3331"/>
            <w:vAlign w:val="center"/>
          </w:tcPr>
          <w:p>
            <w:pPr>
              <w:spacing w:before="40" w:after="40"/>
            </w:pPr>
            <w:r>
              <w:rPr>
                <w:rFonts w:ascii="Aptos" w:hAnsi="Aptos"/>
                <w:sz w:val="16"/>
              </w:rPr>
              <w:t>Safety</w:t>
            </w:r>
          </w:p>
        </w:tc>
        <w:tc>
          <w:tcPr>
            <w:tcW w:type="dxa" w:w="3331"/>
            <w:vAlign w:val="center"/>
          </w:tcPr>
          <w:p>
            <w:pPr>
              <w:spacing w:before="40" w:after="40"/>
            </w:pPr>
            <w:r>
              <w:rPr>
                <w:rFonts w:ascii="Aptos" w:hAnsi="Aptos"/>
                <w:sz w:val="16"/>
              </w:rPr>
              <w:t>Strict input validation; no duplicate economic actions</w:t>
            </w:r>
          </w:p>
        </w:tc>
        <w:tc>
          <w:tcPr>
            <w:tcW w:type="dxa" w:w="3331"/>
            <w:vAlign w:val="center"/>
          </w:tcPr>
          <w:p>
            <w:pPr>
              <w:spacing w:before="40" w:after="40"/>
            </w:pPr>
            <w:r>
              <w:rPr>
                <w:rFonts w:ascii="Aptos" w:hAnsi="Aptos"/>
                <w:sz w:val="16"/>
              </w:rPr>
              <w:t>Reference unit test only</w:t>
            </w:r>
          </w:p>
        </w:tc>
      </w:tr>
      <w:tr>
        <w:tc>
          <w:tcPr>
            <w:tcW w:type="dxa" w:w="3331"/>
            <w:vAlign w:val="center"/>
          </w:tcPr>
          <w:p>
            <w:pPr>
              <w:spacing w:before="40" w:after="40"/>
            </w:pPr>
            <w:r>
              <w:rPr>
                <w:rFonts w:ascii="Aptos" w:hAnsi="Aptos"/>
                <w:sz w:val="16"/>
              </w:rPr>
              <w:t>Formula</w:t>
            </w:r>
          </w:p>
        </w:tc>
        <w:tc>
          <w:tcPr>
            <w:tcW w:type="dxa" w:w="3331"/>
            <w:vAlign w:val="center"/>
          </w:tcPr>
          <w:p>
            <w:pPr>
              <w:spacing w:before="40" w:after="40"/>
            </w:pPr>
            <w:r>
              <w:rPr>
                <w:rFonts w:ascii="Aptos" w:hAnsi="Aptos"/>
                <w:sz w:val="16"/>
              </w:rPr>
              <w:t>Complete 26 reference synthetic vectors + approvals</w:t>
            </w:r>
          </w:p>
        </w:tc>
        <w:tc>
          <w:tcPr>
            <w:tcW w:type="dxa" w:w="3331"/>
            <w:vAlign w:val="center"/>
          </w:tcPr>
          <w:p>
            <w:pPr>
              <w:spacing w:before="40" w:after="40"/>
            </w:pPr>
            <w:r>
              <w:rPr>
                <w:rFonts w:ascii="Aptos" w:hAnsi="Aptos"/>
                <w:sz w:val="16"/>
              </w:rPr>
              <w:t>Vectors implemented; approvals none</w:t>
            </w:r>
          </w:p>
        </w:tc>
      </w:tr>
      <w:tr>
        <w:tc>
          <w:tcPr>
            <w:tcW w:type="dxa" w:w="3331"/>
            <w:vAlign w:val="center"/>
          </w:tcPr>
          <w:p>
            <w:pPr>
              <w:spacing w:before="40" w:after="40"/>
            </w:pPr>
            <w:r>
              <w:rPr>
                <w:rFonts w:ascii="Aptos" w:hAnsi="Aptos"/>
                <w:sz w:val="16"/>
              </w:rPr>
              <w:t>Regulatory</w:t>
            </w:r>
          </w:p>
        </w:tc>
        <w:tc>
          <w:tcPr>
            <w:tcW w:type="dxa" w:w="3331"/>
            <w:vAlign w:val="center"/>
          </w:tcPr>
          <w:p>
            <w:pPr>
              <w:spacing w:before="40" w:after="40"/>
            </w:pPr>
            <w:r>
              <w:rPr>
                <w:rFonts w:ascii="Aptos" w:hAnsi="Aptos"/>
                <w:sz w:val="16"/>
              </w:rPr>
              <w:t>Current signed strategy/account/broker rules</w:t>
            </w:r>
          </w:p>
        </w:tc>
        <w:tc>
          <w:tcPr>
            <w:tcW w:type="dxa" w:w="3331"/>
            <w:vAlign w:val="center"/>
          </w:tcPr>
          <w:p>
            <w:pPr>
              <w:spacing w:before="40" w:after="40"/>
            </w:pPr>
            <w:r>
              <w:rPr>
                <w:rFonts w:ascii="Aptos" w:hAnsi="Aptos"/>
                <w:sz w:val="16"/>
              </w:rPr>
              <w:t>None supplied</w:t>
            </w:r>
          </w:p>
        </w:tc>
      </w:tr>
      <w:tr>
        <w:tc>
          <w:tcPr>
            <w:tcW w:type="dxa" w:w="3331"/>
            <w:vAlign w:val="center"/>
          </w:tcPr>
          <w:p>
            <w:pPr>
              <w:spacing w:before="40" w:after="40"/>
            </w:pPr>
            <w:r>
              <w:rPr>
                <w:rFonts w:ascii="Aptos" w:hAnsi="Aptos"/>
                <w:sz w:val="16"/>
              </w:rPr>
              <w:t>Exchange session</w:t>
            </w:r>
          </w:p>
        </w:tc>
        <w:tc>
          <w:tcPr>
            <w:tcW w:type="dxa" w:w="3331"/>
            <w:vAlign w:val="center"/>
          </w:tcPr>
          <w:p>
            <w:pPr>
              <w:spacing w:before="40" w:after="40"/>
            </w:pPr>
            <w:r>
              <w:rPr>
                <w:rFonts w:ascii="Aptos" w:hAnsi="Aptos"/>
                <w:sz w:val="16"/>
              </w:rPr>
              <w:t>CAS &amp; holidays &amp; symbol membership feed</w:t>
            </w:r>
          </w:p>
        </w:tc>
        <w:tc>
          <w:tcPr>
            <w:tcW w:type="dxa" w:w="3331"/>
            <w:vAlign w:val="center"/>
          </w:tcPr>
          <w:p>
            <w:pPr>
              <w:spacing w:before="40" w:after="40"/>
            </w:pPr>
            <w:r>
              <w:rPr>
                <w:rFonts w:ascii="Aptos" w:hAnsi="Aptos"/>
                <w:sz w:val="16"/>
              </w:rPr>
              <w:t>Rules modeled, feed absent</w:t>
            </w:r>
          </w:p>
        </w:tc>
      </w:tr>
      <w:tr>
        <w:tc>
          <w:tcPr>
            <w:tcW w:type="dxa" w:w="3331"/>
            <w:vAlign w:val="center"/>
          </w:tcPr>
          <w:p>
            <w:pPr>
              <w:spacing w:before="40" w:after="40"/>
            </w:pPr>
            <w:r>
              <w:rPr>
                <w:rFonts w:ascii="Aptos" w:hAnsi="Aptos"/>
                <w:sz w:val="16"/>
              </w:rPr>
              <w:t>Data</w:t>
            </w:r>
          </w:p>
        </w:tc>
        <w:tc>
          <w:tcPr>
            <w:tcW w:type="dxa" w:w="3331"/>
            <w:vAlign w:val="center"/>
          </w:tcPr>
          <w:p>
            <w:pPr>
              <w:spacing w:before="40" w:after="40"/>
            </w:pPr>
            <w:r>
              <w:rPr>
                <w:rFonts w:ascii="Aptos" w:hAnsi="Aptos"/>
                <w:sz w:val="16"/>
              </w:rPr>
              <w:t>As-known exchange history and verified rights</w:t>
            </w:r>
          </w:p>
        </w:tc>
        <w:tc>
          <w:tcPr>
            <w:tcW w:type="dxa" w:w="3331"/>
            <w:vAlign w:val="center"/>
          </w:tcPr>
          <w:p>
            <w:pPr>
              <w:spacing w:before="40" w:after="40"/>
            </w:pPr>
            <w:r>
              <w:rPr>
                <w:rFonts w:ascii="Aptos" w:hAnsi="Aptos"/>
                <w:sz w:val="16"/>
              </w:rPr>
              <w:t>Not supplied</w:t>
            </w:r>
          </w:p>
        </w:tc>
      </w:tr>
      <w:tr>
        <w:tc>
          <w:tcPr>
            <w:tcW w:type="dxa" w:w="3331"/>
            <w:vAlign w:val="center"/>
          </w:tcPr>
          <w:p>
            <w:pPr>
              <w:spacing w:before="40" w:after="40"/>
            </w:pPr>
            <w:r>
              <w:rPr>
                <w:rFonts w:ascii="Aptos" w:hAnsi="Aptos"/>
                <w:sz w:val="16"/>
              </w:rPr>
              <w:t>Execution</w:t>
            </w:r>
          </w:p>
        </w:tc>
        <w:tc>
          <w:tcPr>
            <w:tcW w:type="dxa" w:w="3331"/>
            <w:vAlign w:val="center"/>
          </w:tcPr>
          <w:p>
            <w:pPr>
              <w:spacing w:before="40" w:after="40"/>
            </w:pPr>
            <w:r>
              <w:rPr>
                <w:rFonts w:ascii="Aptos" w:hAnsi="Aptos"/>
                <w:sz w:val="16"/>
              </w:rPr>
              <w:t>Transactional outbox/risk reservation, fills &amp; stops</w:t>
            </w:r>
          </w:p>
        </w:tc>
        <w:tc>
          <w:tcPr>
            <w:tcW w:type="dxa" w:w="3331"/>
            <w:vAlign w:val="center"/>
          </w:tcPr>
          <w:p>
            <w:pPr>
              <w:spacing w:before="40" w:after="40"/>
            </w:pPr>
            <w:r>
              <w:rPr>
                <w:rFonts w:ascii="Aptos" w:hAnsi="Aptos"/>
                <w:sz w:val="16"/>
              </w:rPr>
              <w:t>Not supplied</w:t>
            </w:r>
          </w:p>
        </w:tc>
      </w:tr>
      <w:tr>
        <w:tc>
          <w:tcPr>
            <w:tcW w:type="dxa" w:w="3331"/>
            <w:vAlign w:val="center"/>
          </w:tcPr>
          <w:p>
            <w:pPr>
              <w:spacing w:before="40" w:after="40"/>
            </w:pPr>
            <w:r>
              <w:rPr>
                <w:rFonts w:ascii="Aptos" w:hAnsi="Aptos"/>
                <w:sz w:val="16"/>
              </w:rPr>
              <w:t>Investment</w:t>
            </w:r>
          </w:p>
        </w:tc>
        <w:tc>
          <w:tcPr>
            <w:tcW w:type="dxa" w:w="3331"/>
            <w:vAlign w:val="center"/>
          </w:tcPr>
          <w:p>
            <w:pPr>
              <w:spacing w:before="40" w:after="40"/>
            </w:pPr>
            <w:r>
              <w:rPr>
                <w:rFonts w:ascii="Aptos" w:hAnsi="Aptos"/>
                <w:sz w:val="16"/>
              </w:rPr>
              <w:t>Out-of-sample and paper-trade evidence</w:t>
            </w:r>
          </w:p>
        </w:tc>
        <w:tc>
          <w:tcPr>
            <w:tcW w:type="dxa" w:w="3331"/>
            <w:vAlign w:val="center"/>
          </w:tcPr>
          <w:p>
            <w:pPr>
              <w:spacing w:before="40" w:after="40"/>
            </w:pPr>
            <w:r>
              <w:rPr>
                <w:rFonts w:ascii="Aptos" w:hAnsi="Aptos"/>
                <w:sz w:val="16"/>
              </w:rPr>
              <w:t>Not supplied</w:t>
            </w:r>
          </w:p>
        </w:tc>
      </w:tr>
      <w:tr>
        <w:tc>
          <w:tcPr>
            <w:tcW w:type="dxa" w:w="3331"/>
            <w:vAlign w:val="center"/>
          </w:tcPr>
          <w:p>
            <w:pPr>
              <w:spacing w:before="40" w:after="40"/>
            </w:pPr>
            <w:r>
              <w:rPr>
                <w:rFonts w:ascii="Aptos" w:hAnsi="Aptos"/>
                <w:sz w:val="16"/>
              </w:rPr>
              <w:t>Operations</w:t>
            </w:r>
          </w:p>
        </w:tc>
        <w:tc>
          <w:tcPr>
            <w:tcW w:type="dxa" w:w="3331"/>
            <w:vAlign w:val="center"/>
          </w:tcPr>
          <w:p>
            <w:pPr>
              <w:spacing w:before="40" w:after="40"/>
            </w:pPr>
            <w:r>
              <w:rPr>
                <w:rFonts w:ascii="Aptos" w:hAnsi="Aptos"/>
                <w:sz w:val="16"/>
              </w:rPr>
              <w:t>Disaster recovery, monitoring, actual deployment</w:t>
            </w:r>
          </w:p>
        </w:tc>
        <w:tc>
          <w:tcPr>
            <w:tcW w:type="dxa" w:w="3331"/>
            <w:vAlign w:val="center"/>
          </w:tcPr>
          <w:p>
            <w:pPr>
              <w:spacing w:before="40" w:after="40"/>
            </w:pPr>
            <w:r>
              <w:rPr>
                <w:rFonts w:ascii="Aptos" w:hAnsi="Aptos"/>
                <w:sz w:val="16"/>
              </w:rPr>
              <w:t>Not supplied</w:t>
            </w:r>
          </w:p>
        </w:tc>
      </w:tr>
    </w:tbl>
    <w:p>
      <w:pPr>
        <w:pStyle w:val="V714Small"/>
      </w:pPr>
    </w:p>
    <w:p>
      <w:pPr>
        <w:pStyle w:val="V714Head"/>
      </w:pPr>
      <w:r>
        <w:t>9 | All twelve new audit findings: corrective disposition</w:t>
      </w:r>
    </w:p>
    <w:tbl>
      <w:tblPr>
        <w:tblStyle w:val="TableGrid"/>
        <w:tblW w:type="auto" w:w="0"/>
        <w:jc w:val="center"/>
        <w:tblLook w:firstColumn="1" w:firstRow="1" w:lastColumn="0" w:lastRow="0" w:noHBand="0" w:noVBand="1" w:val="04A0"/>
      </w:tblPr>
      <w:tblGrid>
        <w:gridCol w:w="2498"/>
        <w:gridCol w:w="2498"/>
        <w:gridCol w:w="2498"/>
        <w:gridCol w:w="2498"/>
      </w:tblGrid>
      <w:tr>
        <w:trPr>
          <w:tblHeader/>
        </w:trPr>
        <w:tc>
          <w:tcPr>
            <w:tcW w:type="dxa" w:w="2498"/>
            <w:vAlign w:val="center"/>
            <w:shd w:fill="193F56"/>
          </w:tcPr>
          <w:p>
            <w:pPr>
              <w:spacing w:before="40" w:after="40"/>
            </w:pPr>
            <w:r>
              <w:rPr>
                <w:rFonts w:ascii="Aptos" w:hAnsi="Aptos"/>
                <w:b/>
                <w:color w:val="FFFFFF"/>
                <w:sz w:val="15"/>
              </w:rPr>
              <w:t>ID</w:t>
            </w:r>
          </w:p>
        </w:tc>
        <w:tc>
          <w:tcPr>
            <w:tcW w:type="dxa" w:w="2498"/>
            <w:vAlign w:val="center"/>
            <w:shd w:fill="193F56"/>
          </w:tcPr>
          <w:p>
            <w:pPr>
              <w:spacing w:before="40" w:after="40"/>
            </w:pPr>
            <w:r>
              <w:rPr>
                <w:rFonts w:ascii="Aptos" w:hAnsi="Aptos"/>
                <w:b/>
                <w:color w:val="FFFFFF"/>
                <w:sz w:val="15"/>
              </w:rPr>
              <w:t>Severity</w:t>
            </w:r>
          </w:p>
        </w:tc>
        <w:tc>
          <w:tcPr>
            <w:tcW w:type="dxa" w:w="2498"/>
            <w:vAlign w:val="center"/>
            <w:shd w:fill="193F56"/>
          </w:tcPr>
          <w:p>
            <w:pPr>
              <w:spacing w:before="40" w:after="40"/>
            </w:pPr>
            <w:r>
              <w:rPr>
                <w:rFonts w:ascii="Aptos" w:hAnsi="Aptos"/>
                <w:b/>
                <w:color w:val="FFFFFF"/>
                <w:sz w:val="15"/>
              </w:rPr>
              <w:t>Remediation</w:t>
            </w:r>
          </w:p>
        </w:tc>
        <w:tc>
          <w:tcPr>
            <w:tcW w:type="dxa" w:w="2498"/>
            <w:vAlign w:val="center"/>
            <w:shd w:fill="193F56"/>
          </w:tcPr>
          <w:p>
            <w:pPr>
              <w:spacing w:before="40" w:after="40"/>
            </w:pPr>
            <w:r>
              <w:rPr>
                <w:rFonts w:ascii="Aptos" w:hAnsi="Aptos"/>
                <w:b/>
                <w:color w:val="FFFFFF"/>
                <w:sz w:val="15"/>
              </w:rPr>
              <w:t>Evidence / remaining gap</w:t>
            </w:r>
          </w:p>
        </w:tc>
      </w:tr>
      <w:tr>
        <w:tc>
          <w:tcPr>
            <w:tcW w:type="dxa" w:w="2498"/>
            <w:vAlign w:val="center"/>
          </w:tcPr>
          <w:p>
            <w:pPr>
              <w:spacing w:before="40" w:after="40"/>
            </w:pPr>
            <w:r>
              <w:rPr>
                <w:rFonts w:ascii="Aptos" w:hAnsi="Aptos"/>
                <w:sz w:val="15"/>
              </w:rPr>
              <w:t>N01</w:t>
            </w:r>
          </w:p>
        </w:tc>
        <w:tc>
          <w:tcPr>
            <w:tcW w:type="dxa" w:w="2498"/>
            <w:vAlign w:val="center"/>
          </w:tcPr>
          <w:p>
            <w:pPr>
              <w:spacing w:before="40" w:after="40"/>
            </w:pPr>
            <w:r>
              <w:rPr>
                <w:rFonts w:ascii="Aptos" w:hAnsi="Aptos"/>
                <w:sz w:val="15"/>
              </w:rPr>
              <w:t>CRITICAL</w:t>
            </w:r>
          </w:p>
        </w:tc>
        <w:tc>
          <w:tcPr>
            <w:tcW w:type="dxa" w:w="2498"/>
            <w:vAlign w:val="center"/>
          </w:tcPr>
          <w:p>
            <w:pPr>
              <w:spacing w:before="40" w:after="40"/>
            </w:pPr>
            <w:r>
              <w:rPr>
                <w:rFonts w:ascii="Aptos" w:hAnsi="Aptos"/>
                <w:sz w:val="15"/>
              </w:rPr>
              <w:t>Exact booleans in health and failover guards</w:t>
            </w:r>
          </w:p>
        </w:tc>
        <w:tc>
          <w:tcPr>
            <w:tcW w:type="dxa" w:w="2498"/>
            <w:vAlign w:val="center"/>
          </w:tcPr>
          <w:p>
            <w:pPr>
              <w:spacing w:before="40" w:after="40"/>
            </w:pPr>
            <w:r>
              <w:rPr>
                <w:rFonts w:ascii="Aptos" w:hAnsi="Aptos"/>
                <w:sz w:val="15"/>
              </w:rPr>
              <w:t>Strict runtime validator and adversarial invalid-input tests — REFERENCE TESTED</w:t>
            </w:r>
          </w:p>
        </w:tc>
      </w:tr>
      <w:tr>
        <w:tc>
          <w:tcPr>
            <w:tcW w:type="dxa" w:w="2498"/>
            <w:vAlign w:val="center"/>
          </w:tcPr>
          <w:p>
            <w:pPr>
              <w:spacing w:before="40" w:after="40"/>
            </w:pPr>
            <w:r>
              <w:rPr>
                <w:rFonts w:ascii="Aptos" w:hAnsi="Aptos"/>
                <w:sz w:val="15"/>
              </w:rPr>
              <w:t>N02</w:t>
            </w:r>
          </w:p>
        </w:tc>
        <w:tc>
          <w:tcPr>
            <w:tcW w:type="dxa" w:w="2498"/>
            <w:vAlign w:val="center"/>
          </w:tcPr>
          <w:p>
            <w:pPr>
              <w:spacing w:before="40" w:after="40"/>
            </w:pPr>
            <w:r>
              <w:rPr>
                <w:rFonts w:ascii="Aptos" w:hAnsi="Aptos"/>
                <w:sz w:val="15"/>
              </w:rPr>
              <w:t>CRITICAL</w:t>
            </w:r>
          </w:p>
        </w:tc>
        <w:tc>
          <w:tcPr>
            <w:tcW w:type="dxa" w:w="2498"/>
            <w:vAlign w:val="center"/>
          </w:tcPr>
          <w:p>
            <w:pPr>
              <w:spacing w:before="40" w:after="40"/>
            </w:pPr>
            <w:r>
              <w:rPr>
                <w:rFonts w:ascii="Aptos" w:hAnsi="Aptos"/>
                <w:sz w:val="15"/>
              </w:rPr>
              <w:t>Formula includes group, F&amp;O, drawdown and other 13 caps</w:t>
            </w:r>
          </w:p>
        </w:tc>
        <w:tc>
          <w:tcPr>
            <w:tcW w:type="dxa" w:w="2498"/>
            <w:vAlign w:val="center"/>
          </w:tcPr>
          <w:p>
            <w:pPr>
              <w:spacing w:before="40" w:after="40"/>
            </w:pPr>
            <w:r>
              <w:rPr>
                <w:rFonts w:ascii="Aptos" w:hAnsi="Aptos"/>
                <w:sz w:val="15"/>
              </w:rPr>
              <w:t>Registry-generated DOCX equation + strict cap keys — REFERENCE TESTED; atomics NOT BUILT</w:t>
            </w:r>
          </w:p>
        </w:tc>
      </w:tr>
      <w:tr>
        <w:tc>
          <w:tcPr>
            <w:tcW w:type="dxa" w:w="2498"/>
            <w:vAlign w:val="center"/>
          </w:tcPr>
          <w:p>
            <w:pPr>
              <w:spacing w:before="40" w:after="40"/>
            </w:pPr>
            <w:r>
              <w:rPr>
                <w:rFonts w:ascii="Aptos" w:hAnsi="Aptos"/>
                <w:sz w:val="15"/>
              </w:rPr>
              <w:t>N03</w:t>
            </w:r>
          </w:p>
        </w:tc>
        <w:tc>
          <w:tcPr>
            <w:tcW w:type="dxa" w:w="2498"/>
            <w:vAlign w:val="center"/>
          </w:tcPr>
          <w:p>
            <w:pPr>
              <w:spacing w:before="40" w:after="40"/>
            </w:pPr>
            <w:r>
              <w:rPr>
                <w:rFonts w:ascii="Aptos" w:hAnsi="Aptos"/>
                <w:sz w:val="15"/>
              </w:rPr>
              <w:t>HIGH</w:t>
            </w:r>
          </w:p>
        </w:tc>
        <w:tc>
          <w:tcPr>
            <w:tcW w:type="dxa" w:w="2498"/>
            <w:vAlign w:val="center"/>
          </w:tcPr>
          <w:p>
            <w:pPr>
              <w:spacing w:before="40" w:after="40"/>
            </w:pPr>
            <w:r>
              <w:rPr>
                <w:rFonts w:ascii="Aptos" w:hAnsi="Aptos"/>
                <w:sz w:val="15"/>
              </w:rPr>
              <w:t>Approver, circulars, broker refs, verified signature, validity</w:t>
            </w:r>
          </w:p>
        </w:tc>
        <w:tc>
          <w:tcPr>
            <w:tcW w:type="dxa" w:w="2498"/>
            <w:vAlign w:val="center"/>
          </w:tcPr>
          <w:p>
            <w:pPr>
              <w:spacing w:before="40" w:after="40"/>
            </w:pPr>
            <w:r>
              <w:rPr>
                <w:rFonts w:ascii="Aptos" w:hAnsi="Aptos"/>
                <w:sz w:val="15"/>
              </w:rPr>
              <w:t>Reject missing and stale evidence; crypto trust provider absent — REFERENCE TESTED / PRODUCTION PENDING</w:t>
            </w:r>
          </w:p>
        </w:tc>
      </w:tr>
      <w:tr>
        <w:tc>
          <w:tcPr>
            <w:tcW w:type="dxa" w:w="2498"/>
            <w:vAlign w:val="center"/>
          </w:tcPr>
          <w:p>
            <w:pPr>
              <w:spacing w:before="40" w:after="40"/>
            </w:pPr>
            <w:r>
              <w:rPr>
                <w:rFonts w:ascii="Aptos" w:hAnsi="Aptos"/>
                <w:sz w:val="15"/>
              </w:rPr>
              <w:t>N04</w:t>
            </w:r>
          </w:p>
        </w:tc>
        <w:tc>
          <w:tcPr>
            <w:tcW w:type="dxa" w:w="2498"/>
            <w:vAlign w:val="center"/>
          </w:tcPr>
          <w:p>
            <w:pPr>
              <w:spacing w:before="40" w:after="40"/>
            </w:pPr>
            <w:r>
              <w:rPr>
                <w:rFonts w:ascii="Aptos" w:hAnsi="Aptos"/>
                <w:sz w:val="15"/>
              </w:rPr>
              <w:t>HIGH</w:t>
            </w:r>
          </w:p>
        </w:tc>
        <w:tc>
          <w:tcPr>
            <w:tcW w:type="dxa" w:w="2498"/>
            <w:vAlign w:val="center"/>
          </w:tcPr>
          <w:p>
            <w:pPr>
              <w:spacing w:before="40" w:after="40"/>
            </w:pPr>
            <w:r>
              <w:rPr>
                <w:rFonts w:ascii="Aptos" w:hAnsi="Aptos"/>
                <w:sz w:val="15"/>
              </w:rPr>
              <w:t>Positive integer exchange lot only</w:t>
            </w:r>
          </w:p>
        </w:tc>
        <w:tc>
          <w:tcPr>
            <w:tcW w:type="dxa" w:w="2498"/>
            <w:vAlign w:val="center"/>
          </w:tcPr>
          <w:p>
            <w:pPr>
              <w:spacing w:before="40" w:after="40"/>
            </w:pPr>
            <w:r>
              <w:rPr>
                <w:rFonts w:ascii="Aptos" w:hAnsi="Aptos"/>
                <w:sz w:val="15"/>
              </w:rPr>
              <w:t>Reject floats, bool, strings in sizing boundaries — REFERENCE TESTED</w:t>
            </w:r>
          </w:p>
        </w:tc>
      </w:tr>
      <w:tr>
        <w:tc>
          <w:tcPr>
            <w:tcW w:type="dxa" w:w="2498"/>
            <w:vAlign w:val="center"/>
          </w:tcPr>
          <w:p>
            <w:pPr>
              <w:spacing w:before="40" w:after="40"/>
            </w:pPr>
            <w:r>
              <w:rPr>
                <w:rFonts w:ascii="Aptos" w:hAnsi="Aptos"/>
                <w:sz w:val="15"/>
              </w:rPr>
              <w:t>N05</w:t>
            </w:r>
          </w:p>
        </w:tc>
        <w:tc>
          <w:tcPr>
            <w:tcW w:type="dxa" w:w="2498"/>
            <w:vAlign w:val="center"/>
          </w:tcPr>
          <w:p>
            <w:pPr>
              <w:spacing w:before="40" w:after="40"/>
            </w:pPr>
            <w:r>
              <w:rPr>
                <w:rFonts w:ascii="Aptos" w:hAnsi="Aptos"/>
                <w:sz w:val="15"/>
              </w:rPr>
              <w:t>HIGH</w:t>
            </w:r>
          </w:p>
        </w:tc>
        <w:tc>
          <w:tcPr>
            <w:tcW w:type="dxa" w:w="2498"/>
            <w:vAlign w:val="center"/>
          </w:tcPr>
          <w:p>
            <w:pPr>
              <w:spacing w:before="40" w:after="40"/>
            </w:pPr>
            <w:r>
              <w:rPr>
                <w:rFonts w:ascii="Aptos" w:hAnsi="Aptos"/>
                <w:sz w:val="15"/>
              </w:rPr>
              <w:t>NaN/Infinity disk fail closed</w:t>
            </w:r>
          </w:p>
        </w:tc>
        <w:tc>
          <w:tcPr>
            <w:tcW w:type="dxa" w:w="2498"/>
            <w:vAlign w:val="center"/>
          </w:tcPr>
          <w:p>
            <w:pPr>
              <w:spacing w:before="40" w:after="40"/>
            </w:pPr>
            <w:r>
              <w:rPr>
                <w:rFonts w:ascii="Aptos" w:hAnsi="Aptos"/>
                <w:sz w:val="15"/>
              </w:rPr>
              <w:t>Emergency block on invalid sensor readings — REFERENCE TESTED</w:t>
            </w:r>
          </w:p>
        </w:tc>
      </w:tr>
      <w:tr>
        <w:tc>
          <w:tcPr>
            <w:tcW w:type="dxa" w:w="2498"/>
            <w:vAlign w:val="center"/>
          </w:tcPr>
          <w:p>
            <w:pPr>
              <w:spacing w:before="40" w:after="40"/>
            </w:pPr>
            <w:r>
              <w:rPr>
                <w:rFonts w:ascii="Aptos" w:hAnsi="Aptos"/>
                <w:sz w:val="15"/>
              </w:rPr>
              <w:t>N06</w:t>
            </w:r>
          </w:p>
        </w:tc>
        <w:tc>
          <w:tcPr>
            <w:tcW w:type="dxa" w:w="2498"/>
            <w:vAlign w:val="center"/>
          </w:tcPr>
          <w:p>
            <w:pPr>
              <w:spacing w:before="40" w:after="40"/>
            </w:pPr>
            <w:r>
              <w:rPr>
                <w:rFonts w:ascii="Aptos" w:hAnsi="Aptos"/>
                <w:sz w:val="15"/>
              </w:rPr>
              <w:t>HIGH</w:t>
            </w:r>
          </w:p>
        </w:tc>
        <w:tc>
          <w:tcPr>
            <w:tcW w:type="dxa" w:w="2498"/>
            <w:vAlign w:val="center"/>
          </w:tcPr>
          <w:p>
            <w:pPr>
              <w:spacing w:before="40" w:after="40"/>
            </w:pPr>
            <w:r>
              <w:rPr>
                <w:rFonts w:ascii="Aptos" w:hAnsi="Aptos"/>
                <w:sz w:val="15"/>
              </w:rPr>
              <w:t>Exact bar coverage bools and watermark</w:t>
            </w:r>
          </w:p>
        </w:tc>
        <w:tc>
          <w:tcPr>
            <w:tcW w:type="dxa" w:w="2498"/>
            <w:vAlign w:val="center"/>
          </w:tcPr>
          <w:p>
            <w:pPr>
              <w:spacing w:before="40" w:after="40"/>
            </w:pPr>
            <w:r>
              <w:rPr>
                <w:rFonts w:ascii="Aptos" w:hAnsi="Aptos"/>
                <w:sz w:val="15"/>
              </w:rPr>
              <w:t>Reject strings, checksum failure and source conflicts — REFERENCE TESTED; LIVE FEED PENDING</w:t>
            </w:r>
          </w:p>
        </w:tc>
      </w:tr>
      <w:tr>
        <w:tc>
          <w:tcPr>
            <w:tcW w:type="dxa" w:w="2498"/>
            <w:vAlign w:val="center"/>
          </w:tcPr>
          <w:p>
            <w:pPr>
              <w:spacing w:before="40" w:after="40"/>
            </w:pPr>
            <w:r>
              <w:rPr>
                <w:rFonts w:ascii="Aptos" w:hAnsi="Aptos"/>
                <w:sz w:val="15"/>
              </w:rPr>
              <w:t>N07</w:t>
            </w:r>
          </w:p>
        </w:tc>
        <w:tc>
          <w:tcPr>
            <w:tcW w:type="dxa" w:w="2498"/>
            <w:vAlign w:val="center"/>
          </w:tcPr>
          <w:p>
            <w:pPr>
              <w:spacing w:before="40" w:after="40"/>
            </w:pPr>
            <w:r>
              <w:rPr>
                <w:rFonts w:ascii="Aptos" w:hAnsi="Aptos"/>
                <w:sz w:val="15"/>
              </w:rPr>
              <w:t>HIGH</w:t>
            </w:r>
          </w:p>
        </w:tc>
        <w:tc>
          <w:tcPr>
            <w:tcW w:type="dxa" w:w="2498"/>
            <w:vAlign w:val="center"/>
          </w:tcPr>
          <w:p>
            <w:pPr>
              <w:spacing w:before="40" w:after="40"/>
            </w:pPr>
            <w:r>
              <w:rPr>
                <w:rFonts w:ascii="Aptos" w:hAnsi="Aptos"/>
                <w:sz w:val="15"/>
              </w:rPr>
              <w:t>CAS 2026 phase-aware exchange trading</w:t>
            </w:r>
          </w:p>
        </w:tc>
        <w:tc>
          <w:tcPr>
            <w:tcW w:type="dxa" w:w="2498"/>
            <w:vAlign w:val="center"/>
          </w:tcPr>
          <w:p>
            <w:pPr>
              <w:spacing w:before="40" w:after="40"/>
            </w:pPr>
            <w:r>
              <w:rPr>
                <w:rFonts w:ascii="Aptos" w:hAnsi="Aptos"/>
                <w:sz w:val="15"/>
              </w:rPr>
              <w:t>Official NSE phase reference + boundary tests — REFERENCE TESTED; EXCHANGE MASTER PENDING</w:t>
            </w:r>
          </w:p>
        </w:tc>
      </w:tr>
      <w:tr>
        <w:tc>
          <w:tcPr>
            <w:tcW w:type="dxa" w:w="2498"/>
            <w:vAlign w:val="center"/>
          </w:tcPr>
          <w:p>
            <w:pPr>
              <w:spacing w:before="40" w:after="40"/>
            </w:pPr>
            <w:r>
              <w:rPr>
                <w:rFonts w:ascii="Aptos" w:hAnsi="Aptos"/>
                <w:sz w:val="15"/>
              </w:rPr>
              <w:t>N08</w:t>
            </w:r>
          </w:p>
        </w:tc>
        <w:tc>
          <w:tcPr>
            <w:tcW w:type="dxa" w:w="2498"/>
            <w:vAlign w:val="center"/>
          </w:tcPr>
          <w:p>
            <w:pPr>
              <w:spacing w:before="40" w:after="40"/>
            </w:pPr>
            <w:r>
              <w:rPr>
                <w:rFonts w:ascii="Aptos" w:hAnsi="Aptos"/>
                <w:sz w:val="15"/>
              </w:rPr>
              <w:t>HIGH</w:t>
            </w:r>
          </w:p>
        </w:tc>
        <w:tc>
          <w:tcPr>
            <w:tcW w:type="dxa" w:w="2498"/>
            <w:vAlign w:val="center"/>
          </w:tcPr>
          <w:p>
            <w:pPr>
              <w:spacing w:before="40" w:after="40"/>
            </w:pPr>
            <w:r>
              <w:rPr>
                <w:rFonts w:ascii="Aptos" w:hAnsi="Aptos"/>
                <w:sz w:val="15"/>
              </w:rPr>
              <w:t>Minimum confidence and eligibility inside trade signal gate</w:t>
            </w:r>
          </w:p>
        </w:tc>
        <w:tc>
          <w:tcPr>
            <w:tcW w:type="dxa" w:w="2498"/>
            <w:vAlign w:val="center"/>
          </w:tcPr>
          <w:p>
            <w:pPr>
              <w:spacing w:before="40" w:after="40"/>
            </w:pPr>
            <w:r>
              <w:rPr>
                <w:rFonts w:ascii="Aptos" w:hAnsi="Aptos"/>
                <w:sz w:val="15"/>
              </w:rPr>
              <w:t>Verified ScoreEligibility dataclass; reject weak quality — REFERENCE TESTED; APPROVAL POLICY PENDING</w:t>
            </w:r>
          </w:p>
        </w:tc>
      </w:tr>
      <w:tr>
        <w:tc>
          <w:tcPr>
            <w:tcW w:type="dxa" w:w="2498"/>
            <w:vAlign w:val="center"/>
          </w:tcPr>
          <w:p>
            <w:pPr>
              <w:spacing w:before="40" w:after="40"/>
            </w:pPr>
            <w:r>
              <w:rPr>
                <w:rFonts w:ascii="Aptos" w:hAnsi="Aptos"/>
                <w:sz w:val="15"/>
              </w:rPr>
              <w:t>N09</w:t>
            </w:r>
          </w:p>
        </w:tc>
        <w:tc>
          <w:tcPr>
            <w:tcW w:type="dxa" w:w="2498"/>
            <w:vAlign w:val="center"/>
          </w:tcPr>
          <w:p>
            <w:pPr>
              <w:spacing w:before="40" w:after="40"/>
            </w:pPr>
            <w:r>
              <w:rPr>
                <w:rFonts w:ascii="Aptos" w:hAnsi="Aptos"/>
                <w:sz w:val="15"/>
              </w:rPr>
              <w:t>HIGH</w:t>
            </w:r>
          </w:p>
        </w:tc>
        <w:tc>
          <w:tcPr>
            <w:tcW w:type="dxa" w:w="2498"/>
            <w:vAlign w:val="center"/>
          </w:tcPr>
          <w:p>
            <w:pPr>
              <w:spacing w:before="40" w:after="40"/>
            </w:pPr>
            <w:r>
              <w:rPr>
                <w:rFonts w:ascii="Aptos" w:hAnsi="Aptos"/>
                <w:sz w:val="15"/>
              </w:rPr>
              <w:t>Deterministic business key and durable uniqueness</w:t>
            </w:r>
          </w:p>
        </w:tc>
        <w:tc>
          <w:tcPr>
            <w:tcW w:type="dxa" w:w="2498"/>
            <w:vAlign w:val="center"/>
          </w:tcPr>
          <w:p>
            <w:pPr>
              <w:spacing w:before="40" w:after="40"/>
            </w:pPr>
            <w:r>
              <w:rPr>
                <w:rFonts w:ascii="Aptos" w:hAnsi="Aptos"/>
                <w:sz w:val="15"/>
              </w:rPr>
              <w:t>SQLite prototype concurrency/restart tests — REFERENCE TESTED; OLTP OUTBOX PENDING</w:t>
            </w:r>
          </w:p>
        </w:tc>
      </w:tr>
      <w:tr>
        <w:tc>
          <w:tcPr>
            <w:tcW w:type="dxa" w:w="2498"/>
            <w:vAlign w:val="center"/>
          </w:tcPr>
          <w:p>
            <w:pPr>
              <w:spacing w:before="40" w:after="40"/>
            </w:pPr>
            <w:r>
              <w:rPr>
                <w:rFonts w:ascii="Aptos" w:hAnsi="Aptos"/>
                <w:sz w:val="15"/>
              </w:rPr>
              <w:t>N10</w:t>
            </w:r>
          </w:p>
        </w:tc>
        <w:tc>
          <w:tcPr>
            <w:tcW w:type="dxa" w:w="2498"/>
            <w:vAlign w:val="center"/>
          </w:tcPr>
          <w:p>
            <w:pPr>
              <w:spacing w:before="40" w:after="40"/>
            </w:pPr>
            <w:r>
              <w:rPr>
                <w:rFonts w:ascii="Aptos" w:hAnsi="Aptos"/>
                <w:sz w:val="15"/>
              </w:rPr>
              <w:t>HIGH</w:t>
            </w:r>
          </w:p>
        </w:tc>
        <w:tc>
          <w:tcPr>
            <w:tcW w:type="dxa" w:w="2498"/>
            <w:vAlign w:val="center"/>
          </w:tcPr>
          <w:p>
            <w:pPr>
              <w:spacing w:before="40" w:after="40"/>
            </w:pPr>
            <w:r>
              <w:rPr>
                <w:rFonts w:ascii="Aptos" w:hAnsi="Aptos"/>
                <w:sz w:val="15"/>
              </w:rPr>
              <w:t>Signed risk ceiling, never blindly &lt;=100% capital</w:t>
            </w:r>
          </w:p>
        </w:tc>
        <w:tc>
          <w:tcPr>
            <w:tcW w:type="dxa" w:w="2498"/>
            <w:vAlign w:val="center"/>
          </w:tcPr>
          <w:p>
            <w:pPr>
              <w:spacing w:before="40" w:after="40"/>
            </w:pPr>
            <w:r>
              <w:rPr>
                <w:rFonts w:ascii="Aptos" w:hAnsi="Aptos"/>
                <w:sz w:val="15"/>
              </w:rPr>
              <w:t>Reference &lt;=1% default test + overridable lower trusted policy — REFERENCE TESTED; SIGNED LIMIT PENDING</w:t>
            </w:r>
          </w:p>
        </w:tc>
      </w:tr>
      <w:tr>
        <w:tc>
          <w:tcPr>
            <w:tcW w:type="dxa" w:w="2498"/>
            <w:vAlign w:val="center"/>
          </w:tcPr>
          <w:p>
            <w:pPr>
              <w:spacing w:before="40" w:after="40"/>
            </w:pPr>
            <w:r>
              <w:rPr>
                <w:rFonts w:ascii="Aptos" w:hAnsi="Aptos"/>
                <w:sz w:val="15"/>
              </w:rPr>
              <w:t>N11</w:t>
            </w:r>
          </w:p>
        </w:tc>
        <w:tc>
          <w:tcPr>
            <w:tcW w:type="dxa" w:w="2498"/>
            <w:vAlign w:val="center"/>
          </w:tcPr>
          <w:p>
            <w:pPr>
              <w:spacing w:before="40" w:after="40"/>
            </w:pPr>
            <w:r>
              <w:rPr>
                <w:rFonts w:ascii="Aptos" w:hAnsi="Aptos"/>
                <w:sz w:val="15"/>
              </w:rPr>
              <w:t>MEDIUM</w:t>
            </w:r>
          </w:p>
        </w:tc>
        <w:tc>
          <w:tcPr>
            <w:tcW w:type="dxa" w:w="2498"/>
            <w:vAlign w:val="center"/>
          </w:tcPr>
          <w:p>
            <w:pPr>
              <w:spacing w:before="40" w:after="40"/>
            </w:pPr>
            <w:r>
              <w:rPr>
                <w:rFonts w:ascii="Aptos" w:hAnsi="Aptos"/>
                <w:sz w:val="15"/>
              </w:rPr>
              <w:t>26 whitelisted callable synthetic formulas</w:t>
            </w:r>
          </w:p>
        </w:tc>
        <w:tc>
          <w:tcPr>
            <w:tcW w:type="dxa" w:w="2498"/>
            <w:vAlign w:val="center"/>
          </w:tcPr>
          <w:p>
            <w:pPr>
              <w:spacing w:before="40" w:after="40"/>
            </w:pPr>
            <w:r>
              <w:rPr>
                <w:rFonts w:ascii="Aptos" w:hAnsi="Aptos"/>
                <w:sz w:val="15"/>
              </w:rPr>
              <w:t>Registry + vectors; no complete finance/PIT certification — REFERENCE TESTED, NOT APPROVED</w:t>
            </w:r>
          </w:p>
        </w:tc>
      </w:tr>
      <w:tr>
        <w:tc>
          <w:tcPr>
            <w:tcW w:type="dxa" w:w="2498"/>
            <w:vAlign w:val="center"/>
          </w:tcPr>
          <w:p>
            <w:pPr>
              <w:spacing w:before="40" w:after="40"/>
            </w:pPr>
            <w:r>
              <w:rPr>
                <w:rFonts w:ascii="Aptos" w:hAnsi="Aptos"/>
                <w:sz w:val="15"/>
              </w:rPr>
              <w:t>N12</w:t>
            </w:r>
          </w:p>
        </w:tc>
        <w:tc>
          <w:tcPr>
            <w:tcW w:type="dxa" w:w="2498"/>
            <w:vAlign w:val="center"/>
          </w:tcPr>
          <w:p>
            <w:pPr>
              <w:spacing w:before="40" w:after="40"/>
            </w:pPr>
            <w:r>
              <w:rPr>
                <w:rFonts w:ascii="Aptos" w:hAnsi="Aptos"/>
                <w:sz w:val="15"/>
              </w:rPr>
              <w:t>MEDIUM</w:t>
            </w:r>
          </w:p>
        </w:tc>
        <w:tc>
          <w:tcPr>
            <w:tcW w:type="dxa" w:w="2498"/>
            <w:vAlign w:val="center"/>
          </w:tcPr>
          <w:p>
            <w:pPr>
              <w:spacing w:before="40" w:after="40"/>
            </w:pPr>
            <w:r>
              <w:rPr>
                <w:rFonts w:ascii="Aptos" w:hAnsi="Aptos"/>
                <w:sz w:val="15"/>
              </w:rPr>
              <w:t>Evidence-based quantitative release criteria</w:t>
            </w:r>
          </w:p>
        </w:tc>
        <w:tc>
          <w:tcPr>
            <w:tcW w:type="dxa" w:w="2498"/>
            <w:vAlign w:val="center"/>
          </w:tcPr>
          <w:p>
            <w:pPr>
              <w:spacing w:before="40" w:after="40"/>
            </w:pPr>
            <w:r>
              <w:rPr>
                <w:rFonts w:ascii="Aptos" w:hAnsi="Aptos"/>
                <w:sz w:val="15"/>
              </w:rPr>
              <w:t>All unknown gate values remain blockers — SPEC FIXED; NO PERFORMANCE EVIDENCE</w:t>
            </w:r>
          </w:p>
        </w:tc>
      </w:tr>
    </w:tbl>
    <w:p>
      <w:pPr>
        <w:pStyle w:val="V714Small"/>
      </w:pPr>
    </w:p>
    <w:p>
      <w:pPr>
        <w:pStyle w:val="V714Head"/>
      </w:pPr>
      <w:r>
        <w:t>10 | Independent adversarial regression checklist</w:t>
      </w:r>
    </w:p>
    <w:p>
      <w:pPr>
        <w:pStyle w:val="V714Text"/>
      </w:pPr>
      <w:r>
        <w:t>• Non-boolean strings in submit/failover, malformed session flags, None and 0/1 boolean masquerading never authorize trading.</w:t>
      </w:r>
    </w:p>
    <w:p>
      <w:pPr>
        <w:pStyle w:val="V714Text"/>
      </w:pPr>
      <w:r>
        <w:t>• Fractional/zero/boolean lot sizes are rejected for quantity_by_risk, residual cap and final quantity.</w:t>
      </w:r>
    </w:p>
    <w:p>
      <w:pPr>
        <w:pStyle w:val="V714Text"/>
      </w:pPr>
      <w:r>
        <w:t>• Disk readings NaN/Inf/negative/missing trigger EMERGENCY_BLOCK_ENTRIES; recovery requires explicit review.</w:t>
      </w:r>
    </w:p>
    <w:p>
      <w:pPr>
        <w:pStyle w:val="V714Text"/>
      </w:pPr>
      <w:r>
        <w:t>• Approved=True without reviewer, circular, broker evidence, trusted signature verification or fresh approval is rejected.</w:t>
      </w:r>
    </w:p>
    <w:p>
      <w:pPr>
        <w:pStyle w:val="V714Text"/>
      </w:pPr>
      <w:r>
        <w:t>• Long/short SL direction, max risk_pct &lt;= policy limit, company+pending quantities and all 13 cap keys are tested.</w:t>
      </w:r>
    </w:p>
    <w:p>
      <w:pPr>
        <w:pStyle w:val="V714Text"/>
      </w:pPr>
      <w:r>
        <w:t>• Concurrency: same signal+action produces only one persisted economic intent even with unique UUID attempts; changed economic payload is a hard conflict.</w:t>
      </w:r>
    </w:p>
    <w:p>
      <w:pPr>
        <w:pStyle w:val="V714Text"/>
      </w:pPr>
      <w:r>
        <w:t>• NSE CAS boundaries 15:15, 15:20, 15:25, 15:28, 15:30, 15:35, non-CAS 15:30 and derivatives 15:40 are tested.</w:t>
      </w:r>
    </w:p>
    <w:p>
      <w:pPr>
        <w:pStyle w:val="V714Text"/>
      </w:pPr>
      <w:r>
        <w:t>• 26 whitelisted formula references with reproducible synthetic expectations and missing required inputs are tested; model owners must add independent positive/negative/units and PIT property vectors.</w:t>
      </w:r>
    </w:p>
    <w:p>
      <w:pPr>
        <w:pStyle w:val="V714Text"/>
      </w:pPr>
      <w:r>
        <w:t>• ZIP CRC, DOCX original-annex text preservation and visual layout must pass before release.</w:t>
      </w:r>
    </w:p>
    <w:p>
      <w:pPr>
        <w:pStyle w:val="V714Text"/>
      </w:pPr>
      <w:r>
        <w:t>NO-GO condition: any actual broker order requires original production broker adapter + signed account policies + transactional position/risk reservation + PIT source validation + independent operations and investment signoffs. None are delivered in this reference package.</w:t>
      </w:r>
    </w:p>
    <w:p>
      <w:pPr>
        <w:pStyle w:val="V714Head"/>
      </w:pPr>
      <w:r>
        <w:t>11 | Historical master follows (subordinate record)</w:t>
      </w:r>
    </w:p>
    <w:p>
      <w:pPr>
        <w:pStyle w:val="V714Text"/>
      </w:pPr>
      <w:r>
        <w:t>The complete IEIS 7.1.3 corrected master, containing the 7.1.2 consolidated baseline, is reproduced after this page as the historical engineering foundation. Statements within it describing a smaller reference suite, older incomplete FinalQuantity or older release status are superseded by the explicit V7.1.4 rules above. All historical content is preserved for comparison and provenance, not independently enforceable when contradictory.</w:t>
      </w:r>
    </w:p>
    <w:p>
      <w:r>
        <w:br w:type="page"/>
      </w:r>
    </w:p>
    <w:p>
      <w:pPr>
        <w:pStyle w:val="PatchSubtitle"/>
      </w:pPr>
      <w:r>
        <w:t>INDIAN EQUITY INTELLIGENCE SYSTEM</w:t>
      </w:r>
    </w:p>
    <w:p>
      <w:pPr>
        <w:pStyle w:val="PatchTitle"/>
      </w:pPr>
      <w:r>
        <w:t>IEIS 7.1.3</w:t>
      </w:r>
    </w:p>
    <w:p>
      <w:pPr>
        <w:pStyle w:val="PatchTitle"/>
      </w:pPr>
      <w:r>
        <w:t>Corrected Master Specification</w:t>
      </w:r>
    </w:p>
    <w:p>
      <w:pPr>
        <w:pStyle w:val="PatchSubtitle"/>
      </w:pPr>
      <w:r>
        <w:t>Audit-Remediated Engineering Edition | 15 October 2026</w:t>
      </w:r>
    </w:p>
    <w:p>
      <w:pPr>
        <w:pStyle w:val="PatchBody"/>
      </w:pPr>
      <w:r>
        <w:t>Superseding control layer + complete historical IEIS 7.1.2 reference (no-loss archival content)</w:t>
      </w:r>
    </w:p>
    <w:p>
      <w:pPr>
        <w:pStyle w:val="PatchFlag"/>
      </w:pPr>
      <w:r>
        <w:t>RELEASE CLASSIFICATION: SPECIFICATION UPDATED / REFERENCE TESTED / LIVE TRADING BLOCKED</w:t>
      </w:r>
    </w:p>
    <w:p>
      <w:pPr>
        <w:pStyle w:val="PatchBody"/>
      </w:pPr>
      <w:r>
        <w:t>This 7.1.3 control layer is authoritative wherever it conflicts with the historical 7.1.2 front matter, inherited 7.2 / 7.1.1 text or formula-correction changelog reproduced after it. The complete historical body remains present for provenance, not as a second competing execution authority.</w:t>
      </w:r>
    </w:p>
    <w:tbl>
      <w:tblPr>
        <w:tblStyle w:val="TableGrid"/>
        <w:tblW w:type="auto" w:w="0"/>
        <w:jc w:val="center"/>
        <w:tblLook w:firstColumn="1" w:firstRow="1" w:lastColumn="0" w:lastRow="0" w:noHBand="0" w:noVBand="1" w:val="04A0"/>
      </w:tblPr>
      <w:tblGrid>
        <w:gridCol w:w="4997"/>
        <w:gridCol w:w="4997"/>
      </w:tblGrid>
      <w:tr>
        <w:trPr>
          <w:tblHeader/>
        </w:trPr>
        <w:tc>
          <w:tcPr>
            <w:tcW w:type="dxa" w:w="4997"/>
            <w:vAlign w:val="center"/>
            <w:shd w:fill="183E54"/>
          </w:tcPr>
          <w:p>
            <w:pPr>
              <w:spacing w:after="40" w:before="40"/>
            </w:pPr>
            <w:r>
              <w:rPr>
                <w:rFonts w:ascii="Aptos" w:hAnsi="Aptos"/>
                <w:b/>
                <w:color w:val="FFFFFF"/>
                <w:sz w:val="16"/>
              </w:rPr>
              <w:t>Release state</w:t>
            </w:r>
          </w:p>
        </w:tc>
        <w:tc>
          <w:tcPr>
            <w:tcW w:type="dxa" w:w="4997"/>
            <w:vAlign w:val="center"/>
            <w:shd w:fill="183E54"/>
          </w:tcPr>
          <w:p>
            <w:pPr>
              <w:spacing w:after="40" w:before="40"/>
            </w:pPr>
            <w:r>
              <w:rPr>
                <w:rFonts w:ascii="Aptos" w:hAnsi="Aptos"/>
                <w:b/>
                <w:color w:val="FFFFFF"/>
                <w:sz w:val="16"/>
              </w:rPr>
              <w:t>Evidence</w:t>
            </w:r>
          </w:p>
        </w:tc>
      </w:tr>
      <w:tr>
        <w:tc>
          <w:tcPr>
            <w:tcW w:type="dxa" w:w="4997"/>
            <w:vAlign w:val="center"/>
          </w:tcPr>
          <w:p>
            <w:pPr>
              <w:spacing w:after="40" w:before="40"/>
            </w:pPr>
            <w:r>
              <w:rPr>
                <w:rFonts w:ascii="Aptos" w:hAnsi="Aptos"/>
                <w:sz w:val="16"/>
              </w:rPr>
              <w:t>Architecture remediated</w:t>
            </w:r>
          </w:p>
        </w:tc>
        <w:tc>
          <w:tcPr>
            <w:tcW w:type="dxa" w:w="4997"/>
            <w:vAlign w:val="center"/>
          </w:tcPr>
          <w:p>
            <w:pPr>
              <w:spacing w:after="40" w:before="40"/>
            </w:pPr>
            <w:r>
              <w:rPr>
                <w:rFonts w:ascii="Aptos" w:hAnsi="Aptos"/>
                <w:sz w:val="16"/>
              </w:rPr>
              <w:t>24 audit findings mapped; core safety contracts specified.</w:t>
            </w:r>
          </w:p>
        </w:tc>
      </w:tr>
      <w:tr>
        <w:tc>
          <w:tcPr>
            <w:tcW w:type="dxa" w:w="4997"/>
            <w:vAlign w:val="center"/>
          </w:tcPr>
          <w:p>
            <w:pPr>
              <w:spacing w:after="40" w:before="40"/>
            </w:pPr>
            <w:r>
              <w:rPr>
                <w:rFonts w:ascii="Aptos" w:hAnsi="Aptos"/>
                <w:sz w:val="16"/>
              </w:rPr>
              <w:t>Reference controls</w:t>
            </w:r>
          </w:p>
        </w:tc>
        <w:tc>
          <w:tcPr>
            <w:tcW w:type="dxa" w:w="4997"/>
            <w:vAlign w:val="center"/>
          </w:tcPr>
          <w:p>
            <w:pPr>
              <w:spacing w:after="40" w:before="40"/>
            </w:pPr>
            <w:r>
              <w:rPr>
                <w:rFonts w:ascii="Aptos" w:hAnsi="Aptos"/>
                <w:sz w:val="16"/>
              </w:rPr>
              <w:t>Offline Python unit tests, not broker or market-data simulation.</w:t>
            </w:r>
          </w:p>
        </w:tc>
      </w:tr>
      <w:tr>
        <w:tc>
          <w:tcPr>
            <w:tcW w:type="dxa" w:w="4997"/>
            <w:vAlign w:val="center"/>
          </w:tcPr>
          <w:p>
            <w:pPr>
              <w:spacing w:after="40" w:before="40"/>
            </w:pPr>
            <w:r>
              <w:rPr>
                <w:rFonts w:ascii="Aptos" w:hAnsi="Aptos"/>
                <w:sz w:val="16"/>
              </w:rPr>
              <w:t>Data validated</w:t>
            </w:r>
          </w:p>
        </w:tc>
        <w:tc>
          <w:tcPr>
            <w:tcW w:type="dxa" w:w="4997"/>
            <w:vAlign w:val="center"/>
          </w:tcPr>
          <w:p>
            <w:pPr>
              <w:spacing w:after="40" w:before="40"/>
            </w:pPr>
            <w:r>
              <w:rPr>
                <w:rFonts w:ascii="Aptos" w:hAnsi="Aptos"/>
                <w:sz w:val="16"/>
              </w:rPr>
              <w:t>NOT VALIDATED: permissions, source reconciliation and PIT coverage not supplied.</w:t>
            </w:r>
          </w:p>
        </w:tc>
      </w:tr>
      <w:tr>
        <w:tc>
          <w:tcPr>
            <w:tcW w:type="dxa" w:w="4997"/>
            <w:vAlign w:val="center"/>
          </w:tcPr>
          <w:p>
            <w:pPr>
              <w:spacing w:after="40" w:before="40"/>
            </w:pPr>
            <w:r>
              <w:rPr>
                <w:rFonts w:ascii="Aptos" w:hAnsi="Aptos"/>
                <w:sz w:val="16"/>
              </w:rPr>
              <w:t>Code validated</w:t>
            </w:r>
          </w:p>
        </w:tc>
        <w:tc>
          <w:tcPr>
            <w:tcW w:type="dxa" w:w="4997"/>
            <w:vAlign w:val="center"/>
          </w:tcPr>
          <w:p>
            <w:pPr>
              <w:spacing w:after="40" w:before="40"/>
            </w:pPr>
            <w:r>
              <w:rPr>
                <w:rFonts w:ascii="Aptos" w:hAnsi="Aptos"/>
                <w:sz w:val="16"/>
              </w:rPr>
              <w:t>NOT VALIDATED: full application/GUI/broker adapters not supplied.</w:t>
            </w:r>
          </w:p>
        </w:tc>
      </w:tr>
      <w:tr>
        <w:tc>
          <w:tcPr>
            <w:tcW w:type="dxa" w:w="4997"/>
            <w:vAlign w:val="center"/>
          </w:tcPr>
          <w:p>
            <w:pPr>
              <w:spacing w:after="40" w:before="40"/>
            </w:pPr>
            <w:r>
              <w:rPr>
                <w:rFonts w:ascii="Aptos" w:hAnsi="Aptos"/>
                <w:sz w:val="16"/>
              </w:rPr>
              <w:t>Investment validated</w:t>
            </w:r>
          </w:p>
        </w:tc>
        <w:tc>
          <w:tcPr>
            <w:tcW w:type="dxa" w:w="4997"/>
            <w:vAlign w:val="center"/>
          </w:tcPr>
          <w:p>
            <w:pPr>
              <w:spacing w:after="40" w:before="40"/>
            </w:pPr>
            <w:r>
              <w:rPr>
                <w:rFonts w:ascii="Aptos" w:hAnsi="Aptos"/>
                <w:sz w:val="16"/>
              </w:rPr>
              <w:t>NOT VALIDATED: point-in-time walk-forward and paper/live evidence not supplied.</w:t>
            </w:r>
          </w:p>
        </w:tc>
      </w:tr>
      <w:tr>
        <w:tc>
          <w:tcPr>
            <w:tcW w:type="dxa" w:w="4997"/>
            <w:vAlign w:val="center"/>
          </w:tcPr>
          <w:p>
            <w:pPr>
              <w:spacing w:after="40" w:before="40"/>
            </w:pPr>
            <w:r>
              <w:rPr>
                <w:rFonts w:ascii="Aptos" w:hAnsi="Aptos"/>
                <w:sz w:val="16"/>
              </w:rPr>
              <w:t>Default/only allowed mode until sign-off</w:t>
            </w:r>
          </w:p>
        </w:tc>
        <w:tc>
          <w:tcPr>
            <w:tcW w:type="dxa" w:w="4997"/>
            <w:vAlign w:val="center"/>
          </w:tcPr>
          <w:p>
            <w:pPr>
              <w:spacing w:after="40" w:before="40"/>
            </w:pPr>
            <w:r>
              <w:rPr>
                <w:rFonts w:ascii="Aptos" w:hAnsi="Aptos"/>
                <w:sz w:val="16"/>
              </w:rPr>
              <w:t>RESEARCH_ONLY / ALERT_ONLY; paper requires separate acceptance.</w:t>
            </w:r>
          </w:p>
        </w:tc>
      </w:tr>
    </w:tbl>
    <w:p>
      <w:pPr>
        <w:pStyle w:val="PatchSmall"/>
      </w:pPr>
    </w:p>
    <w:p>
      <w:pPr>
        <w:pStyle w:val="PatchSmall"/>
      </w:pPr>
      <w:r>
        <w:t>Prepared from: IEIS 7.1.2 Consolidated Formula-Safe Master Specification and the independent audit dated 15 October 2026. Scope of changes: requirements, formula authority, safety state machines, acceptance criteria, reference tests and non-production policy examples.</w:t>
      </w:r>
    </w:p>
    <w:p>
      <w:r>
        <w:br w:type="page"/>
      </w:r>
    </w:p>
    <w:p>
      <w:pPr>
        <w:pStyle w:val="PatchH1"/>
      </w:pPr>
      <w:r>
        <w:t>0 | Controlling integration and release decision</w:t>
      </w:r>
    </w:p>
    <w:p>
      <w:pPr>
        <w:pStyle w:val="PatchH2"/>
      </w:pPr>
      <w:r>
        <w:t>0.1 Authority and conflict precedence</w:t>
      </w:r>
    </w:p>
    <w:p>
      <w:pPr>
        <w:pStyle w:val="PatchBody"/>
      </w:pPr>
      <w:r>
        <w:t>• First: this IEIS 7.1.3 corrective control layer, its V3 formula semantics, its safety gates and explicit operating-mode restrictions.</w:t>
      </w:r>
    </w:p>
    <w:p>
      <w:pPr>
        <w:pStyle w:val="PatchBody"/>
      </w:pPr>
      <w:r>
        <w:t>• Second: the 7.1.3 machine-readable formula and remediation registries, with the proviso that documentation-only expressions cannot be treated as executable until approved.</w:t>
      </w:r>
    </w:p>
    <w:p>
      <w:pPr>
        <w:pStyle w:val="PatchBody"/>
      </w:pPr>
      <w:r>
        <w:t>• Third: the historical IEIS 7.1.2 canonical front matter when no V3 rule replaces it.</w:t>
      </w:r>
    </w:p>
    <w:p>
      <w:pPr>
        <w:pStyle w:val="PatchBody"/>
      </w:pPr>
      <w:r>
        <w:t>• Fourth: inherited 7.2 control clauses, 7.1.1 technical baseline, and 7.1 formula-correction provenance, subject to the stricter applicable safety control.</w:t>
      </w:r>
    </w:p>
    <w:p>
      <w:pPr>
        <w:pStyle w:val="PatchBody"/>
      </w:pPr>
      <w:r>
        <w:t>• Unresolved contradictions create a versioned POLICY_CONFLICT record and block the affected action; engineering must never silently select the more permissive rule.</w:t>
      </w:r>
    </w:p>
    <w:p>
      <w:pPr>
        <w:pStyle w:val="PatchBody"/>
      </w:pPr>
      <w:r>
        <w:t>All original 7.1.2 paragraphs and 35 tables are preserved later in this file. Their historical page numbers, old labels and formulas are evidentiary provenance; all explicit V3 overrides below take precedence for future implementation.</w:t>
      </w:r>
    </w:p>
    <w:p>
      <w:pPr>
        <w:pStyle w:val="PatchH2"/>
      </w:pPr>
      <w:r>
        <w:t>0.2 Release status and what is actually implemented</w:t>
      </w:r>
    </w:p>
    <w:p>
      <w:pPr>
        <w:pStyle w:val="PatchBody"/>
      </w:pPr>
      <w:r>
        <w:t>This rebuild fixes the audited specification and supplies a limited offline reference implementation. It does NOT provide a complete app, a real feed, broker connector, registered strategy, transactional reservation journal, live order manager, dashboard, dataset, production audit log or risk-certified executable. Passing reference tests does not authorize orders.</w:t>
      </w:r>
    </w:p>
    <w:tbl>
      <w:tblPr>
        <w:tblStyle w:val="TableGrid"/>
        <w:tblW w:type="auto" w:w="0"/>
        <w:jc w:val="center"/>
        <w:tblLook w:firstColumn="1" w:firstRow="1" w:lastColumn="0" w:lastRow="0" w:noHBand="0" w:noVBand="1" w:val="04A0"/>
      </w:tblPr>
      <w:tblGrid>
        <w:gridCol w:w="3331"/>
        <w:gridCol w:w="3331"/>
        <w:gridCol w:w="3331"/>
      </w:tblGrid>
      <w:tr>
        <w:trPr>
          <w:tblHeader/>
        </w:trPr>
        <w:tc>
          <w:tcPr>
            <w:tcW w:type="dxa" w:w="3331"/>
            <w:vAlign w:val="center"/>
            <w:shd w:fill="183E54"/>
          </w:tcPr>
          <w:p>
            <w:pPr>
              <w:spacing w:after="40" w:before="40"/>
            </w:pPr>
            <w:r>
              <w:rPr>
                <w:rFonts w:ascii="Aptos" w:hAnsi="Aptos"/>
                <w:b/>
                <w:color w:val="FFFFFF"/>
                <w:sz w:val="16"/>
              </w:rPr>
              <w:t>Capability</w:t>
            </w:r>
          </w:p>
        </w:tc>
        <w:tc>
          <w:tcPr>
            <w:tcW w:type="dxa" w:w="3331"/>
            <w:vAlign w:val="center"/>
            <w:shd w:fill="183E54"/>
          </w:tcPr>
          <w:p>
            <w:pPr>
              <w:spacing w:after="40" w:before="40"/>
            </w:pPr>
            <w:r>
              <w:rPr>
                <w:rFonts w:ascii="Aptos" w:hAnsi="Aptos"/>
                <w:b/>
                <w:color w:val="FFFFFF"/>
                <w:sz w:val="16"/>
              </w:rPr>
              <w:t>Current state</w:t>
            </w:r>
          </w:p>
        </w:tc>
        <w:tc>
          <w:tcPr>
            <w:tcW w:type="dxa" w:w="3331"/>
            <w:vAlign w:val="center"/>
            <w:shd w:fill="183E54"/>
          </w:tcPr>
          <w:p>
            <w:pPr>
              <w:spacing w:after="40" w:before="40"/>
            </w:pPr>
            <w:r>
              <w:rPr>
                <w:rFonts w:ascii="Aptos" w:hAnsi="Aptos"/>
                <w:b/>
                <w:color w:val="FFFFFF"/>
                <w:sz w:val="16"/>
              </w:rPr>
              <w:t>Production restriction</w:t>
            </w:r>
          </w:p>
        </w:tc>
      </w:tr>
      <w:tr>
        <w:tc>
          <w:tcPr>
            <w:tcW w:type="dxa" w:w="3331"/>
            <w:vAlign w:val="center"/>
          </w:tcPr>
          <w:p>
            <w:pPr>
              <w:spacing w:after="40" w:before="40"/>
            </w:pPr>
            <w:r>
              <w:rPr>
                <w:rFonts w:ascii="Aptos" w:hAnsi="Aptos"/>
                <w:sz w:val="16"/>
              </w:rPr>
              <w:t>All 24 audit remediations</w:t>
            </w:r>
          </w:p>
        </w:tc>
        <w:tc>
          <w:tcPr>
            <w:tcW w:type="dxa" w:w="3331"/>
            <w:vAlign w:val="center"/>
          </w:tcPr>
          <w:p>
            <w:pPr>
              <w:spacing w:after="40" w:before="40"/>
            </w:pPr>
            <w:r>
              <w:rPr>
                <w:rFonts w:ascii="Aptos" w:hAnsi="Aptos"/>
                <w:sz w:val="16"/>
              </w:rPr>
              <w:t>Specification rewritten</w:t>
            </w:r>
          </w:p>
        </w:tc>
        <w:tc>
          <w:tcPr>
            <w:tcW w:type="dxa" w:w="3331"/>
            <w:vAlign w:val="center"/>
          </w:tcPr>
          <w:p>
            <w:pPr>
              <w:spacing w:after="40" w:before="40"/>
            </w:pPr>
            <w:r>
              <w:rPr>
                <w:rFonts w:ascii="Aptos" w:hAnsi="Aptos"/>
                <w:sz w:val="16"/>
              </w:rPr>
              <w:t>Review and implement open engineering items</w:t>
            </w:r>
          </w:p>
        </w:tc>
      </w:tr>
      <w:tr>
        <w:tc>
          <w:tcPr>
            <w:tcW w:type="dxa" w:w="3331"/>
            <w:vAlign w:val="center"/>
          </w:tcPr>
          <w:p>
            <w:pPr>
              <w:spacing w:after="40" w:before="40"/>
            </w:pPr>
            <w:r>
              <w:rPr>
                <w:rFonts w:ascii="Aptos" w:hAnsi="Aptos"/>
                <w:sz w:val="16"/>
              </w:rPr>
              <w:t>Formula actionability and risk guards</w:t>
            </w:r>
          </w:p>
        </w:tc>
        <w:tc>
          <w:tcPr>
            <w:tcW w:type="dxa" w:w="3331"/>
            <w:vAlign w:val="center"/>
          </w:tcPr>
          <w:p>
            <w:pPr>
              <w:spacing w:after="40" w:before="40"/>
            </w:pPr>
            <w:r>
              <w:rPr>
                <w:rFonts w:ascii="Aptos" w:hAnsi="Aptos"/>
                <w:sz w:val="16"/>
              </w:rPr>
              <w:t>Offline Python reference tests</w:t>
            </w:r>
          </w:p>
        </w:tc>
        <w:tc>
          <w:tcPr>
            <w:tcW w:type="dxa" w:w="3331"/>
            <w:vAlign w:val="center"/>
          </w:tcPr>
          <w:p>
            <w:pPr>
              <w:spacing w:after="40" w:before="40"/>
            </w:pPr>
            <w:r>
              <w:rPr>
                <w:rFonts w:ascii="Aptos" w:hAnsi="Aptos"/>
                <w:sz w:val="16"/>
              </w:rPr>
              <w:t>Needs concurrency, property and integration tests</w:t>
            </w:r>
          </w:p>
        </w:tc>
      </w:tr>
      <w:tr>
        <w:tc>
          <w:tcPr>
            <w:tcW w:type="dxa" w:w="3331"/>
            <w:vAlign w:val="center"/>
          </w:tcPr>
          <w:p>
            <w:pPr>
              <w:spacing w:after="40" w:before="40"/>
            </w:pPr>
            <w:r>
              <w:rPr>
                <w:rFonts w:ascii="Aptos" w:hAnsi="Aptos"/>
                <w:sz w:val="16"/>
              </w:rPr>
              <w:t>Live feed and intraday scanner</w:t>
            </w:r>
          </w:p>
        </w:tc>
        <w:tc>
          <w:tcPr>
            <w:tcW w:type="dxa" w:w="3331"/>
            <w:vAlign w:val="center"/>
          </w:tcPr>
          <w:p>
            <w:pPr>
              <w:spacing w:after="40" w:before="40"/>
            </w:pPr>
            <w:r>
              <w:rPr>
                <w:rFonts w:ascii="Aptos" w:hAnsi="Aptos"/>
                <w:sz w:val="16"/>
              </w:rPr>
              <w:t>Interface and contracts only</w:t>
            </w:r>
          </w:p>
        </w:tc>
        <w:tc>
          <w:tcPr>
            <w:tcW w:type="dxa" w:w="3331"/>
            <w:vAlign w:val="center"/>
          </w:tcPr>
          <w:p>
            <w:pPr>
              <w:spacing w:after="40" w:before="40"/>
            </w:pPr>
            <w:r>
              <w:rPr>
                <w:rFonts w:ascii="Aptos" w:hAnsi="Aptos"/>
                <w:sz w:val="16"/>
              </w:rPr>
              <w:t>Disabled</w:t>
            </w:r>
          </w:p>
        </w:tc>
      </w:tr>
      <w:tr>
        <w:tc>
          <w:tcPr>
            <w:tcW w:type="dxa" w:w="3331"/>
            <w:vAlign w:val="center"/>
          </w:tcPr>
          <w:p>
            <w:pPr>
              <w:spacing w:after="40" w:before="40"/>
            </w:pPr>
            <w:r>
              <w:rPr>
                <w:rFonts w:ascii="Aptos" w:hAnsi="Aptos"/>
                <w:sz w:val="16"/>
              </w:rPr>
              <w:t>Broker primary/secondary</w:t>
            </w:r>
          </w:p>
        </w:tc>
        <w:tc>
          <w:tcPr>
            <w:tcW w:type="dxa" w:w="3331"/>
            <w:vAlign w:val="center"/>
          </w:tcPr>
          <w:p>
            <w:pPr>
              <w:spacing w:after="40" w:before="40"/>
            </w:pPr>
            <w:r>
              <w:rPr>
                <w:rFonts w:ascii="Aptos" w:hAnsi="Aptos"/>
                <w:sz w:val="16"/>
              </w:rPr>
              <w:t>Fail-closed design only</w:t>
            </w:r>
          </w:p>
        </w:tc>
        <w:tc>
          <w:tcPr>
            <w:tcW w:type="dxa" w:w="3331"/>
            <w:vAlign w:val="center"/>
          </w:tcPr>
          <w:p>
            <w:pPr>
              <w:spacing w:after="40" w:before="40"/>
            </w:pPr>
            <w:r>
              <w:rPr>
                <w:rFonts w:ascii="Aptos" w:hAnsi="Aptos"/>
                <w:sz w:val="16"/>
              </w:rPr>
              <w:t>No broker order submission</w:t>
            </w:r>
          </w:p>
        </w:tc>
      </w:tr>
      <w:tr>
        <w:tc>
          <w:tcPr>
            <w:tcW w:type="dxa" w:w="3331"/>
            <w:vAlign w:val="center"/>
          </w:tcPr>
          <w:p>
            <w:pPr>
              <w:spacing w:after="40" w:before="40"/>
            </w:pPr>
            <w:r>
              <w:rPr>
                <w:rFonts w:ascii="Aptos" w:hAnsi="Aptos"/>
                <w:sz w:val="16"/>
              </w:rPr>
              <w:t>Backtesting and investment validation</w:t>
            </w:r>
          </w:p>
        </w:tc>
        <w:tc>
          <w:tcPr>
            <w:tcW w:type="dxa" w:w="3331"/>
            <w:vAlign w:val="center"/>
          </w:tcPr>
          <w:p>
            <w:pPr>
              <w:spacing w:after="40" w:before="40"/>
            </w:pPr>
            <w:r>
              <w:rPr>
                <w:rFonts w:ascii="Aptos" w:hAnsi="Aptos"/>
                <w:sz w:val="16"/>
              </w:rPr>
              <w:t>Mandatory acceptance contract</w:t>
            </w:r>
          </w:p>
        </w:tc>
        <w:tc>
          <w:tcPr>
            <w:tcW w:type="dxa" w:w="3331"/>
            <w:vAlign w:val="center"/>
          </w:tcPr>
          <w:p>
            <w:pPr>
              <w:spacing w:after="40" w:before="40"/>
            </w:pPr>
            <w:r>
              <w:rPr>
                <w:rFonts w:ascii="Aptos" w:hAnsi="Aptos"/>
                <w:sz w:val="16"/>
              </w:rPr>
              <w:t>Not performed; claims prohibited</w:t>
            </w:r>
          </w:p>
        </w:tc>
      </w:tr>
    </w:tbl>
    <w:p>
      <w:pPr>
        <w:pStyle w:val="PatchSmall"/>
      </w:pPr>
    </w:p>
    <w:p>
      <w:pPr>
        <w:pStyle w:val="PatchH2"/>
      </w:pPr>
      <w:r>
        <w:t>0.3 Audit closure meaning</w:t>
      </w:r>
    </w:p>
    <w:p>
      <w:pPr>
        <w:pStyle w:val="PatchBody"/>
      </w:pPr>
      <w:r>
        <w:t>REFERENCE_TESTED denotes deterministic unit tests of an offline calculation or decision. SPEC_FIXED_IMPLEMENTATION_REQUIRED denotes a clarified requirement with no demonstrated implementation. No finding is designated CLOSED_FOR_LIVE. The original document’s term “production-ready architecture” is a design aspiration, not a runtime validation state.</w:t>
      </w:r>
    </w:p>
    <w:p>
      <w:pPr>
        <w:pStyle w:val="PatchH1"/>
      </w:pPr>
      <w:r>
        <w:t>1 | Canonical data, coverage and historical integrity</w:t>
      </w:r>
    </w:p>
    <w:p>
      <w:pPr>
        <w:pStyle w:val="PatchH2"/>
      </w:pPr>
      <w:r>
        <w:t>1.1 Preserve existing multi-layer stock intelligence</w:t>
      </w:r>
    </w:p>
    <w:p>
      <w:pPr>
        <w:pStyle w:val="PatchBody"/>
      </w:pPr>
      <w:r>
        <w:t>The 7.1.2 original design is preserved: a 2,000-security market-wide batch universe, a 500–1,000-company standard fundamental set, a 50–200-company evidence-led deep-research set, and a laptop-scale 100–300 security streaming hot universe. A signal card must expose universe tier, last data timestamp, research depth and eligible automation mode. Never equate batch-monitoring with real-time coverage.</w:t>
      </w:r>
    </w:p>
    <w:p>
      <w:pPr>
        <w:pStyle w:val="PatchH2"/>
      </w:pPr>
      <w:r>
        <w:t>1.2 Point-in-time knowledge and identity</w:t>
      </w:r>
    </w:p>
    <w:p>
      <w:pPr>
        <w:pStyle w:val="PatchBody"/>
      </w:pPr>
      <w:r>
        <w:t>Historical replay must use the listing/security/contract identity and the first legally and operationally available source version at decision time. Store ISIN and exchange listing IDs, derivative-contract identity, effective symbol history, source rights, exchange published timestamp, system received timestamp, revision links and corporate-action lineage. Lack of audited delisted-stock history forces PIT_LIMITED backtest disclosure and blocks “Investment Validated”.</w:t>
      </w:r>
    </w:p>
    <w:p>
      <w:pPr>
        <w:pStyle w:val="PatchH2"/>
      </w:pPr>
      <w:r>
        <w:t>1.3 Candle seal / provider watermark</w:t>
      </w:r>
    </w:p>
    <w:p>
      <w:pPr>
        <w:pStyle w:val="PatchCode"/>
      </w:pPr>
      <w:r>
        <w:t>Sealed(bar) := exchange_calendar_finalized(bar) AND required_observations_present AND provider_watermark &gt;= bar_end_IST + configured_seal_delay AND no_material_source_conflict</w:t>
      </w:r>
    </w:p>
    <w:p>
      <w:pPr>
        <w:pStyle w:val="PatchBody"/>
      </w:pPr>
      <w:r>
        <w:t>Wall-clock time passing bar_end is insufficient. OHLCV correction after seal produces a new version; replay uses the version first available at the historical decision timestamp. The source adapter must distinguish provider watermark, local receive time, provider quote age and exchange execution timestamp.</w:t>
      </w:r>
    </w:p>
    <w:p>
      <w:pPr>
        <w:pStyle w:val="PatchH2"/>
      </w:pPr>
      <w:r>
        <w:t>1.4 Research / signal finality boundary</w:t>
      </w:r>
    </w:p>
    <w:p>
      <w:pPr>
        <w:pStyle w:val="PatchBody"/>
      </w:pPr>
      <w:r>
        <w:t>AI inferences and third-party estimates remain distinct from statutory facts. Critical filings unresolved or license expired =&gt; affected model unavailable. Missing data is not a free positive score. Horizon signal preview remains PREVIEW_ONLY until its exact source observations are sealed, reconciled and assigned a stable signal_id.</w:t>
      </w:r>
    </w:p>
    <w:p>
      <w:pPr>
        <w:pStyle w:val="PatchH1"/>
      </w:pPr>
      <w:r>
        <w:t>2 | Replacement scoring formulas (V3)</w:t>
      </w:r>
    </w:p>
    <w:p>
      <w:pPr>
        <w:pStyle w:val="PatchH2"/>
      </w:pPr>
      <w:r>
        <w:t>2.1 A02 / A09: confidence versus actionability</w:t>
      </w:r>
    </w:p>
    <w:p>
      <w:pPr>
        <w:pStyle w:val="PatchBody"/>
      </w:pPr>
      <w:r>
        <w:t>Retain the historical confidence-shrunk value only as an uncertainty estimate. Do NOT sort candidates or size positions directly by that value. Define:</w:t>
      </w:r>
    </w:p>
    <w:p>
      <w:pPr>
        <w:pStyle w:val="PatchCode"/>
      </w:pPr>
      <w:r>
        <w:t>UncertaintyEstimate = 50 + (RawScore - 50) * (Confidence / 100)</w:t>
      </w:r>
    </w:p>
    <w:p>
      <w:pPr>
        <w:pStyle w:val="PatchCode"/>
      </w:pPr>
      <w:r>
        <w:t>ActionableScore = eligible ? clip(min(RawScore, UncertaintyEstimate, HardGateCap), 0, 100) : NULL</w:t>
      </w:r>
    </w:p>
    <w:p>
      <w:pPr>
        <w:pStyle w:val="PatchBody"/>
      </w:pPr>
      <w:r>
        <w:t>This guarantees that decreasing confidence does not increase the numerical actionable score for a fixed raw score and cap. It does not prove the underlying raw score is predictive; a separate minimum data-confidence gate must block weak coverage. A changing universe or feature set must be evaluated against the same fixed eligibility baseline when testing rank monotonicity.</w:t>
      </w:r>
    </w:p>
    <w:tbl>
      <w:tblPr>
        <w:tblStyle w:val="TableGrid"/>
        <w:tblW w:type="auto" w:w="0"/>
        <w:jc w:val="center"/>
        <w:tblLook w:firstColumn="1" w:firstRow="1" w:lastColumn="0" w:lastRow="0" w:noHBand="0" w:noVBand="1" w:val="04A0"/>
      </w:tblPr>
      <w:tblGrid>
        <w:gridCol w:w="2498"/>
        <w:gridCol w:w="2498"/>
        <w:gridCol w:w="2498"/>
        <w:gridCol w:w="2498"/>
      </w:tblGrid>
      <w:tr>
        <w:trPr>
          <w:tblHeader/>
        </w:trPr>
        <w:tc>
          <w:tcPr>
            <w:tcW w:type="dxa" w:w="2498"/>
            <w:vAlign w:val="center"/>
            <w:shd w:fill="183E54"/>
          </w:tcPr>
          <w:p>
            <w:pPr>
              <w:spacing w:after="40" w:before="40"/>
            </w:pPr>
            <w:r>
              <w:rPr>
                <w:rFonts w:ascii="Aptos" w:hAnsi="Aptos"/>
                <w:b/>
                <w:color w:val="FFFFFF"/>
                <w:sz w:val="14"/>
              </w:rPr>
              <w:t>Raw score</w:t>
            </w:r>
          </w:p>
        </w:tc>
        <w:tc>
          <w:tcPr>
            <w:tcW w:type="dxa" w:w="2498"/>
            <w:vAlign w:val="center"/>
            <w:shd w:fill="183E54"/>
          </w:tcPr>
          <w:p>
            <w:pPr>
              <w:spacing w:after="40" w:before="40"/>
            </w:pPr>
            <w:r>
              <w:rPr>
                <w:rFonts w:ascii="Aptos" w:hAnsi="Aptos"/>
                <w:b/>
                <w:color w:val="FFFFFF"/>
                <w:sz w:val="14"/>
              </w:rPr>
              <w:t>Confidence</w:t>
            </w:r>
          </w:p>
        </w:tc>
        <w:tc>
          <w:tcPr>
            <w:tcW w:type="dxa" w:w="2498"/>
            <w:vAlign w:val="center"/>
            <w:shd w:fill="183E54"/>
          </w:tcPr>
          <w:p>
            <w:pPr>
              <w:spacing w:after="40" w:before="40"/>
            </w:pPr>
            <w:r>
              <w:rPr>
                <w:rFonts w:ascii="Aptos" w:hAnsi="Aptos"/>
                <w:b/>
                <w:color w:val="FFFFFF"/>
                <w:sz w:val="14"/>
              </w:rPr>
              <w:t>Old shrunk value</w:t>
            </w:r>
          </w:p>
        </w:tc>
        <w:tc>
          <w:tcPr>
            <w:tcW w:type="dxa" w:w="2498"/>
            <w:vAlign w:val="center"/>
            <w:shd w:fill="183E54"/>
          </w:tcPr>
          <w:p>
            <w:pPr>
              <w:spacing w:after="40" w:before="40"/>
            </w:pPr>
            <w:r>
              <w:rPr>
                <w:rFonts w:ascii="Aptos" w:hAnsi="Aptos"/>
                <w:b/>
                <w:color w:val="FFFFFF"/>
                <w:sz w:val="14"/>
              </w:rPr>
              <w:t>New actionable</w:t>
            </w:r>
          </w:p>
        </w:tc>
      </w:tr>
      <w:tr>
        <w:tc>
          <w:tcPr>
            <w:tcW w:type="dxa" w:w="2498"/>
            <w:vAlign w:val="center"/>
          </w:tcPr>
          <w:p>
            <w:pPr>
              <w:spacing w:after="40" w:before="40"/>
            </w:pPr>
            <w:r>
              <w:rPr>
                <w:rFonts w:ascii="Aptos" w:hAnsi="Aptos"/>
                <w:sz w:val="14"/>
              </w:rPr>
              <w:t>20</w:t>
            </w:r>
          </w:p>
        </w:tc>
        <w:tc>
          <w:tcPr>
            <w:tcW w:type="dxa" w:w="2498"/>
            <w:vAlign w:val="center"/>
          </w:tcPr>
          <w:p>
            <w:pPr>
              <w:spacing w:after="40" w:before="40"/>
            </w:pPr>
            <w:r>
              <w:rPr>
                <w:rFonts w:ascii="Aptos" w:hAnsi="Aptos"/>
                <w:sz w:val="14"/>
              </w:rPr>
              <w:t>100</w:t>
            </w:r>
          </w:p>
        </w:tc>
        <w:tc>
          <w:tcPr>
            <w:tcW w:type="dxa" w:w="2498"/>
            <w:vAlign w:val="center"/>
          </w:tcPr>
          <w:p>
            <w:pPr>
              <w:spacing w:after="40" w:before="40"/>
            </w:pPr>
            <w:r>
              <w:rPr>
                <w:rFonts w:ascii="Aptos" w:hAnsi="Aptos"/>
                <w:sz w:val="14"/>
              </w:rPr>
              <w:t>20</w:t>
            </w:r>
          </w:p>
        </w:tc>
        <w:tc>
          <w:tcPr>
            <w:tcW w:type="dxa" w:w="2498"/>
            <w:vAlign w:val="center"/>
          </w:tcPr>
          <w:p>
            <w:pPr>
              <w:spacing w:after="40" w:before="40"/>
            </w:pPr>
            <w:r>
              <w:rPr>
                <w:rFonts w:ascii="Aptos" w:hAnsi="Aptos"/>
                <w:sz w:val="14"/>
              </w:rPr>
              <w:t>20</w:t>
            </w:r>
          </w:p>
        </w:tc>
      </w:tr>
      <w:tr>
        <w:tc>
          <w:tcPr>
            <w:tcW w:type="dxa" w:w="2498"/>
            <w:vAlign w:val="center"/>
          </w:tcPr>
          <w:p>
            <w:pPr>
              <w:spacing w:after="40" w:before="40"/>
            </w:pPr>
            <w:r>
              <w:rPr>
                <w:rFonts w:ascii="Aptos" w:hAnsi="Aptos"/>
                <w:sz w:val="14"/>
              </w:rPr>
              <w:t>20</w:t>
            </w:r>
          </w:p>
        </w:tc>
        <w:tc>
          <w:tcPr>
            <w:tcW w:type="dxa" w:w="2498"/>
            <w:vAlign w:val="center"/>
          </w:tcPr>
          <w:p>
            <w:pPr>
              <w:spacing w:after="40" w:before="40"/>
            </w:pPr>
            <w:r>
              <w:rPr>
                <w:rFonts w:ascii="Aptos" w:hAnsi="Aptos"/>
                <w:sz w:val="14"/>
              </w:rPr>
              <w:t>50</w:t>
            </w:r>
          </w:p>
        </w:tc>
        <w:tc>
          <w:tcPr>
            <w:tcW w:type="dxa" w:w="2498"/>
            <w:vAlign w:val="center"/>
          </w:tcPr>
          <w:p>
            <w:pPr>
              <w:spacing w:after="40" w:before="40"/>
            </w:pPr>
            <w:r>
              <w:rPr>
                <w:rFonts w:ascii="Aptos" w:hAnsi="Aptos"/>
                <w:sz w:val="14"/>
              </w:rPr>
              <w:t>35</w:t>
            </w:r>
          </w:p>
        </w:tc>
        <w:tc>
          <w:tcPr>
            <w:tcW w:type="dxa" w:w="2498"/>
            <w:vAlign w:val="center"/>
          </w:tcPr>
          <w:p>
            <w:pPr>
              <w:spacing w:after="40" w:before="40"/>
            </w:pPr>
            <w:r>
              <w:rPr>
                <w:rFonts w:ascii="Aptos" w:hAnsi="Aptos"/>
                <w:sz w:val="14"/>
              </w:rPr>
              <w:t>20</w:t>
            </w:r>
          </w:p>
        </w:tc>
      </w:tr>
      <w:tr>
        <w:tc>
          <w:tcPr>
            <w:tcW w:type="dxa" w:w="2498"/>
            <w:vAlign w:val="center"/>
          </w:tcPr>
          <w:p>
            <w:pPr>
              <w:spacing w:after="40" w:before="40"/>
            </w:pPr>
            <w:r>
              <w:rPr>
                <w:rFonts w:ascii="Aptos" w:hAnsi="Aptos"/>
                <w:sz w:val="14"/>
              </w:rPr>
              <w:t>20</w:t>
            </w:r>
          </w:p>
        </w:tc>
        <w:tc>
          <w:tcPr>
            <w:tcW w:type="dxa" w:w="2498"/>
            <w:vAlign w:val="center"/>
          </w:tcPr>
          <w:p>
            <w:pPr>
              <w:spacing w:after="40" w:before="40"/>
            </w:pPr>
            <w:r>
              <w:rPr>
                <w:rFonts w:ascii="Aptos" w:hAnsi="Aptos"/>
                <w:sz w:val="14"/>
              </w:rPr>
              <w:t>0</w:t>
            </w:r>
          </w:p>
        </w:tc>
        <w:tc>
          <w:tcPr>
            <w:tcW w:type="dxa" w:w="2498"/>
            <w:vAlign w:val="center"/>
          </w:tcPr>
          <w:p>
            <w:pPr>
              <w:spacing w:after="40" w:before="40"/>
            </w:pPr>
            <w:r>
              <w:rPr>
                <w:rFonts w:ascii="Aptos" w:hAnsi="Aptos"/>
                <w:sz w:val="14"/>
              </w:rPr>
              <w:t>50</w:t>
            </w:r>
          </w:p>
        </w:tc>
        <w:tc>
          <w:tcPr>
            <w:tcW w:type="dxa" w:w="2498"/>
            <w:vAlign w:val="center"/>
          </w:tcPr>
          <w:p>
            <w:pPr>
              <w:spacing w:after="40" w:before="40"/>
            </w:pPr>
            <w:r>
              <w:rPr>
                <w:rFonts w:ascii="Aptos" w:hAnsi="Aptos"/>
                <w:sz w:val="14"/>
              </w:rPr>
              <w:t>20 (ineligible if coverage gate fails)</w:t>
            </w:r>
          </w:p>
        </w:tc>
      </w:tr>
      <w:tr>
        <w:tc>
          <w:tcPr>
            <w:tcW w:type="dxa" w:w="2498"/>
            <w:vAlign w:val="center"/>
          </w:tcPr>
          <w:p>
            <w:pPr>
              <w:spacing w:after="40" w:before="40"/>
            </w:pPr>
            <w:r>
              <w:rPr>
                <w:rFonts w:ascii="Aptos" w:hAnsi="Aptos"/>
                <w:sz w:val="14"/>
              </w:rPr>
              <w:t>90</w:t>
            </w:r>
          </w:p>
        </w:tc>
        <w:tc>
          <w:tcPr>
            <w:tcW w:type="dxa" w:w="2498"/>
            <w:vAlign w:val="center"/>
          </w:tcPr>
          <w:p>
            <w:pPr>
              <w:spacing w:after="40" w:before="40"/>
            </w:pPr>
            <w:r>
              <w:rPr>
                <w:rFonts w:ascii="Aptos" w:hAnsi="Aptos"/>
                <w:sz w:val="14"/>
              </w:rPr>
              <w:t>100</w:t>
            </w:r>
          </w:p>
        </w:tc>
        <w:tc>
          <w:tcPr>
            <w:tcW w:type="dxa" w:w="2498"/>
            <w:vAlign w:val="center"/>
          </w:tcPr>
          <w:p>
            <w:pPr>
              <w:spacing w:after="40" w:before="40"/>
            </w:pPr>
            <w:r>
              <w:rPr>
                <w:rFonts w:ascii="Aptos" w:hAnsi="Aptos"/>
                <w:sz w:val="14"/>
              </w:rPr>
              <w:t>90</w:t>
            </w:r>
          </w:p>
        </w:tc>
        <w:tc>
          <w:tcPr>
            <w:tcW w:type="dxa" w:w="2498"/>
            <w:vAlign w:val="center"/>
          </w:tcPr>
          <w:p>
            <w:pPr>
              <w:spacing w:after="40" w:before="40"/>
            </w:pPr>
            <w:r>
              <w:rPr>
                <w:rFonts w:ascii="Aptos" w:hAnsi="Aptos"/>
                <w:sz w:val="14"/>
              </w:rPr>
              <w:t>90</w:t>
            </w:r>
          </w:p>
        </w:tc>
      </w:tr>
      <w:tr>
        <w:tc>
          <w:tcPr>
            <w:tcW w:type="dxa" w:w="2498"/>
            <w:vAlign w:val="center"/>
          </w:tcPr>
          <w:p>
            <w:pPr>
              <w:spacing w:after="40" w:before="40"/>
            </w:pPr>
            <w:r>
              <w:rPr>
                <w:rFonts w:ascii="Aptos" w:hAnsi="Aptos"/>
                <w:sz w:val="14"/>
              </w:rPr>
              <w:t>90</w:t>
            </w:r>
          </w:p>
        </w:tc>
        <w:tc>
          <w:tcPr>
            <w:tcW w:type="dxa" w:w="2498"/>
            <w:vAlign w:val="center"/>
          </w:tcPr>
          <w:p>
            <w:pPr>
              <w:spacing w:after="40" w:before="40"/>
            </w:pPr>
            <w:r>
              <w:rPr>
                <w:rFonts w:ascii="Aptos" w:hAnsi="Aptos"/>
                <w:sz w:val="14"/>
              </w:rPr>
              <w:t>50</w:t>
            </w:r>
          </w:p>
        </w:tc>
        <w:tc>
          <w:tcPr>
            <w:tcW w:type="dxa" w:w="2498"/>
            <w:vAlign w:val="center"/>
          </w:tcPr>
          <w:p>
            <w:pPr>
              <w:spacing w:after="40" w:before="40"/>
            </w:pPr>
            <w:r>
              <w:rPr>
                <w:rFonts w:ascii="Aptos" w:hAnsi="Aptos"/>
                <w:sz w:val="14"/>
              </w:rPr>
              <w:t>70</w:t>
            </w:r>
          </w:p>
        </w:tc>
        <w:tc>
          <w:tcPr>
            <w:tcW w:type="dxa" w:w="2498"/>
            <w:vAlign w:val="center"/>
          </w:tcPr>
          <w:p>
            <w:pPr>
              <w:spacing w:after="40" w:before="40"/>
            </w:pPr>
            <w:r>
              <w:rPr>
                <w:rFonts w:ascii="Aptos" w:hAnsi="Aptos"/>
                <w:sz w:val="14"/>
              </w:rPr>
              <w:t>70</w:t>
            </w:r>
          </w:p>
        </w:tc>
      </w:tr>
      <w:tr>
        <w:tc>
          <w:tcPr>
            <w:tcW w:type="dxa" w:w="2498"/>
            <w:vAlign w:val="center"/>
          </w:tcPr>
          <w:p>
            <w:pPr>
              <w:spacing w:after="40" w:before="40"/>
            </w:pPr>
            <w:r>
              <w:rPr>
                <w:rFonts w:ascii="Aptos" w:hAnsi="Aptos"/>
                <w:sz w:val="14"/>
              </w:rPr>
              <w:t>90</w:t>
            </w:r>
          </w:p>
        </w:tc>
        <w:tc>
          <w:tcPr>
            <w:tcW w:type="dxa" w:w="2498"/>
            <w:vAlign w:val="center"/>
          </w:tcPr>
          <w:p>
            <w:pPr>
              <w:spacing w:after="40" w:before="40"/>
            </w:pPr>
            <w:r>
              <w:rPr>
                <w:rFonts w:ascii="Aptos" w:hAnsi="Aptos"/>
                <w:sz w:val="14"/>
              </w:rPr>
              <w:t>0</w:t>
            </w:r>
          </w:p>
        </w:tc>
        <w:tc>
          <w:tcPr>
            <w:tcW w:type="dxa" w:w="2498"/>
            <w:vAlign w:val="center"/>
          </w:tcPr>
          <w:p>
            <w:pPr>
              <w:spacing w:after="40" w:before="40"/>
            </w:pPr>
            <w:r>
              <w:rPr>
                <w:rFonts w:ascii="Aptos" w:hAnsi="Aptos"/>
                <w:sz w:val="14"/>
              </w:rPr>
              <w:t>50</w:t>
            </w:r>
          </w:p>
        </w:tc>
        <w:tc>
          <w:tcPr>
            <w:tcW w:type="dxa" w:w="2498"/>
            <w:vAlign w:val="center"/>
          </w:tcPr>
          <w:p>
            <w:pPr>
              <w:spacing w:after="40" w:before="40"/>
            </w:pPr>
            <w:r>
              <w:rPr>
                <w:rFonts w:ascii="Aptos" w:hAnsi="Aptos"/>
                <w:sz w:val="14"/>
              </w:rPr>
              <w:t>50 (ineligible if gate fails)</w:t>
            </w:r>
          </w:p>
        </w:tc>
      </w:tr>
    </w:tbl>
    <w:p>
      <w:pPr>
        <w:pStyle w:val="PatchSmall"/>
      </w:pPr>
    </w:p>
    <w:p>
      <w:pPr>
        <w:pStyle w:val="PatchH2"/>
      </w:pPr>
      <w:r>
        <w:t>2.2 RESEARCH_SCORE_V3 / FINAL_HSS_V3</w:t>
      </w:r>
    </w:p>
    <w:p>
      <w:pPr>
        <w:pStyle w:val="PatchCode"/>
      </w:pPr>
      <w:r>
        <w:t>ResearchActionScore = research_eligible ? clip(min(RawResearchScore, ResearchUncertaintyEstimate, ResearchHardCap),0,100) : NULL</w:t>
      </w:r>
    </w:p>
    <w:p>
      <w:pPr>
        <w:pStyle w:val="PatchCode"/>
      </w:pPr>
      <w:r>
        <w:t>FinalHSS_V3 = horizon_eligible ? clip(min(RawHSS, 50+(RawHSS-50)*SignalConfidence/100, HardGateCap) - StalePenalty - EventPenalty - RiskPenalty,0,100) : NULL</w:t>
      </w:r>
    </w:p>
    <w:p>
      <w:pPr>
        <w:pStyle w:val="PatchBody"/>
      </w:pPr>
      <w:r>
        <w:t>Penalties cannot be negative. Crucially, independent binary hard gates override any numerical output, including optional derivative entries. Thresholds, fees, expected returns and model weights remain uncalibrated hypotheses until supported by point-in-time walk-forward results.</w:t>
      </w:r>
    </w:p>
    <w:p>
      <w:pPr>
        <w:pStyle w:val="PatchH2"/>
      </w:pPr>
      <w:r>
        <w:t>2.3 Applicable confidence components by horizon</w:t>
      </w:r>
    </w:p>
    <w:tbl>
      <w:tblPr>
        <w:tblStyle w:val="TableGrid"/>
        <w:tblW w:type="auto" w:w="0"/>
        <w:jc w:val="center"/>
        <w:tblLook w:firstColumn="1" w:firstRow="1" w:lastColumn="0" w:lastRow="0" w:noHBand="0" w:noVBand="1" w:val="04A0"/>
      </w:tblPr>
      <w:tblGrid>
        <w:gridCol w:w="3331"/>
        <w:gridCol w:w="3331"/>
        <w:gridCol w:w="3331"/>
      </w:tblGrid>
      <w:tr>
        <w:trPr>
          <w:tblHeader/>
        </w:trPr>
        <w:tc>
          <w:tcPr>
            <w:tcW w:type="dxa" w:w="3331"/>
            <w:vAlign w:val="center"/>
            <w:shd w:fill="183E54"/>
          </w:tcPr>
          <w:p>
            <w:pPr>
              <w:spacing w:after="40" w:before="40"/>
            </w:pPr>
            <w:r>
              <w:rPr>
                <w:rFonts w:ascii="Aptos" w:hAnsi="Aptos"/>
                <w:b/>
                <w:color w:val="FFFFFF"/>
                <w:sz w:val="16"/>
              </w:rPr>
              <w:t>Horizon</w:t>
            </w:r>
          </w:p>
        </w:tc>
        <w:tc>
          <w:tcPr>
            <w:tcW w:type="dxa" w:w="3331"/>
            <w:vAlign w:val="center"/>
            <w:shd w:fill="183E54"/>
          </w:tcPr>
          <w:p>
            <w:pPr>
              <w:spacing w:after="40" w:before="40"/>
            </w:pPr>
            <w:r>
              <w:rPr>
                <w:rFonts w:ascii="Aptos" w:hAnsi="Aptos"/>
                <w:b/>
                <w:color w:val="FFFFFF"/>
                <w:sz w:val="16"/>
              </w:rPr>
              <w:t>Required component keys</w:t>
            </w:r>
          </w:p>
        </w:tc>
        <w:tc>
          <w:tcPr>
            <w:tcW w:type="dxa" w:w="3331"/>
            <w:vAlign w:val="center"/>
            <w:shd w:fill="183E54"/>
          </w:tcPr>
          <w:p>
            <w:pPr>
              <w:spacing w:after="40" w:before="40"/>
            </w:pPr>
            <w:r>
              <w:rPr>
                <w:rFonts w:ascii="Aptos" w:hAnsi="Aptos"/>
                <w:b/>
                <w:color w:val="FFFFFF"/>
                <w:sz w:val="16"/>
              </w:rPr>
              <w:t>Research required</w:t>
            </w:r>
          </w:p>
        </w:tc>
      </w:tr>
      <w:tr>
        <w:tc>
          <w:tcPr>
            <w:tcW w:type="dxa" w:w="3331"/>
            <w:vAlign w:val="center"/>
          </w:tcPr>
          <w:p>
            <w:pPr>
              <w:spacing w:after="40" w:before="40"/>
            </w:pPr>
            <w:r>
              <w:rPr>
                <w:rFonts w:ascii="Aptos" w:hAnsi="Aptos"/>
                <w:sz w:val="16"/>
              </w:rPr>
              <w:t>Daily / Weekly / Monthly</w:t>
            </w:r>
          </w:p>
        </w:tc>
        <w:tc>
          <w:tcPr>
            <w:tcW w:type="dxa" w:w="3331"/>
            <w:vAlign w:val="center"/>
          </w:tcPr>
          <w:p>
            <w:pPr>
              <w:spacing w:after="40" w:before="40"/>
            </w:pPr>
            <w:r>
              <w:rPr>
                <w:rFonts w:ascii="Aptos" w:hAnsi="Aptos"/>
                <w:sz w:val="16"/>
              </w:rPr>
              <w:t>data, model, regime, liquidity, feature_coverage, stability</w:t>
            </w:r>
          </w:p>
        </w:tc>
        <w:tc>
          <w:tcPr>
            <w:tcW w:type="dxa" w:w="3331"/>
            <w:vAlign w:val="center"/>
          </w:tcPr>
          <w:p>
            <w:pPr>
              <w:spacing w:after="40" w:before="40"/>
            </w:pPr>
            <w:r>
              <w:rPr>
                <w:rFonts w:ascii="Aptos" w:hAnsi="Aptos"/>
                <w:sz w:val="16"/>
              </w:rPr>
              <w:t>No</w:t>
            </w:r>
          </w:p>
        </w:tc>
      </w:tr>
      <w:tr>
        <w:tc>
          <w:tcPr>
            <w:tcW w:type="dxa" w:w="3331"/>
            <w:vAlign w:val="center"/>
          </w:tcPr>
          <w:p>
            <w:pPr>
              <w:spacing w:after="40" w:before="40"/>
            </w:pPr>
            <w:r>
              <w:rPr>
                <w:rFonts w:ascii="Aptos" w:hAnsi="Aptos"/>
                <w:sz w:val="16"/>
              </w:rPr>
              <w:t>Medium / Long</w:t>
            </w:r>
          </w:p>
        </w:tc>
        <w:tc>
          <w:tcPr>
            <w:tcW w:type="dxa" w:w="3331"/>
            <w:vAlign w:val="center"/>
          </w:tcPr>
          <w:p>
            <w:pPr>
              <w:spacing w:after="40" w:before="40"/>
            </w:pPr>
            <w:r>
              <w:rPr>
                <w:rFonts w:ascii="Aptos" w:hAnsi="Aptos"/>
                <w:sz w:val="16"/>
              </w:rPr>
              <w:t>data, model, regime, liquidity, research, feature_coverage, stability</w:t>
            </w:r>
          </w:p>
        </w:tc>
        <w:tc>
          <w:tcPr>
            <w:tcW w:type="dxa" w:w="3331"/>
            <w:vAlign w:val="center"/>
          </w:tcPr>
          <w:p>
            <w:pPr>
              <w:spacing w:after="40" w:before="40"/>
            </w:pPr>
            <w:r>
              <w:rPr>
                <w:rFonts w:ascii="Aptos" w:hAnsi="Aptos"/>
                <w:sz w:val="16"/>
              </w:rPr>
              <w:t>Yes</w:t>
            </w:r>
          </w:p>
        </w:tc>
      </w:tr>
    </w:tbl>
    <w:p>
      <w:pPr>
        <w:pStyle w:val="PatchSmall"/>
      </w:pPr>
    </w:p>
    <w:p>
      <w:pPr>
        <w:pStyle w:val="PatchBody"/>
      </w:pPr>
      <w:r>
        <w:t>A required unavailable input is unavailable, not zero. Genuine measured zero can reduce the geometric mean to zero. Do not silently change the geometric-mean count based on source availability. For fixed applicable components: SignalConfidence = 100 * PRODUCT(component/100)^(1/N).</w:t>
      </w:r>
    </w:p>
    <w:p>
      <w:pPr>
        <w:pStyle w:val="PatchH2"/>
      </w:pPr>
      <w:r>
        <w:t>2.4 Preserve the remaining original canonical formulas</w:t>
      </w:r>
    </w:p>
    <w:p>
      <w:pPr>
        <w:pStyle w:val="PatchBody"/>
      </w:pPr>
      <w:r>
        <w:t>The other 7.1.2 canonical equations remain valid in specification form only where not explicitly superseded and where their unit, zero-denominator, missing-data and financial-state guards hold. The bundled registry enumerates all 26 formulas. It is a pseudocode registry, not falsely described as 26 verified executable abstract syntax trees; full executable coverage is an open release gate.</w:t>
      </w:r>
    </w:p>
    <w:p>
      <w:pPr>
        <w:pStyle w:val="PatchH1"/>
      </w:pPr>
      <w:r>
        <w:t>3 | Position sizing, portfolio risk and virtual lots</w:t>
      </w:r>
    </w:p>
    <w:p>
      <w:pPr>
        <w:pStyle w:val="PatchH2"/>
      </w:pPr>
      <w:r>
        <w:t>3.1 Directional and account-reserved risk sizing</w:t>
      </w:r>
    </w:p>
    <w:p>
      <w:pPr>
        <w:pStyle w:val="PatchCode"/>
      </w:pPr>
      <w:r>
        <w:t>LONG: stop_price &lt; entry_price; SHORT: stop_price &gt; entry_price; prices &gt; 0; stop must be valid on correct tick and order side.</w:t>
      </w:r>
    </w:p>
    <w:p>
      <w:pPr>
        <w:pStyle w:val="PatchCode"/>
      </w:pPr>
      <w:r>
        <w:t>PerUnitRisk = abs(EntryPrice - StopPrice) + EstimatedRoundTripCostPerUnit</w:t>
      </w:r>
    </w:p>
    <w:p>
      <w:pPr>
        <w:pStyle w:val="PatchCode"/>
      </w:pPr>
      <w:r>
        <w:t>RiskBudgetRemaining = max(0, AccountRiskLimit - OpenTradeRisk - PendingRiskReservations)</w:t>
      </w:r>
    </w:p>
    <w:p>
      <w:pPr>
        <w:pStyle w:val="PatchCode"/>
      </w:pPr>
      <w:r>
        <w:t>QuantityByRisk = floor(RiskBudgetRemaining / max(PerUnitRisk, PositiveRiskFloor))</w:t>
      </w:r>
    </w:p>
    <w:p>
      <w:pPr>
        <w:pStyle w:val="PatchBody"/>
      </w:pPr>
      <w:r>
        <w:t>For every capacity constraint, residual headroom must subtract broker-reconciled holdings, pending orders and reserved strategy lots, with currency/lot-size normalization. Company, sector, group, F&amp;O, gross, net, correlation, cash, margin, event, horizon and account-drawdown constraints must all participate.</w:t>
      </w:r>
    </w:p>
    <w:p>
      <w:pPr>
        <w:pStyle w:val="PatchCode"/>
      </w:pPr>
      <w:r>
        <w:t>FinalQuantity = round_down_lot(max(0, min(QRisk, QLiquidity, QCompanyResidual, QSectorResidual, QHorizonResidual, QEventResidual, QCorrelationResidual, QCashOrMargin, QGross, QNet, QAccountRisk)))</w:t>
      </w:r>
    </w:p>
    <w:p>
      <w:pPr>
        <w:pStyle w:val="PatchBody"/>
      </w:pPr>
      <w:r>
        <w:t>A quantity is only pre-authorized within one durable, account-scoped transaction: lock exposure snapshot, reserve limits, write order intent/outbox, commit, recheck latest broker state before network transmission. This atomicity is REQUIRED but not supplied in the offline reference Python module.</w:t>
      </w:r>
    </w:p>
    <w:p>
      <w:pPr>
        <w:pStyle w:val="PatchH2"/>
      </w:pPr>
      <w:r>
        <w:t>3.2 Virtual lot ownership and exits</w:t>
      </w:r>
    </w:p>
    <w:p>
      <w:pPr>
        <w:pStyle w:val="PatchBody"/>
      </w:pPr>
      <w:r>
        <w:t>Broker consolidated inventory is never substituted for horizon-specific strategy intent. Record virtual lots per account + stable security/contract ID + strategy + horizon + side + intent + filled lot. Allocate partial exits to explicit lots. Before any broker sell/close, ensure total virtual remaining lots exactly reconcile with aggregate broker holdings/positions; otherwise block/resolve. An EOD Daily EXIT must not inadvertently liquidate an unchanged Long-term allocation.</w:t>
      </w:r>
    </w:p>
    <w:p>
      <w:pPr>
        <w:pStyle w:val="PatchH2"/>
      </w:pPr>
      <w:r>
        <w:t>3.3 Stops, gaps and protective-order failures</w:t>
      </w:r>
    </w:p>
    <w:p>
      <w:pPr>
        <w:pStyle w:val="PatchBody"/>
      </w:pPr>
      <w:r>
        <w:t>Prefer exchange/broker-held protective structures if supported and permitted; verify broker acknowledgement and size after every partial fill. If protective order is rejected or unavailable, mark POSITION_UNPROTECTED, prohibit new entries and invoke an emergency human-supervised playbook. Simulate 5/10/20% adverse gaps, lower/upper circuits, slippage, halted trading and overnight exposure. The per-unit stop-distance formula estimates intended risk, not worst-case maximum loss.</w:t>
      </w:r>
    </w:p>
    <w:p>
      <w:pPr>
        <w:pStyle w:val="PatchH1"/>
      </w:pPr>
      <w:r>
        <w:t>4 | Order identity, broker execution and failover</w:t>
      </w:r>
    </w:p>
    <w:p>
      <w:pPr>
        <w:pStyle w:val="PatchH2"/>
      </w:pPr>
      <w:r>
        <w:t>4.1 New durable identity model (A04)</w:t>
      </w:r>
    </w:p>
    <w:tbl>
      <w:tblPr>
        <w:tblStyle w:val="TableGrid"/>
        <w:tblW w:type="auto" w:w="0"/>
        <w:jc w:val="center"/>
        <w:tblLook w:firstColumn="1" w:firstRow="1" w:lastColumn="0" w:lastRow="0" w:noHBand="0" w:noVBand="1" w:val="04A0"/>
      </w:tblPr>
      <w:tblGrid>
        <w:gridCol w:w="3331"/>
        <w:gridCol w:w="3331"/>
        <w:gridCol w:w="3331"/>
      </w:tblGrid>
      <w:tr>
        <w:trPr>
          <w:tblHeader/>
        </w:trPr>
        <w:tc>
          <w:tcPr>
            <w:tcW w:type="dxa" w:w="3331"/>
            <w:vAlign w:val="center"/>
            <w:shd w:fill="183E54"/>
          </w:tcPr>
          <w:p>
            <w:pPr>
              <w:spacing w:after="40" w:before="40"/>
            </w:pPr>
            <w:r>
              <w:rPr>
                <w:rFonts w:ascii="Aptos" w:hAnsi="Aptos"/>
                <w:b/>
                <w:color w:val="FFFFFF"/>
                <w:sz w:val="16"/>
              </w:rPr>
              <w:t>Object</w:t>
            </w:r>
          </w:p>
        </w:tc>
        <w:tc>
          <w:tcPr>
            <w:tcW w:type="dxa" w:w="3331"/>
            <w:vAlign w:val="center"/>
            <w:shd w:fill="183E54"/>
          </w:tcPr>
          <w:p>
            <w:pPr>
              <w:spacing w:after="40" w:before="40"/>
            </w:pPr>
            <w:r>
              <w:rPr>
                <w:rFonts w:ascii="Aptos" w:hAnsi="Aptos"/>
                <w:b/>
                <w:color w:val="FFFFFF"/>
                <w:sz w:val="16"/>
              </w:rPr>
              <w:t>Immutable identifiers / fields</w:t>
            </w:r>
          </w:p>
        </w:tc>
        <w:tc>
          <w:tcPr>
            <w:tcW w:type="dxa" w:w="3331"/>
            <w:vAlign w:val="center"/>
            <w:shd w:fill="183E54"/>
          </w:tcPr>
          <w:p>
            <w:pPr>
              <w:spacing w:after="40" w:before="40"/>
            </w:pPr>
            <w:r>
              <w:rPr>
                <w:rFonts w:ascii="Aptos" w:hAnsi="Aptos"/>
                <w:b/>
                <w:color w:val="FFFFFF"/>
                <w:sz w:val="16"/>
              </w:rPr>
              <w:t>Invariant</w:t>
            </w:r>
          </w:p>
        </w:tc>
      </w:tr>
      <w:tr>
        <w:tc>
          <w:tcPr>
            <w:tcW w:type="dxa" w:w="3331"/>
            <w:vAlign w:val="center"/>
          </w:tcPr>
          <w:p>
            <w:pPr>
              <w:spacing w:after="40" w:before="40"/>
            </w:pPr>
            <w:r>
              <w:rPr>
                <w:rFonts w:ascii="Aptos" w:hAnsi="Aptos"/>
                <w:sz w:val="16"/>
              </w:rPr>
              <w:t>Economic intent</w:t>
            </w:r>
          </w:p>
        </w:tc>
        <w:tc>
          <w:tcPr>
            <w:tcW w:type="dxa" w:w="3331"/>
            <w:vAlign w:val="center"/>
          </w:tcPr>
          <w:p>
            <w:pPr>
              <w:spacing w:after="40" w:before="40"/>
            </w:pPr>
            <w:r>
              <w:rPr>
                <w:rFonts w:ascii="Aptos" w:hAnsi="Aptos"/>
                <w:sz w:val="16"/>
              </w:rPr>
              <w:t>account_id + order_intent_id(UUID); strategy, horizon, contract_id, action, target total</w:t>
            </w:r>
          </w:p>
        </w:tc>
        <w:tc>
          <w:tcPr>
            <w:tcW w:type="dxa" w:w="3331"/>
            <w:vAlign w:val="center"/>
          </w:tcPr>
          <w:p>
            <w:pPr>
              <w:spacing w:after="40" w:before="40"/>
            </w:pPr>
            <w:r>
              <w:rPr>
                <w:rFonts w:ascii="Aptos" w:hAnsi="Aptos"/>
                <w:sz w:val="16"/>
              </w:rPr>
              <w:t>ONE intent per economic action even across midnight/retries</w:t>
            </w:r>
          </w:p>
        </w:tc>
      </w:tr>
      <w:tr>
        <w:tc>
          <w:tcPr>
            <w:tcW w:type="dxa" w:w="3331"/>
            <w:vAlign w:val="center"/>
          </w:tcPr>
          <w:p>
            <w:pPr>
              <w:spacing w:after="40" w:before="40"/>
            </w:pPr>
            <w:r>
              <w:rPr>
                <w:rFonts w:ascii="Aptos" w:hAnsi="Aptos"/>
                <w:sz w:val="16"/>
              </w:rPr>
              <w:t>Child order</w:t>
            </w:r>
          </w:p>
        </w:tc>
        <w:tc>
          <w:tcPr>
            <w:tcW w:type="dxa" w:w="3331"/>
            <w:vAlign w:val="center"/>
          </w:tcPr>
          <w:p>
            <w:pPr>
              <w:spacing w:after="40" w:before="40"/>
            </w:pPr>
            <w:r>
              <w:rPr>
                <w:rFonts w:ascii="Aptos" w:hAnsi="Aptos"/>
                <w:sz w:val="16"/>
              </w:rPr>
              <w:t>child_order_id, parent_intent_id, broker, account, generation</w:t>
            </w:r>
          </w:p>
        </w:tc>
        <w:tc>
          <w:tcPr>
            <w:tcW w:type="dxa" w:w="3331"/>
            <w:vAlign w:val="center"/>
          </w:tcPr>
          <w:p>
            <w:pPr>
              <w:spacing w:after="40" w:before="40"/>
            </w:pPr>
            <w:r>
              <w:rPr>
                <w:rFonts w:ascii="Aptos" w:hAnsi="Aptos"/>
                <w:sz w:val="16"/>
              </w:rPr>
              <w:t>Distinct only for genuine amendments/child splits</w:t>
            </w:r>
          </w:p>
        </w:tc>
      </w:tr>
      <w:tr>
        <w:tc>
          <w:tcPr>
            <w:tcW w:type="dxa" w:w="3331"/>
            <w:vAlign w:val="center"/>
          </w:tcPr>
          <w:p>
            <w:pPr>
              <w:spacing w:after="40" w:before="40"/>
            </w:pPr>
            <w:r>
              <w:rPr>
                <w:rFonts w:ascii="Aptos" w:hAnsi="Aptos"/>
                <w:sz w:val="16"/>
              </w:rPr>
              <w:t>Transport attempt</w:t>
            </w:r>
          </w:p>
        </w:tc>
        <w:tc>
          <w:tcPr>
            <w:tcW w:type="dxa" w:w="3331"/>
            <w:vAlign w:val="center"/>
          </w:tcPr>
          <w:p>
            <w:pPr>
              <w:spacing w:after="40" w:before="40"/>
            </w:pPr>
            <w:r>
              <w:rPr>
                <w:rFonts w:ascii="Aptos" w:hAnsi="Aptos"/>
                <w:sz w:val="16"/>
              </w:rPr>
              <w:t>attempt_id, child_order_id, request checksum, sent_at, response</w:t>
            </w:r>
          </w:p>
        </w:tc>
        <w:tc>
          <w:tcPr>
            <w:tcW w:type="dxa" w:w="3331"/>
            <w:vAlign w:val="center"/>
          </w:tcPr>
          <w:p>
            <w:pPr>
              <w:spacing w:after="40" w:before="40"/>
            </w:pPr>
            <w:r>
              <w:rPr>
                <w:rFonts w:ascii="Aptos" w:hAnsi="Aptos"/>
                <w:sz w:val="16"/>
              </w:rPr>
              <w:t>Retries point to same child economic intent</w:t>
            </w:r>
          </w:p>
        </w:tc>
      </w:tr>
      <w:tr>
        <w:tc>
          <w:tcPr>
            <w:tcW w:type="dxa" w:w="3331"/>
            <w:vAlign w:val="center"/>
          </w:tcPr>
          <w:p>
            <w:pPr>
              <w:spacing w:after="40" w:before="40"/>
            </w:pPr>
            <w:r>
              <w:rPr>
                <w:rFonts w:ascii="Aptos" w:hAnsi="Aptos"/>
                <w:sz w:val="16"/>
              </w:rPr>
              <w:t>Fill</w:t>
            </w:r>
          </w:p>
        </w:tc>
        <w:tc>
          <w:tcPr>
            <w:tcW w:type="dxa" w:w="3331"/>
            <w:vAlign w:val="center"/>
          </w:tcPr>
          <w:p>
            <w:pPr>
              <w:spacing w:after="40" w:before="40"/>
            </w:pPr>
            <w:r>
              <w:rPr>
                <w:rFonts w:ascii="Aptos" w:hAnsi="Aptos"/>
                <w:sz w:val="16"/>
              </w:rPr>
              <w:t>broker_trade_id, broker_order_id, qty, price, exchange_ts</w:t>
            </w:r>
          </w:p>
        </w:tc>
        <w:tc>
          <w:tcPr>
            <w:tcW w:type="dxa" w:w="3331"/>
            <w:vAlign w:val="center"/>
          </w:tcPr>
          <w:p>
            <w:pPr>
              <w:spacing w:after="40" w:before="40"/>
            </w:pPr>
            <w:r>
              <w:rPr>
                <w:rFonts w:ascii="Aptos" w:hAnsi="Aptos"/>
                <w:sz w:val="16"/>
              </w:rPr>
              <w:t>Unique fill; sum cannot exceed confirmed filled quantity</w:t>
            </w:r>
          </w:p>
        </w:tc>
      </w:tr>
      <w:tr>
        <w:tc>
          <w:tcPr>
            <w:tcW w:type="dxa" w:w="3331"/>
            <w:vAlign w:val="center"/>
          </w:tcPr>
          <w:p>
            <w:pPr>
              <w:spacing w:after="40" w:before="40"/>
            </w:pPr>
            <w:r>
              <w:rPr>
                <w:rFonts w:ascii="Aptos" w:hAnsi="Aptos"/>
                <w:sz w:val="16"/>
              </w:rPr>
              <w:t>Risk reservation</w:t>
            </w:r>
          </w:p>
        </w:tc>
        <w:tc>
          <w:tcPr>
            <w:tcW w:type="dxa" w:w="3331"/>
            <w:vAlign w:val="center"/>
          </w:tcPr>
          <w:p>
            <w:pPr>
              <w:spacing w:after="40" w:before="40"/>
            </w:pPr>
            <w:r>
              <w:rPr>
                <w:rFonts w:ascii="Aptos" w:hAnsi="Aptos"/>
                <w:sz w:val="16"/>
              </w:rPr>
              <w:t>reservation_id, account, risk snapshot version, pending value</w:t>
            </w:r>
          </w:p>
        </w:tc>
        <w:tc>
          <w:tcPr>
            <w:tcW w:type="dxa" w:w="3331"/>
            <w:vAlign w:val="center"/>
          </w:tcPr>
          <w:p>
            <w:pPr>
              <w:spacing w:after="40" w:before="40"/>
            </w:pPr>
            <w:r>
              <w:rPr>
                <w:rFonts w:ascii="Aptos" w:hAnsi="Aptos"/>
                <w:sz w:val="16"/>
              </w:rPr>
              <w:t>Persist before transmit, release upon reconciliation</w:t>
            </w:r>
          </w:p>
        </w:tc>
      </w:tr>
    </w:tbl>
    <w:p>
      <w:pPr>
        <w:pStyle w:val="PatchSmall"/>
      </w:pPr>
    </w:p>
    <w:p>
      <w:pPr>
        <w:pStyle w:val="PatchBody"/>
      </w:pPr>
      <w:r>
        <w:t>Implementation MUST use ACID writes and a transactional outbox with unique constraints, restart recovery and broker-side order/trade/position comparisons. Broker-provided idempotency is not assumed. The short legacy `security + horizon + signal + action + trade_date` key is retired for production order identity.</w:t>
      </w:r>
    </w:p>
    <w:p>
      <w:pPr>
        <w:pStyle w:val="PatchH2"/>
      </w:pPr>
      <w:r>
        <w:t>4.2 Execution transition and freeze rules (A05/A16)</w:t>
      </w:r>
    </w:p>
    <w:p>
      <w:pPr>
        <w:pStyle w:val="PatchCode"/>
      </w:pPr>
      <w:r>
        <w:t>PREPARED -&gt; RESERVED -&gt; SEND_PENDING -&gt; BROKER_UNKNOWN (until ACK/status known) -&gt; ACKED -&gt; PARTIAL/FILLED -&gt; RECONCILED</w:t>
      </w:r>
    </w:p>
    <w:p>
      <w:pPr>
        <w:pStyle w:val="PatchCode"/>
      </w:pPr>
      <w:r>
        <w:t>Terminal: FINAL_REJECTED | FINAL_CANCELLED | RECONCILED. Nonterminal unknown state always FREEZE_NEW_ENTRIES.</w:t>
      </w:r>
    </w:p>
    <w:tbl>
      <w:tblPr>
        <w:tblStyle w:val="TableGrid"/>
        <w:tblW w:type="auto" w:w="0"/>
        <w:jc w:val="center"/>
        <w:tblLook w:firstColumn="1" w:firstRow="1" w:lastColumn="0" w:lastRow="0" w:noHBand="0" w:noVBand="1" w:val="04A0"/>
      </w:tblPr>
      <w:tblGrid>
        <w:gridCol w:w="3331"/>
        <w:gridCol w:w="3331"/>
        <w:gridCol w:w="3331"/>
      </w:tblGrid>
      <w:tr>
        <w:trPr>
          <w:tblHeader/>
        </w:trPr>
        <w:tc>
          <w:tcPr>
            <w:tcW w:type="dxa" w:w="3331"/>
            <w:vAlign w:val="center"/>
            <w:shd w:fill="183E54"/>
          </w:tcPr>
          <w:p>
            <w:pPr>
              <w:spacing w:after="40" w:before="40"/>
            </w:pPr>
            <w:r>
              <w:rPr>
                <w:rFonts w:ascii="Aptos" w:hAnsi="Aptos"/>
                <w:b/>
                <w:color w:val="FFFFFF"/>
                <w:sz w:val="16"/>
              </w:rPr>
              <w:t>Observed state</w:t>
            </w:r>
          </w:p>
        </w:tc>
        <w:tc>
          <w:tcPr>
            <w:tcW w:type="dxa" w:w="3331"/>
            <w:vAlign w:val="center"/>
            <w:shd w:fill="183E54"/>
          </w:tcPr>
          <w:p>
            <w:pPr>
              <w:spacing w:after="40" w:before="40"/>
            </w:pPr>
            <w:r>
              <w:rPr>
                <w:rFonts w:ascii="Aptos" w:hAnsi="Aptos"/>
                <w:b/>
                <w:color w:val="FFFFFF"/>
                <w:sz w:val="16"/>
              </w:rPr>
              <w:t>Permitted behavior</w:t>
            </w:r>
          </w:p>
        </w:tc>
        <w:tc>
          <w:tcPr>
            <w:tcW w:type="dxa" w:w="3331"/>
            <w:vAlign w:val="center"/>
            <w:shd w:fill="183E54"/>
          </w:tcPr>
          <w:p>
            <w:pPr>
              <w:spacing w:after="40" w:before="40"/>
            </w:pPr>
            <w:r>
              <w:rPr>
                <w:rFonts w:ascii="Aptos" w:hAnsi="Aptos"/>
                <w:b/>
                <w:color w:val="FFFFFF"/>
                <w:sz w:val="16"/>
              </w:rPr>
              <w:t>Not permitted</w:t>
            </w:r>
          </w:p>
        </w:tc>
      </w:tr>
      <w:tr>
        <w:tc>
          <w:tcPr>
            <w:tcW w:type="dxa" w:w="3331"/>
            <w:vAlign w:val="center"/>
          </w:tcPr>
          <w:p>
            <w:pPr>
              <w:spacing w:after="40" w:before="40"/>
            </w:pPr>
            <w:r>
              <w:rPr>
                <w:rFonts w:ascii="Aptos" w:hAnsi="Aptos"/>
                <w:sz w:val="16"/>
              </w:rPr>
              <w:t>Healthy broker+feed, reconciled protection and risk</w:t>
            </w:r>
          </w:p>
        </w:tc>
        <w:tc>
          <w:tcPr>
            <w:tcW w:type="dxa" w:w="3331"/>
            <w:vAlign w:val="center"/>
          </w:tcPr>
          <w:p>
            <w:pPr>
              <w:spacing w:after="40" w:before="40"/>
            </w:pPr>
            <w:r>
              <w:rPr>
                <w:rFonts w:ascii="Aptos" w:hAnsi="Aptos"/>
                <w:sz w:val="16"/>
              </w:rPr>
              <w:t>Approved eligible submit/maintain within risk</w:t>
            </w:r>
          </w:p>
        </w:tc>
        <w:tc>
          <w:tcPr>
            <w:tcW w:type="dxa" w:w="3331"/>
            <w:vAlign w:val="center"/>
          </w:tcPr>
          <w:p>
            <w:pPr>
              <w:spacing w:after="40" w:before="40"/>
            </w:pPr>
            <w:r>
              <w:rPr>
                <w:rFonts w:ascii="Aptos" w:hAnsi="Aptos"/>
                <w:sz w:val="16"/>
              </w:rPr>
              <w:t>Anything outside approved account-specific policy</w:t>
            </w:r>
          </w:p>
        </w:tc>
      </w:tr>
      <w:tr>
        <w:tc>
          <w:tcPr>
            <w:tcW w:type="dxa" w:w="3331"/>
            <w:vAlign w:val="center"/>
          </w:tcPr>
          <w:p>
            <w:pPr>
              <w:spacing w:after="40" w:before="40"/>
            </w:pPr>
            <w:r>
              <w:rPr>
                <w:rFonts w:ascii="Aptos" w:hAnsi="Aptos"/>
                <w:sz w:val="16"/>
              </w:rPr>
              <w:t>Broker UNKNOWN / order UNKNOWN</w:t>
            </w:r>
          </w:p>
        </w:tc>
        <w:tc>
          <w:tcPr>
            <w:tcW w:type="dxa" w:w="3331"/>
            <w:vAlign w:val="center"/>
          </w:tcPr>
          <w:p>
            <w:pPr>
              <w:spacing w:after="40" w:before="40"/>
            </w:pPr>
            <w:r>
              <w:rPr>
                <w:rFonts w:ascii="Aptos" w:hAnsi="Aptos"/>
                <w:sz w:val="16"/>
              </w:rPr>
              <w:t>Freeze; poll status/trades/positions, operator escalation</w:t>
            </w:r>
          </w:p>
        </w:tc>
        <w:tc>
          <w:tcPr>
            <w:tcW w:type="dxa" w:w="3331"/>
            <w:vAlign w:val="center"/>
          </w:tcPr>
          <w:p>
            <w:pPr>
              <w:spacing w:after="40" w:before="40"/>
            </w:pPr>
            <w:r>
              <w:rPr>
                <w:rFonts w:ascii="Aptos" w:hAnsi="Aptos"/>
                <w:sz w:val="16"/>
              </w:rPr>
              <w:t>Automatic secondary duplicate entry</w:t>
            </w:r>
          </w:p>
        </w:tc>
      </w:tr>
      <w:tr>
        <w:tc>
          <w:tcPr>
            <w:tcW w:type="dxa" w:w="3331"/>
            <w:vAlign w:val="center"/>
          </w:tcPr>
          <w:p>
            <w:pPr>
              <w:spacing w:after="40" w:before="40"/>
            </w:pPr>
            <w:r>
              <w:rPr>
                <w:rFonts w:ascii="Aptos" w:hAnsi="Aptos"/>
                <w:sz w:val="16"/>
              </w:rPr>
              <w:t>Quote stale, protection verified</w:t>
            </w:r>
          </w:p>
        </w:tc>
        <w:tc>
          <w:tcPr>
            <w:tcW w:type="dxa" w:w="3331"/>
            <w:vAlign w:val="center"/>
          </w:tcPr>
          <w:p>
            <w:pPr>
              <w:spacing w:after="40" w:before="40"/>
            </w:pPr>
            <w:r>
              <w:rPr>
                <w:rFonts w:ascii="Aptos" w:hAnsi="Aptos"/>
                <w:sz w:val="16"/>
              </w:rPr>
              <w:t>Freeze new entries; monitor confirmed broker stop; reconcile</w:t>
            </w:r>
          </w:p>
        </w:tc>
        <w:tc>
          <w:tcPr>
            <w:tcW w:type="dxa" w:w="3331"/>
            <w:vAlign w:val="center"/>
          </w:tcPr>
          <w:p>
            <w:pPr>
              <w:spacing w:after="40" w:before="40"/>
            </w:pPr>
            <w:r>
              <w:rPr>
                <w:rFonts w:ascii="Aptos" w:hAnsi="Aptos"/>
                <w:sz w:val="16"/>
              </w:rPr>
              <w:t>New signal-based entry or blindly adjusted SL</w:t>
            </w:r>
          </w:p>
        </w:tc>
      </w:tr>
      <w:tr>
        <w:tc>
          <w:tcPr>
            <w:tcW w:type="dxa" w:w="3331"/>
            <w:vAlign w:val="center"/>
          </w:tcPr>
          <w:p>
            <w:pPr>
              <w:spacing w:after="40" w:before="40"/>
            </w:pPr>
            <w:r>
              <w:rPr>
                <w:rFonts w:ascii="Aptos" w:hAnsi="Aptos"/>
                <w:sz w:val="16"/>
              </w:rPr>
              <w:t>Protective stop unverified</w:t>
            </w:r>
          </w:p>
        </w:tc>
        <w:tc>
          <w:tcPr>
            <w:tcW w:type="dxa" w:w="3331"/>
            <w:vAlign w:val="center"/>
          </w:tcPr>
          <w:p>
            <w:pPr>
              <w:spacing w:after="40" w:before="40"/>
            </w:pPr>
            <w:r>
              <w:rPr>
                <w:rFonts w:ascii="Aptos" w:hAnsi="Aptos"/>
                <w:sz w:val="16"/>
              </w:rPr>
              <w:t>Freeze; urgent operator workflow; validate permissible exit</w:t>
            </w:r>
          </w:p>
        </w:tc>
        <w:tc>
          <w:tcPr>
            <w:tcW w:type="dxa" w:w="3331"/>
            <w:vAlign w:val="center"/>
          </w:tcPr>
          <w:p>
            <w:pPr>
              <w:spacing w:after="40" w:before="40"/>
            </w:pPr>
            <w:r>
              <w:rPr>
                <w:rFonts w:ascii="Aptos" w:hAnsi="Aptos"/>
                <w:sz w:val="16"/>
              </w:rPr>
              <w:t>Treat stop as executed without broker ACK</w:t>
            </w:r>
          </w:p>
        </w:tc>
      </w:tr>
      <w:tr>
        <w:tc>
          <w:tcPr>
            <w:tcW w:type="dxa" w:w="3331"/>
            <w:vAlign w:val="center"/>
          </w:tcPr>
          <w:p>
            <w:pPr>
              <w:spacing w:after="40" w:before="40"/>
            </w:pPr>
            <w:r>
              <w:rPr>
                <w:rFonts w:ascii="Aptos" w:hAnsi="Aptos"/>
                <w:sz w:val="16"/>
              </w:rPr>
              <w:t>Primary disconnected after send</w:t>
            </w:r>
          </w:p>
        </w:tc>
        <w:tc>
          <w:tcPr>
            <w:tcW w:type="dxa" w:w="3331"/>
            <w:vAlign w:val="center"/>
          </w:tcPr>
          <w:p>
            <w:pPr>
              <w:spacing w:after="40" w:before="40"/>
            </w:pPr>
            <w:r>
              <w:rPr>
                <w:rFonts w:ascii="Aptos" w:hAnsi="Aptos"/>
                <w:sz w:val="16"/>
              </w:rPr>
              <w:t>Freeze; no failover until finality &amp; reconciliation</w:t>
            </w:r>
          </w:p>
        </w:tc>
        <w:tc>
          <w:tcPr>
            <w:tcW w:type="dxa" w:w="3331"/>
            <w:vAlign w:val="center"/>
          </w:tcPr>
          <w:p>
            <w:pPr>
              <w:spacing w:after="40" w:before="40"/>
            </w:pPr>
            <w:r>
              <w:rPr>
                <w:rFonts w:ascii="Aptos" w:hAnsi="Aptos"/>
                <w:sz w:val="16"/>
              </w:rPr>
              <w:t>Assume timeout means rejection</w:t>
            </w:r>
          </w:p>
        </w:tc>
      </w:tr>
    </w:tbl>
    <w:p>
      <w:pPr>
        <w:pStyle w:val="PatchSmall"/>
      </w:pPr>
    </w:p>
    <w:p>
      <w:pPr>
        <w:pStyle w:val="PatchBody"/>
      </w:pPr>
      <w:r>
        <w:t>Secondary-broker entry is permitted only if the first economic intent is confirmed FINAL_REJECTED or FINAL_CANCELLED, account exposure is reconciled across brokers, remaining quantity is known, and explicit failover authorization is recorded. Partial fills require a new residual intent linked to the original and are NOT automatically allowed by the offline reference guard.</w:t>
      </w:r>
    </w:p>
    <w:p>
      <w:pPr>
        <w:pStyle w:val="PatchH2"/>
      </w:pPr>
      <w:r>
        <w:t>4.3 Order modes</w:t>
      </w:r>
    </w:p>
    <w:p>
      <w:pPr>
        <w:pStyle w:val="PatchBody"/>
      </w:pPr>
      <w:r>
        <w:t>RESEARCH_ONLY and ALERT_ONLY make no broker orders. PAPER_TRADING is separately sandboxed. MANUAL_CONFIRMED has human approval per order. SEMI_AUTO_APPROVED and AUTO_APPROVED require signed broker/mode/regulatory policies, data and code gates, order journal durability, protection and active independent risk authority. No order-capable mode can inherit “validated” from a formula unit test.</w:t>
      </w:r>
    </w:p>
    <w:p>
      <w:pPr>
        <w:pStyle w:val="PatchH1"/>
      </w:pPr>
      <w:r>
        <w:t>5 | Regulatory, reference datasets and API contract</w:t>
      </w:r>
    </w:p>
    <w:p>
      <w:pPr>
        <w:pStyle w:val="PatchH2"/>
      </w:pPr>
      <w:r>
        <w:t>5.1 Broker/segment-specific policy (A11)</w:t>
      </w:r>
    </w:p>
    <w:p>
      <w:pPr>
        <w:pStyle w:val="PatchBody"/>
      </w:pPr>
      <w:r>
        <w:t>A policy allowlist must be keyed by broker + account + exchange + segment + session + order_type + product + origin + mode + effective dates + strategy/algo identifier. Relevant official mandates and broker permissions must be checked before every order and periodically revalidated. Unknown/expired/inapplicable policy =&gt; FAIL_CLOSED. Registered static-IP, algo tagging, exchange/broker registration and type restrictions cannot be inferred from a generic API-key login.</w:t>
      </w:r>
    </w:p>
    <w:p>
      <w:pPr>
        <w:pStyle w:val="PatchSmall"/>
      </w:pPr>
      <w:r>
        <w:t>Official source references for implementation revalidation (accessed/consulted 15 Oct 2026): NSE decision support/retail algo exchange guidance (https://www.nseindia.com/static/trade/platform-services-non-neat-decision-support-tools-algorithm-trading); Angel One SmartAPI static-IP policy effective 1 Apr 2026 (https://smartapi.angelone.in/exchange-regulations). Applicable NSE, BSE and broker circulars can supersede cached guidance.</w:t>
      </w:r>
    </w:p>
    <w:p>
      <w:pPr>
        <w:pStyle w:val="PatchH2"/>
      </w:pPr>
      <w:r>
        <w:t>5.2 Stable public API identifiers (A21)</w:t>
      </w:r>
    </w:p>
    <w:p>
      <w:pPr>
        <w:pStyle w:val="PatchCode"/>
      </w:pPr>
      <w:r>
        <w:t>GET /api/v1/securities/{security_id}; GET /api/v1/listings/{listing_id}; GET /api/v1/contracts/{contract_id}; GET /api/v1/signals/{signal_id}</w:t>
      </w:r>
    </w:p>
    <w:p>
      <w:pPr>
        <w:pStyle w:val="PatchBody"/>
      </w:pPr>
      <w:r>
        <w:t>Symbol is only a search alias, always resolved by exchange, effective date and exchange-specific listing identity. Corporate actions, mergers and derivative expiries cannot reuse old identifiers as new security IDs.</w:t>
      </w:r>
    </w:p>
    <w:p>
      <w:pPr>
        <w:pStyle w:val="PatchH2"/>
      </w:pPr>
      <w:r>
        <w:t>5.3 Historical validation and valuation (A18/A19/A20)</w:t>
      </w:r>
    </w:p>
    <w:p>
      <w:pPr>
        <w:pStyle w:val="PatchBody"/>
      </w:pPr>
      <w:r>
        <w:t>Point-in-time data sources must demonstrate delisted/failure coverage, timestamp validity and source rights. Return/ranking tests require ablation of overlapping momentum factors, diversification/capacity controls, cost and slippage realism, and bull/base/bear scenario probability provenance. Forecasts must be independently calibrated; adding correctly summed scenario probabilities does not validate prediction accuracy.</w:t>
      </w:r>
    </w:p>
    <w:p>
      <w:pPr>
        <w:pStyle w:val="PatchH1"/>
      </w:pPr>
      <w:r>
        <w:t>6 | Deployment profiles, security and resource controls</w:t>
      </w:r>
    </w:p>
    <w:p>
      <w:pPr>
        <w:pStyle w:val="PatchH2"/>
      </w:pPr>
      <w:r>
        <w:t>6.1 Disk reserve conflict resolved (A14)</w:t>
      </w:r>
    </w:p>
    <w:p>
      <w:pPr>
        <w:pStyle w:val="PatchBody"/>
      </w:pPr>
      <w:r>
        <w:t>For Personal Core on a nominal 512 GB SSD, calculate actual filesystem free space after Windows, swap, application binaries, OS updates and backups, not merely the sum of arbitrary storage budgets. This edition adopts a minimum 60 GB usable free-space reserve and 20 GB recovery hysteresis:</w:t>
      </w:r>
    </w:p>
    <w:tbl>
      <w:tblPr>
        <w:tblStyle w:val="TableGrid"/>
        <w:tblW w:type="auto" w:w="0"/>
        <w:jc w:val="center"/>
        <w:tblLook w:firstColumn="1" w:firstRow="1" w:lastColumn="0" w:lastRow="0" w:noHBand="0" w:noVBand="1" w:val="04A0"/>
      </w:tblPr>
      <w:tblGrid>
        <w:gridCol w:w="3331"/>
        <w:gridCol w:w="3331"/>
        <w:gridCol w:w="3331"/>
      </w:tblGrid>
      <w:tr>
        <w:trPr>
          <w:tblHeader/>
        </w:trPr>
        <w:tc>
          <w:tcPr>
            <w:tcW w:type="dxa" w:w="3331"/>
            <w:vAlign w:val="center"/>
            <w:shd w:fill="183E54"/>
          </w:tcPr>
          <w:p>
            <w:pPr>
              <w:spacing w:after="40" w:before="40"/>
            </w:pPr>
            <w:r>
              <w:rPr>
                <w:rFonts w:ascii="Aptos" w:hAnsi="Aptos"/>
                <w:b/>
                <w:color w:val="FFFFFF"/>
                <w:sz w:val="16"/>
              </w:rPr>
              <w:t>Usable free space</w:t>
            </w:r>
          </w:p>
        </w:tc>
        <w:tc>
          <w:tcPr>
            <w:tcW w:type="dxa" w:w="3331"/>
            <w:vAlign w:val="center"/>
            <w:shd w:fill="183E54"/>
          </w:tcPr>
          <w:p>
            <w:pPr>
              <w:spacing w:after="40" w:before="40"/>
            </w:pPr>
            <w:r>
              <w:rPr>
                <w:rFonts w:ascii="Aptos" w:hAnsi="Aptos"/>
                <w:b/>
                <w:color w:val="FFFFFF"/>
                <w:sz w:val="16"/>
              </w:rPr>
              <w:t>Entry mode</w:t>
            </w:r>
          </w:p>
        </w:tc>
        <w:tc>
          <w:tcPr>
            <w:tcW w:type="dxa" w:w="3331"/>
            <w:vAlign w:val="center"/>
            <w:shd w:fill="183E54"/>
          </w:tcPr>
          <w:p>
            <w:pPr>
              <w:spacing w:after="40" w:before="40"/>
            </w:pPr>
            <w:r>
              <w:rPr>
                <w:rFonts w:ascii="Aptos" w:hAnsi="Aptos"/>
                <w:b/>
                <w:color w:val="FFFFFF"/>
                <w:sz w:val="16"/>
              </w:rPr>
              <w:t>Resource behavior</w:t>
            </w:r>
          </w:p>
        </w:tc>
      </w:tr>
      <w:tr>
        <w:tc>
          <w:tcPr>
            <w:tcW w:type="dxa" w:w="3331"/>
            <w:vAlign w:val="center"/>
          </w:tcPr>
          <w:p>
            <w:pPr>
              <w:spacing w:after="40" w:before="40"/>
            </w:pPr>
            <w:r>
              <w:rPr>
                <w:rFonts w:ascii="Aptos" w:hAnsi="Aptos"/>
                <w:sz w:val="16"/>
              </w:rPr>
              <w:t>&lt;60 GB</w:t>
            </w:r>
          </w:p>
        </w:tc>
        <w:tc>
          <w:tcPr>
            <w:tcW w:type="dxa" w:w="3331"/>
            <w:vAlign w:val="center"/>
          </w:tcPr>
          <w:p>
            <w:pPr>
              <w:spacing w:after="40" w:before="40"/>
            </w:pPr>
            <w:r>
              <w:rPr>
                <w:rFonts w:ascii="Aptos" w:hAnsi="Aptos"/>
                <w:sz w:val="16"/>
              </w:rPr>
              <w:t>BLOCK new automatic orders</w:t>
            </w:r>
          </w:p>
        </w:tc>
        <w:tc>
          <w:tcPr>
            <w:tcW w:type="dxa" w:w="3331"/>
            <w:vAlign w:val="center"/>
          </w:tcPr>
          <w:p>
            <w:pPr>
              <w:spacing w:after="40" w:before="40"/>
            </w:pPr>
            <w:r>
              <w:rPr>
                <w:rFonts w:ascii="Aptos" w:hAnsi="Aptos"/>
                <w:sz w:val="16"/>
              </w:rPr>
              <w:t>Retain critical execution monitoring, clear validated disposable temp only</w:t>
            </w:r>
          </w:p>
        </w:tc>
      </w:tr>
      <w:tr>
        <w:tc>
          <w:tcPr>
            <w:tcW w:type="dxa" w:w="3331"/>
            <w:vAlign w:val="center"/>
          </w:tcPr>
          <w:p>
            <w:pPr>
              <w:spacing w:after="40" w:before="40"/>
            </w:pPr>
            <w:r>
              <w:rPr>
                <w:rFonts w:ascii="Aptos" w:hAnsi="Aptos"/>
                <w:sz w:val="16"/>
              </w:rPr>
              <w:t>60–&lt;80 GB</w:t>
            </w:r>
          </w:p>
        </w:tc>
        <w:tc>
          <w:tcPr>
            <w:tcW w:type="dxa" w:w="3331"/>
            <w:vAlign w:val="center"/>
          </w:tcPr>
          <w:p>
            <w:pPr>
              <w:spacing w:after="40" w:before="40"/>
            </w:pPr>
            <w:r>
              <w:rPr>
                <w:rFonts w:ascii="Aptos" w:hAnsi="Aptos"/>
                <w:sz w:val="16"/>
              </w:rPr>
              <w:t>Restricted; new auto entries remain frozen pending review</w:t>
            </w:r>
          </w:p>
        </w:tc>
        <w:tc>
          <w:tcPr>
            <w:tcW w:type="dxa" w:w="3331"/>
            <w:vAlign w:val="center"/>
          </w:tcPr>
          <w:p>
            <w:pPr>
              <w:spacing w:after="40" w:before="40"/>
            </w:pPr>
            <w:r>
              <w:rPr>
                <w:rFonts w:ascii="Aptos" w:hAnsi="Aptos"/>
                <w:sz w:val="16"/>
              </w:rPr>
              <w:t>Pause background backtests, compaction and extraction</w:t>
            </w:r>
          </w:p>
        </w:tc>
      </w:tr>
      <w:tr>
        <w:tc>
          <w:tcPr>
            <w:tcW w:type="dxa" w:w="3331"/>
            <w:vAlign w:val="center"/>
          </w:tcPr>
          <w:p>
            <w:pPr>
              <w:spacing w:after="40" w:before="40"/>
            </w:pPr>
            <w:r>
              <w:rPr>
                <w:rFonts w:ascii="Aptos" w:hAnsi="Aptos"/>
                <w:sz w:val="16"/>
              </w:rPr>
              <w:t>&gt;=80 GB</w:t>
            </w:r>
          </w:p>
        </w:tc>
        <w:tc>
          <w:tcPr>
            <w:tcW w:type="dxa" w:w="3331"/>
            <w:vAlign w:val="center"/>
          </w:tcPr>
          <w:p>
            <w:pPr>
              <w:spacing w:after="40" w:before="40"/>
            </w:pPr>
            <w:r>
              <w:rPr>
                <w:rFonts w:ascii="Aptos" w:hAnsi="Aptos"/>
                <w:sz w:val="16"/>
              </w:rPr>
              <w:t>May resume after full health/reconciliation check</w:t>
            </w:r>
          </w:p>
        </w:tc>
        <w:tc>
          <w:tcPr>
            <w:tcW w:type="dxa" w:w="3331"/>
            <w:vAlign w:val="center"/>
          </w:tcPr>
          <w:p>
            <w:pPr>
              <w:spacing w:after="40" w:before="40"/>
            </w:pPr>
            <w:r>
              <w:rPr>
                <w:rFonts w:ascii="Aptos" w:hAnsi="Aptos"/>
                <w:sz w:val="16"/>
              </w:rPr>
              <w:t>Normal approved job priority</w:t>
            </w:r>
          </w:p>
        </w:tc>
      </w:tr>
    </w:tbl>
    <w:p>
      <w:pPr>
        <w:pStyle w:val="PatchSmall"/>
      </w:pPr>
    </w:p>
    <w:p>
      <w:pPr>
        <w:pStyle w:val="PatchBody"/>
      </w:pPr>
      <w:r>
        <w:t>An illustrative working-data cap is 120 GB with actual source-specific allocations, not a guaranteed fit; reserve and remaining capacity must be calculated at installation. The older 400 GB detailed table and &lt;40/&lt;50 GB triggers are historical and do not override this storage gate.</w:t>
      </w:r>
    </w:p>
    <w:p>
      <w:pPr>
        <w:pStyle w:val="PatchH2"/>
      </w:pPr>
      <w:r>
        <w:t>6.2 Security and recovery (A22/A23)</w:t>
      </w:r>
    </w:p>
    <w:p>
      <w:pPr>
        <w:pStyle w:val="PatchBody"/>
      </w:pPr>
      <w:r>
        <w:t>Require least-privileged broker/API credentials, local-only default listen address, encrypted secrets and backups, two-factor approval to arm live automation, per-request RBAC and CSRF/origin defenses, redacted append-only audit logs, dependency/SBOM inventory, update/rollback signatures and disaster recovery drills. Local journal writes of intents/fills/reservations must be durably committed before submitting orders; recover by reconciling broker and local virtual inventory first.</w:t>
      </w:r>
    </w:p>
    <w:p>
      <w:pPr>
        <w:pStyle w:val="PatchH2"/>
      </w:pPr>
      <w:r>
        <w:t>6.3 Runtime task priority and retained boundaries</w:t>
      </w:r>
    </w:p>
    <w:p>
      <w:pPr>
        <w:pStyle w:val="PatchBody"/>
      </w:pPr>
      <w:r>
        <w:t>Critical reconciliation, protective-order monitoring and broker health take priority over backtesting, indexing, OCR, forecasting and deep research. The system continues to support Windows 11 local browser operation with PostgreSQL/DuckDB/Parquet-style architecture, provided realistic RAM/IO/SSD budgets and license rights. Resource failure must never silently promote draft signals into executable orders.</w:t>
      </w:r>
    </w:p>
    <w:p>
      <w:pPr>
        <w:pStyle w:val="PatchH1"/>
      </w:pPr>
      <w:r>
        <w:t>7 | Research hard-gates, conflict precedence and optional intraday layer</w:t>
      </w:r>
    </w:p>
    <w:p>
      <w:pPr>
        <w:pStyle w:val="PatchH2"/>
      </w:pPr>
      <w:r>
        <w:t>7.1 Thesis AVOID is not a legal/Level-1 trading prohibition (A24)</w:t>
      </w:r>
    </w:p>
    <w:tbl>
      <w:tblPr>
        <w:tblStyle w:val="TableGrid"/>
        <w:tblW w:type="auto" w:w="0"/>
        <w:jc w:val="center"/>
        <w:tblLook w:firstColumn="1" w:firstRow="1" w:lastColumn="0" w:lastRow="0" w:noHBand="0" w:noVBand="1" w:val="04A0"/>
      </w:tblPr>
      <w:tblGrid>
        <w:gridCol w:w="4997"/>
        <w:gridCol w:w="4997"/>
      </w:tblGrid>
      <w:tr>
        <w:trPr>
          <w:tblHeader/>
        </w:trPr>
        <w:tc>
          <w:tcPr>
            <w:tcW w:type="dxa" w:w="4997"/>
            <w:vAlign w:val="center"/>
            <w:shd w:fill="183E54"/>
          </w:tcPr>
          <w:p>
            <w:pPr>
              <w:spacing w:after="40" w:before="40"/>
            </w:pPr>
            <w:r>
              <w:rPr>
                <w:rFonts w:ascii="Aptos" w:hAnsi="Aptos"/>
                <w:b/>
                <w:color w:val="FFFFFF"/>
                <w:sz w:val="16"/>
              </w:rPr>
              <w:t>Case</w:t>
            </w:r>
          </w:p>
        </w:tc>
        <w:tc>
          <w:tcPr>
            <w:tcW w:type="dxa" w:w="4997"/>
            <w:vAlign w:val="center"/>
            <w:shd w:fill="183E54"/>
          </w:tcPr>
          <w:p>
            <w:pPr>
              <w:spacing w:after="40" w:before="40"/>
            </w:pPr>
            <w:r>
              <w:rPr>
                <w:rFonts w:ascii="Aptos" w:hAnsi="Aptos"/>
                <w:b/>
                <w:color w:val="FFFFFF"/>
                <w:sz w:val="16"/>
              </w:rPr>
              <w:t>Decision</w:t>
            </w:r>
          </w:p>
        </w:tc>
      </w:tr>
      <w:tr>
        <w:tc>
          <w:tcPr>
            <w:tcW w:type="dxa" w:w="4997"/>
            <w:vAlign w:val="center"/>
          </w:tcPr>
          <w:p>
            <w:pPr>
              <w:spacing w:after="40" w:before="40"/>
            </w:pPr>
            <w:r>
              <w:rPr>
                <w:rFonts w:ascii="Aptos" w:hAnsi="Aptos"/>
                <w:sz w:val="16"/>
              </w:rPr>
              <w:t>Regulatory ban, invalid instrument, suspension, Level-1 unresolved statutory conflict</w:t>
            </w:r>
          </w:p>
        </w:tc>
        <w:tc>
          <w:tcPr>
            <w:tcW w:type="dxa" w:w="4997"/>
            <w:vAlign w:val="center"/>
          </w:tcPr>
          <w:p>
            <w:pPr>
              <w:spacing w:after="40" w:before="40"/>
            </w:pPr>
            <w:r>
              <w:rPr>
                <w:rFonts w:ascii="Aptos" w:hAnsi="Aptos"/>
                <w:sz w:val="16"/>
              </w:rPr>
              <w:t>No new trades in any equity or derivative form until resolved; manage existing risk legally</w:t>
            </w:r>
          </w:p>
        </w:tc>
      </w:tr>
      <w:tr>
        <w:tc>
          <w:tcPr>
            <w:tcW w:type="dxa" w:w="4997"/>
            <w:vAlign w:val="center"/>
          </w:tcPr>
          <w:p>
            <w:pPr>
              <w:spacing w:after="40" w:before="40"/>
            </w:pPr>
            <w:r>
              <w:rPr>
                <w:rFonts w:ascii="Aptos" w:hAnsi="Aptos"/>
                <w:sz w:val="16"/>
              </w:rPr>
              <w:t>Long-term valuation/thesis AVOID only, no Level-1 prohibition</w:t>
            </w:r>
          </w:p>
        </w:tc>
        <w:tc>
          <w:tcPr>
            <w:tcW w:type="dxa" w:w="4997"/>
            <w:vAlign w:val="center"/>
          </w:tcPr>
          <w:p>
            <w:pPr>
              <w:spacing w:after="40" w:before="40"/>
            </w:pPr>
            <w:r>
              <w:rPr>
                <w:rFonts w:ascii="Aptos" w:hAnsi="Aptos"/>
                <w:sz w:val="16"/>
              </w:rPr>
              <w:t>Tactical strategies may only operate if independently permitted under separate policy, explicit risk and account approval</w:t>
            </w:r>
          </w:p>
        </w:tc>
      </w:tr>
      <w:tr>
        <w:tc>
          <w:tcPr>
            <w:tcW w:type="dxa" w:w="4997"/>
            <w:vAlign w:val="center"/>
          </w:tcPr>
          <w:p>
            <w:pPr>
              <w:spacing w:after="40" w:before="40"/>
            </w:pPr>
            <w:r>
              <w:rPr>
                <w:rFonts w:ascii="Aptos" w:hAnsi="Aptos"/>
                <w:sz w:val="16"/>
              </w:rPr>
              <w:t>Urgent risk/material loss event</w:t>
            </w:r>
          </w:p>
        </w:tc>
        <w:tc>
          <w:tcPr>
            <w:tcW w:type="dxa" w:w="4997"/>
            <w:vAlign w:val="center"/>
          </w:tcPr>
          <w:p>
            <w:pPr>
              <w:spacing w:after="40" w:before="40"/>
            </w:pPr>
            <w:r>
              <w:rPr>
                <w:rFonts w:ascii="Aptos" w:hAnsi="Aptos"/>
                <w:sz w:val="16"/>
              </w:rPr>
              <w:t>Prioritize risk management and permissible exit without violating broker-known/order-unknown safeguards</w:t>
            </w:r>
          </w:p>
        </w:tc>
      </w:tr>
    </w:tbl>
    <w:p>
      <w:pPr>
        <w:pStyle w:val="PatchSmall"/>
      </w:pPr>
    </w:p>
    <w:p>
      <w:pPr>
        <w:pStyle w:val="PatchH2"/>
      </w:pPr>
      <w:r>
        <w:t>7.2 Preserve and isolate the five original horizons</w:t>
      </w:r>
    </w:p>
    <w:p>
      <w:pPr>
        <w:pStyle w:val="PatchBody"/>
      </w:pPr>
      <w:r>
        <w:t>Do not rewrite Daily/Weekly/Monthly/Medium/Long signals as intraday by renaming them. Original Daily remains confirmed from a completed daily candle, with next eligible session entry. Weekly/Monthly similarly require their full final trading session. Existing metrics and weights remain as baseline hypotheses pending validation.</w:t>
      </w:r>
    </w:p>
    <w:p>
      <w:pPr>
        <w:pStyle w:val="PatchH2"/>
      </w:pPr>
      <w:r>
        <w:t>7.3 Optional independent intraday engine: disabled</w:t>
      </w:r>
    </w:p>
    <w:p>
      <w:pPr>
        <w:pStyle w:val="PatchBody"/>
      </w:pPr>
      <w:r>
        <w:t>An optional new 1m, 3m, 5m, 15m price-action scanner, with 30m/60m extension by approval, is an explicit FUTURE MODULE, OFF by default; not a feature that has been coded or tested as part of this package. It requires its own signal IDs, EOD boundary, market sessions, source-watermark finality, independent stop state, fees, risk sizing and deterministic replay. No automatic buy/sell entries are implied in the existing five original horizons.</w:t>
      </w:r>
    </w:p>
    <w:p>
      <w:pPr>
        <w:pStyle w:val="PatchH1"/>
      </w:pPr>
      <w:r>
        <w:t>8 | 24-finding remediation control matrix</w:t>
      </w:r>
    </w:p>
    <w:p>
      <w:pPr>
        <w:pStyle w:val="PatchBody"/>
      </w:pPr>
      <w:r>
        <w:t>Each audit finding below has an explicit corrected requirement and a measurable test. These entries supersede contradictory historical text; status never implies actual live runtime validation.</w:t>
      </w:r>
    </w:p>
    <w:p>
      <w:pPr>
        <w:pStyle w:val="PatchH2"/>
      </w:pPr>
      <w:r>
        <w:t>A01 | CRITICAL | Specification is not a runnable trading system</w:t>
      </w:r>
    </w:p>
    <w:p>
      <w:pPr>
        <w:pStyle w:val="PatchBody"/>
      </w:pPr>
      <w:r>
        <w:t>REVISED RULE: Retain ALERT_ONLY; explicitly label deliverables design + offline reference module; require source tree, tested broker adapters, migrations, data and signed deployment evidence.</w:t>
      </w:r>
    </w:p>
    <w:p>
      <w:pPr>
        <w:pStyle w:val="PatchSmall"/>
      </w:pPr>
      <w:r>
        <w:t>REQUIRED PROOF: Acceptance: source manifest, CI green, data/code/investment gates separately signed.  |  Implementation status: RELEASE_BLOCKED</w:t>
      </w:r>
    </w:p>
    <w:p>
      <w:pPr>
        <w:pStyle w:val="PatchH2"/>
      </w:pPr>
      <w:r>
        <w:t>A02 | HIGH | Confidence shrinkage can improve weak stock scores</w:t>
      </w:r>
    </w:p>
    <w:p>
      <w:pPr>
        <w:pStyle w:val="PatchBody"/>
      </w:pPr>
      <w:r>
        <w:t>REVISED RULE: Preserve uncertainty estimate for reporting; rank/action = min(raw, shrinkage, hard_gate_cap) with eligibility and coverage gates. Missing data may never improve rank, recommendation, or quantity.</w:t>
      </w:r>
    </w:p>
    <w:p>
      <w:pPr>
        <w:pStyle w:val="PatchSmall"/>
      </w:pPr>
      <w:r>
        <w:t>REQUIRED PROOF: Test decreasing confidence for raw 0,20,49,50,51,90,100.  |  Implementation status: REFERENCE_TESTED</w:t>
      </w:r>
    </w:p>
    <w:p>
      <w:pPr>
        <w:pStyle w:val="PatchH2"/>
      </w:pPr>
      <w:r>
        <w:t>A03 | CRITICAL | Correlation cap omitted from final quantity formula</w:t>
      </w:r>
    </w:p>
    <w:p>
      <w:pPr>
        <w:pStyle w:val="PatchBody"/>
      </w:pPr>
      <w:r>
        <w:t>REVISED RULE: Add QuantityByCorrelation, risk, margin, cash, gross/net, company/sector/horizon/event, and pending-order reservations. Always use residual account headroom.</w:t>
      </w:r>
    </w:p>
    <w:p>
      <w:pPr>
        <w:pStyle w:val="PatchSmall"/>
      </w:pPr>
      <w:r>
        <w:t>REQUIRED PROOF: Test pending 2% added to existing 9% breaches 10% cap =&gt; new quantity zero.  |  Implementation status: REFERENCE_TESTED</w:t>
      </w:r>
    </w:p>
    <w:p>
      <w:pPr>
        <w:pStyle w:val="PatchH2"/>
      </w:pPr>
      <w:r>
        <w:t>A04 | CRITICAL | Inadequate idempotency key and lifecycle</w:t>
      </w:r>
    </w:p>
    <w:p>
      <w:pPr>
        <w:pStyle w:val="PatchBody"/>
      </w:pPr>
      <w:r>
        <w:t>REVISED RULE: Durable UUID order_intent_id per economic action; distinct child_order_id and broker/client-order scopes; persisted outbox and immutable attempt lineage; no new intent on retry or across midnight.</w:t>
      </w:r>
    </w:p>
    <w:p>
      <w:pPr>
        <w:pStyle w:val="PatchSmall"/>
      </w:pPr>
      <w:r>
        <w:t>REQUIRED PROOF: Test concurrent workers, broker timeout, reconnect, next-day replay, replacement children, partial exits.  |  Implementation status: SPEC_FIXED_IMPLEMENTATION_REQUIRED</w:t>
      </w:r>
    </w:p>
    <w:p>
      <w:pPr>
        <w:pStyle w:val="PatchH2"/>
      </w:pPr>
      <w:r>
        <w:t>A05 | CRITICAL | Ambiguous primary-broker failover after timeout</w:t>
      </w:r>
    </w:p>
    <w:p>
      <w:pPr>
        <w:pStyle w:val="PatchBody"/>
      </w:pPr>
      <w:r>
        <w:t>REVISED RULE: UNKNOWN/UNRECONCILED is freeze-new-entry, not broker switch; reconcile primary/secondary order books and positions and request human approval for residual intent.</w:t>
      </w:r>
    </w:p>
    <w:p>
      <w:pPr>
        <w:pStyle w:val="PatchSmall"/>
      </w:pPr>
      <w:r>
        <w:t>REQUIRED PROOF: Inject delayed primary 40% fill under blackout; assert no secondary order.  |  Implementation status: REFERENCE_TESTED_PARTIAL</w:t>
      </w:r>
    </w:p>
    <w:p>
      <w:pPr>
        <w:pStyle w:val="PatchH2"/>
      </w:pPr>
      <w:r>
        <w:t>A06 | HIGH | Protective stops and gap-through-stop failure not specified</w:t>
      </w:r>
    </w:p>
    <w:p>
      <w:pPr>
        <w:pStyle w:val="PatchBody"/>
      </w:pPr>
      <w:r>
        <w:t>REVISED RULE: Side-aware stop, tick rounding, broker-held protection where supported, stop-order status reconciliation, stress gap/slippage and circuit tests, emergency manual playbook.</w:t>
      </w:r>
    </w:p>
    <w:p>
      <w:pPr>
        <w:pStyle w:val="PatchSmall"/>
      </w:pPr>
      <w:r>
        <w:t>REQUIRED PROOF: Lose network/power after fill, reject SL order, gap across stop.  |  Implementation status: REFERENCE_TESTED_PARTIAL</w:t>
      </w:r>
    </w:p>
    <w:p>
      <w:pPr>
        <w:pStyle w:val="PatchH2"/>
      </w:pPr>
      <w:r>
        <w:t>A07 | HIGH | Position sizing ignores existing and pending reservations</w:t>
      </w:r>
    </w:p>
    <w:p>
      <w:pPr>
        <w:pStyle w:val="PatchBody"/>
      </w:pPr>
      <w:r>
        <w:t>REVISED RULE: Account risk, exposure, buying power, F&amp;O margin and pending notional reserved atomically; second pre-submit fresh broker state check; revalidate after fill/modify/cancel.</w:t>
      </w:r>
    </w:p>
    <w:p>
      <w:pPr>
        <w:pStyle w:val="PatchSmall"/>
      </w:pPr>
      <w:r>
        <w:t>REQUIRED PROOF: Concurrent 2-worker oversubscription must not occur.  |  Implementation status: REFERENCE_TESTED_PARTIAL</w:t>
      </w:r>
    </w:p>
    <w:p>
      <w:pPr>
        <w:pStyle w:val="PatchH2"/>
      </w:pPr>
      <w:r>
        <w:t>A08 | HIGH | Stop distance lacks LONG/SHORT validation</w:t>
      </w:r>
    </w:p>
    <w:p>
      <w:pPr>
        <w:pStyle w:val="PatchBody"/>
      </w:pPr>
      <w:r>
        <w:t>REVISED RULE: LONG stop strictly below entry, SHORT stop strictly above; positive price risk, explicit side, contract and stop tick validation.</w:t>
      </w:r>
    </w:p>
    <w:p>
      <w:pPr>
        <w:pStyle w:val="PatchSmall"/>
      </w:pPr>
      <w:r>
        <w:t>REQUIRED PROOF: LONG 100/102 and SHORT 100/98 rejected.  |  Implementation status: REFERENCE_TESTED</w:t>
      </w:r>
    </w:p>
    <w:p>
      <w:pPr>
        <w:pStyle w:val="PatchH2"/>
      </w:pPr>
      <w:r>
        <w:t>A09 | HIGH | Confidence geometric mean with missing optional research</w:t>
      </w:r>
    </w:p>
    <w:p>
      <w:pPr>
        <w:pStyle w:val="PatchBody"/>
      </w:pPr>
      <w:r>
        <w:t>REVISED RULE: Per-horizon fixed applicable component set; daily/weekly/monthly exclude research; medium/long require research. Required missing is unavailable, not genuine zero; eligibility gate.</w:t>
      </w:r>
    </w:p>
    <w:p>
      <w:pPr>
        <w:pStyle w:val="PatchSmall"/>
      </w:pPr>
      <w:r>
        <w:t>REQUIRED PROOF: Daily with no deep research is not zero confidence; Long without research fails eligibility.  |  Implementation status: REFERENCE_TESTED</w:t>
      </w:r>
    </w:p>
    <w:p>
      <w:pPr>
        <w:pStyle w:val="PatchH2"/>
      </w:pPr>
      <w:r>
        <w:t>A10 | HIGH | Candle finality lacks enforceable provider watermark</w:t>
      </w:r>
    </w:p>
    <w:p>
      <w:pPr>
        <w:pStyle w:val="PatchBody"/>
      </w:pPr>
      <w:r>
        <w:t>REVISED RULE: Exchange calendar + provider watermark &gt;= bar end + seal lag + required observation continuity; delayed bars remain preview; revisions generate new as-known versions.</w:t>
      </w:r>
    </w:p>
    <w:p>
      <w:pPr>
        <w:pStyle w:val="PatchSmall"/>
      </w:pPr>
      <w:r>
        <w:t>REQUIRED PROOF: Delayed/missing OHLCV, special holiday session, time zone, watermark tests.  |  Implementation status: REFERENCE_TESTED_PARTIAL</w:t>
      </w:r>
    </w:p>
    <w:p>
      <w:pPr>
        <w:pStyle w:val="PatchH2"/>
      </w:pPr>
      <w:r>
        <w:t>A11 | HIGH | Algo classification and order policy insufficiently encoded</w:t>
      </w:r>
    </w:p>
    <w:p>
      <w:pPr>
        <w:pStyle w:val="PatchBody"/>
      </w:pPr>
      <w:r>
        <w:t>REVISED RULE: Versioned broker × exchange × segment × session × order type × mode policy; verified static IP, registration/tag, broker sign-off, expiry date; unknown policy denies submit.</w:t>
      </w:r>
    </w:p>
    <w:p>
      <w:pPr>
        <w:pStyle w:val="PatchSmall"/>
      </w:pPr>
      <w:r>
        <w:t>REQUIRED PROOF: Reject unregistered IP/order type/missing classification.  |  Implementation status: REFERENCE_TESTED_PARTIAL</w:t>
      </w:r>
    </w:p>
    <w:p>
      <w:pPr>
        <w:pStyle w:val="PatchH2"/>
      </w:pPr>
      <w:r>
        <w:t>A12 | HIGH | 2,000 stock real-time scope may be overstated</w:t>
      </w:r>
    </w:p>
    <w:p>
      <w:pPr>
        <w:pStyle w:val="PatchBody"/>
      </w:pPr>
      <w:r>
        <w:t>REVISED RULE: Separate market-batch universe (~2,000), fundamental (~500–1000), research (~50–200), and hot-stream (~100–300); instrument-level coverage timestamps and badges.</w:t>
      </w:r>
    </w:p>
    <w:p>
      <w:pPr>
        <w:pStyle w:val="PatchSmall"/>
      </w:pPr>
      <w:r>
        <w:t>REQUIRED PROOF: Assert screen counts and no unsupported conviction label.  |  Implementation status: SPEC_FIXED_IMPLEMENTATION_REQUIRED</w:t>
      </w:r>
    </w:p>
    <w:p>
      <w:pPr>
        <w:pStyle w:val="PatchH2"/>
      </w:pPr>
      <w:r>
        <w:t>A13 | HIGH | No dedicated short-timeframe signal entry engine</w:t>
      </w:r>
    </w:p>
    <w:p>
      <w:pPr>
        <w:pStyle w:val="PatchBody"/>
      </w:pPr>
      <w:r>
        <w:t>REVISED RULE: Preserve five original horizons exactly; separately optional INTRADAY_1M/3M/5M/15M engines (30M/60M by feature flag) disabled by default until tested. No silent inheritance of EOD calibration.</w:t>
      </w:r>
    </w:p>
    <w:p>
      <w:pPr>
        <w:pStyle w:val="PatchSmall"/>
      </w:pPr>
      <w:r>
        <w:t>REQUIRED PROOF: Test source-watermarked 1/3/5/15m independently on sessions and tick/cost assumptions.  |  Implementation status: SPEC_FIXED_IMPLEMENTATION_REQUIRED</w:t>
      </w:r>
    </w:p>
    <w:p>
      <w:pPr>
        <w:pStyle w:val="PatchH2"/>
      </w:pPr>
      <w:r>
        <w:t>A14 | HIGH | Storage budgets and resource thresholds conflict</w:t>
      </w:r>
    </w:p>
    <w:p>
      <w:pPr>
        <w:pStyle w:val="PatchBody"/>
      </w:pPr>
      <w:r>
        <w:t>REVISED RULE: Hardware-profile capacity plan: reserve 60 GB minimum on system volume; &lt;60 =&gt; entry block; 60–&lt;80 =&gt; restricted, &gt;=80 =&gt; resume only after health review; storage plan constrained by usable free space.</w:t>
      </w:r>
    </w:p>
    <w:p>
      <w:pPr>
        <w:pStyle w:val="PatchSmall"/>
      </w:pPr>
      <w:r>
        <w:t>REQUIRED PROOF: Drive free at 35/60/80 GB.  |  Implementation status: REFERENCE_TESTED</w:t>
      </w:r>
    </w:p>
    <w:p>
      <w:pPr>
        <w:pStyle w:val="PatchH2"/>
      </w:pPr>
      <w:r>
        <w:t>A15 | HIGH | Broker net positions conflict with strategy horizon positions</w:t>
      </w:r>
    </w:p>
    <w:p>
      <w:pPr>
        <w:pStyle w:val="PatchBody"/>
      </w:pPr>
      <w:r>
        <w:t>REVISED RULE: Virtual-lot ledger per account/security/contract/horizon/strategy with net broker reconciliation. Every exit references exact virtual lots and reconciled aggregate position.</w:t>
      </w:r>
    </w:p>
    <w:p>
      <w:pPr>
        <w:pStyle w:val="PatchSmall"/>
      </w:pPr>
      <w:r>
        <w:t>REQUIRED PROOF: Daily closes while Long stays: no unintended net liquidation.  |  Implementation status: SPEC_FIXED_IMPLEMENTATION_REQUIRED</w:t>
      </w:r>
    </w:p>
    <w:p>
      <w:pPr>
        <w:pStyle w:val="PatchH2"/>
      </w:pPr>
      <w:r>
        <w:t>A16 | HIGH | Staleness policy inadequate for already-open positions</w:t>
      </w:r>
    </w:p>
    <w:p>
      <w:pPr>
        <w:pStyle w:val="PatchBody"/>
      </w:pPr>
      <w:r>
        <w:t>REVISED RULE: Health matrix: unknown broker =&gt; freeze/reconcile; stale quote with verified broker stops =&gt; retain protection/stop trailing updates; unverified stop =&gt; emergency escalation; no ungrounded blind exits.</w:t>
      </w:r>
    </w:p>
    <w:p>
      <w:pPr>
        <w:pStyle w:val="PatchSmall"/>
      </w:pPr>
      <w:r>
        <w:t>REQUIRED PROOF: Independent REST/stream/order/protection outages.  |  Implementation status: REFERENCE_TESTED_PARTIAL</w:t>
      </w:r>
    </w:p>
    <w:p>
      <w:pPr>
        <w:pStyle w:val="PatchH2"/>
      </w:pPr>
      <w:r>
        <w:t>A17 | HIGH | Release acceptance rules lack measurable thresholds</w:t>
      </w:r>
    </w:p>
    <w:p>
      <w:pPr>
        <w:pStyle w:val="PatchBody"/>
      </w:pPr>
      <w:r>
        <w:t>REVISED RULE: Machine-readable provisional acceptance manifest: zero risk violations; zero duplicated economic intents; zero unresolved broker orders; 100% required adversarial tests; historical backtest and paper signoff. Numerical latency/paper horizon targets explicitly unapproved.</w:t>
      </w:r>
    </w:p>
    <w:p>
      <w:pPr>
        <w:pStyle w:val="PatchSmall"/>
      </w:pPr>
      <w:r>
        <w:t>REQUIRED PROOF: CI must fail until owner marks each evidence-backed gate approved.  |  Implementation status: SPEC_FIXED_IMPLEMENTATION_REQUIRED</w:t>
      </w:r>
    </w:p>
    <w:p>
      <w:pPr>
        <w:pStyle w:val="PatchH2"/>
      </w:pPr>
      <w:r>
        <w:t>A18 | HIGH | PIT historical delistings and as-known data availability unproven</w:t>
      </w:r>
    </w:p>
    <w:p>
      <w:pPr>
        <w:pStyle w:val="PatchBody"/>
      </w:pPr>
      <w:r>
        <w:t>REVISED RULE: Store as-known timestamps, daily security snapshots and corporate action records; honest `PIT_LIMITED` tag if delisted/history evidence absent; block investment-validation claim.</w:t>
      </w:r>
    </w:p>
    <w:p>
      <w:pPr>
        <w:pStyle w:val="PatchSmall"/>
      </w:pPr>
      <w:r>
        <w:t>REQUIRED PROOF: Re-run historical date through later restatement, delisting and symbol changes.  |  Implementation status: SPEC_FIXED_IMPLEMENTATION_REQUIRED</w:t>
      </w:r>
    </w:p>
    <w:p>
      <w:pPr>
        <w:pStyle w:val="PatchH2"/>
      </w:pPr>
      <w:r>
        <w:t>A19 | MEDIUM | Factor overlap double-counts momentum/trend</w:t>
      </w:r>
    </w:p>
    <w:p>
      <w:pPr>
        <w:pStyle w:val="PatchBody"/>
      </w:pPr>
      <w:r>
        <w:t>REVISED RULE: Version factor groups; correlation/collinearity matrices and factor ablation across folds; candidate+HSS aggregate stress test. Weights remain hypotheses.</w:t>
      </w:r>
    </w:p>
    <w:p>
      <w:pPr>
        <w:pStyle w:val="PatchSmall"/>
      </w:pPr>
      <w:r>
        <w:t>REQUIRED PROOF: Pass out-of-sample ablation/noise stability.  |  Implementation status: SPEC_FIXED_IMPLEMENTATION_REQUIRED</w:t>
      </w:r>
    </w:p>
    <w:p>
      <w:pPr>
        <w:pStyle w:val="PatchH2"/>
      </w:pPr>
      <w:r>
        <w:t>A20 | MEDIUM | Scenario probability accuracy uncalibrated</w:t>
      </w:r>
    </w:p>
    <w:p>
      <w:pPr>
        <w:pStyle w:val="PatchBody"/>
      </w:pPr>
      <w:r>
        <w:t>REVISED RULE: Record probability owner, method, observation date; payouts/dilution/timing; calibrate probabilities and terminal valuations out-of-sample.</w:t>
      </w:r>
    </w:p>
    <w:p>
      <w:pPr>
        <w:pStyle w:val="PatchSmall"/>
      </w:pPr>
      <w:r>
        <w:t>REQUIRED PROOF: Backtest Brier/log score and sensitivity before research conviction.  |  Implementation status: SPEC_FIXED_IMPLEMENTATION_REQUIRED</w:t>
      </w:r>
    </w:p>
    <w:p>
      <w:pPr>
        <w:pStyle w:val="PatchH2"/>
      </w:pPr>
      <w:r>
        <w:t>A21 | MEDIUM | API paths based on ambiguous ticker strings</w:t>
      </w:r>
    </w:p>
    <w:p>
      <w:pPr>
        <w:pStyle w:val="PatchBody"/>
      </w:pPr>
      <w:r>
        <w:t>REVISED RULE: Canonical security_id/listing_id/contract_id routes; symbols are aliases resolved by exchange and effective date.</w:t>
      </w:r>
    </w:p>
    <w:p>
      <w:pPr>
        <w:pStyle w:val="PatchSmall"/>
      </w:pPr>
      <w:r>
        <w:t>REQUIRED PROOF: Test dual listings, delisted symbols and expiry collisions.  |  Implementation status: SPEC_FIXED_IMPLEMENTATION_REQUIRED</w:t>
      </w:r>
    </w:p>
    <w:p>
      <w:pPr>
        <w:pStyle w:val="PatchH2"/>
      </w:pPr>
      <w:r>
        <w:t>A22 | MEDIUM | Portfolio/order RPO too relaxed</w:t>
      </w:r>
    </w:p>
    <w:p>
      <w:pPr>
        <w:pStyle w:val="PatchBody"/>
      </w:pPr>
      <w:r>
        <w:t>REVISED RULE: Durable, sync-persisted order intent and fill journals before network submit, restore+reconciliation before unfreezing; broker remains external execution source.</w:t>
      </w:r>
    </w:p>
    <w:p>
      <w:pPr>
        <w:pStyle w:val="PatchSmall"/>
      </w:pPr>
      <w:r>
        <w:t>REQUIRED PROOF: Crash between send and ACK must remain unknown until reconciled.  |  Implementation status: SPEC_FIXED_IMPLEMENTATION_REQUIRED</w:t>
      </w:r>
    </w:p>
    <w:p>
      <w:pPr>
        <w:pStyle w:val="PatchH2"/>
      </w:pPr>
      <w:r>
        <w:t>A23 | MEDIUM | Execution endpoint security under-specified</w:t>
      </w:r>
    </w:p>
    <w:p>
      <w:pPr>
        <w:pStyle w:val="PatchBody"/>
      </w:pPr>
      <w:r>
        <w:t>REVISED RULE: Broker secrets isolated, local auth+2FA for mode escalation, origin/CSRF protections, RBAC for submit/kill, TLS where applicable, immutable redact-audit and dependency scanning.</w:t>
      </w:r>
    </w:p>
    <w:p>
      <w:pPr>
        <w:pStyle w:val="PatchSmall"/>
      </w:pPr>
      <w:r>
        <w:t>REQUIRED PROOF: Unauthorized POST/CSRF/token-leak tests must fail.  |  Implementation status: SPEC_FIXED_IMPLEMENTATION_REQUIRED</w:t>
      </w:r>
    </w:p>
    <w:p>
      <w:pPr>
        <w:pStyle w:val="PatchH2"/>
      </w:pPr>
      <w:r>
        <w:t>A24 | MEDIUM | Hard-gate exception precedence allows ambiguous derivative action</w:t>
      </w:r>
    </w:p>
    <w:p>
      <w:pPr>
        <w:pStyle w:val="PatchBody"/>
      </w:pPr>
      <w:r>
        <w:t>REVISED RULE: Separate security/prohibition vs thesis AVOID. Level-1 restricted/legal/hard stop cannot be overridden by daily signals or derivative switch. Forced exits receive conflict-checked priority.</w:t>
      </w:r>
    </w:p>
    <w:p>
      <w:pPr>
        <w:pStyle w:val="PatchSmall"/>
      </w:pPr>
      <w:r>
        <w:t>REQUIRED PROOF: Regulatory block + derivative Buy =&gt; reject.  |  Implementation status: SPEC_FIXED_IMPLEMENTATION_REQUIRED</w:t>
      </w:r>
    </w:p>
    <w:p>
      <w:pPr>
        <w:pStyle w:val="PatchH1"/>
      </w:pPr>
      <w:r>
        <w:t>9 | Testing, operational acceptance and release gates</w:t>
      </w:r>
    </w:p>
    <w:p>
      <w:pPr>
        <w:pStyle w:val="PatchH2"/>
      </w:pPr>
      <w:r>
        <w:t>9.1 Machine-readable test and acceptance contract</w:t>
      </w:r>
    </w:p>
    <w:p>
      <w:pPr>
        <w:pStyle w:val="PatchBody"/>
      </w:pPr>
      <w:r>
        <w:t>See config/release_gates.example.json. All mode gates start NOT APPROVED and only Research/Alert are preauthorized by design. Proposed 60 paper sessions is a provisional engineering default, NOT calibrated evidence of a sufficient sample. Exact data latency, stale symbols, OOS thresholds, expected shortfall and profit/risk criteria must be independently determined by strategy, feed, capital and broker before sign-off.</w:t>
      </w:r>
    </w:p>
    <w:tbl>
      <w:tblPr>
        <w:tblStyle w:val="TableGrid"/>
        <w:tblW w:type="auto" w:w="0"/>
        <w:jc w:val="center"/>
        <w:tblLook w:firstColumn="1" w:firstRow="1" w:lastColumn="0" w:lastRow="0" w:noHBand="0" w:noVBand="1" w:val="04A0"/>
      </w:tblPr>
      <w:tblGrid>
        <w:gridCol w:w="4997"/>
        <w:gridCol w:w="4997"/>
      </w:tblGrid>
      <w:tr>
        <w:trPr>
          <w:tblHeader/>
        </w:trPr>
        <w:tc>
          <w:tcPr>
            <w:tcW w:type="dxa" w:w="4997"/>
            <w:vAlign w:val="center"/>
            <w:shd w:fill="183E54"/>
          </w:tcPr>
          <w:p>
            <w:pPr>
              <w:spacing w:after="40" w:before="40"/>
            </w:pPr>
            <w:r>
              <w:rPr>
                <w:rFonts w:ascii="Aptos" w:hAnsi="Aptos"/>
                <w:b/>
                <w:color w:val="FFFFFF"/>
                <w:sz w:val="16"/>
              </w:rPr>
              <w:t>Gate</w:t>
            </w:r>
          </w:p>
        </w:tc>
        <w:tc>
          <w:tcPr>
            <w:tcW w:type="dxa" w:w="4997"/>
            <w:vAlign w:val="center"/>
            <w:shd w:fill="183E54"/>
          </w:tcPr>
          <w:p>
            <w:pPr>
              <w:spacing w:after="40" w:before="40"/>
            </w:pPr>
            <w:r>
              <w:rPr>
                <w:rFonts w:ascii="Aptos" w:hAnsi="Aptos"/>
                <w:b/>
                <w:color w:val="FFFFFF"/>
                <w:sz w:val="16"/>
              </w:rPr>
              <w:t>Pass criteria for live consideration</w:t>
            </w:r>
          </w:p>
        </w:tc>
      </w:tr>
      <w:tr>
        <w:tc>
          <w:tcPr>
            <w:tcW w:type="dxa" w:w="4997"/>
            <w:vAlign w:val="center"/>
          </w:tcPr>
          <w:p>
            <w:pPr>
              <w:spacing w:after="40" w:before="40"/>
            </w:pPr>
            <w:r>
              <w:rPr>
                <w:rFonts w:ascii="Aptos" w:hAnsi="Aptos"/>
                <w:sz w:val="16"/>
              </w:rPr>
              <w:t>A. Data and licensing</w:t>
            </w:r>
          </w:p>
        </w:tc>
        <w:tc>
          <w:tcPr>
            <w:tcW w:type="dxa" w:w="4997"/>
            <w:vAlign w:val="center"/>
          </w:tcPr>
          <w:p>
            <w:pPr>
              <w:spacing w:after="40" w:before="40"/>
            </w:pPr>
            <w:r>
              <w:rPr>
                <w:rFonts w:ascii="Aptos" w:hAnsi="Aptos"/>
                <w:sz w:val="16"/>
              </w:rPr>
              <w:t>Every source permitted; PIT universe/constituents and revisions demonstrated; unknown rights block</w:t>
            </w:r>
          </w:p>
        </w:tc>
      </w:tr>
      <w:tr>
        <w:tc>
          <w:tcPr>
            <w:tcW w:type="dxa" w:w="4997"/>
            <w:vAlign w:val="center"/>
          </w:tcPr>
          <w:p>
            <w:pPr>
              <w:spacing w:after="40" w:before="40"/>
            </w:pPr>
            <w:r>
              <w:rPr>
                <w:rFonts w:ascii="Aptos" w:hAnsi="Aptos"/>
                <w:sz w:val="16"/>
              </w:rPr>
              <w:t>B. Technical</w:t>
            </w:r>
          </w:p>
        </w:tc>
        <w:tc>
          <w:tcPr>
            <w:tcW w:type="dxa" w:w="4997"/>
            <w:vAlign w:val="center"/>
          </w:tcPr>
          <w:p>
            <w:pPr>
              <w:spacing w:after="40" w:before="40"/>
            </w:pPr>
            <w:r>
              <w:rPr>
                <w:rFonts w:ascii="Aptos" w:hAnsi="Aptos"/>
                <w:sz w:val="16"/>
              </w:rPr>
              <w:t>All formula versions executable + AST/units/tests; exact cost-aware replay and candle watermarks</w:t>
            </w:r>
          </w:p>
        </w:tc>
      </w:tr>
      <w:tr>
        <w:tc>
          <w:tcPr>
            <w:tcW w:type="dxa" w:w="4997"/>
            <w:vAlign w:val="center"/>
          </w:tcPr>
          <w:p>
            <w:pPr>
              <w:spacing w:after="40" w:before="40"/>
            </w:pPr>
            <w:r>
              <w:rPr>
                <w:rFonts w:ascii="Aptos" w:hAnsi="Aptos"/>
                <w:sz w:val="16"/>
              </w:rPr>
              <w:t>C. Safety</w:t>
            </w:r>
          </w:p>
        </w:tc>
        <w:tc>
          <w:tcPr>
            <w:tcW w:type="dxa" w:w="4997"/>
            <w:vAlign w:val="center"/>
          </w:tcPr>
          <w:p>
            <w:pPr>
              <w:spacing w:after="40" w:before="40"/>
            </w:pPr>
            <w:r>
              <w:rPr>
                <w:rFonts w:ascii="Aptos" w:hAnsi="Aptos"/>
                <w:sz w:val="16"/>
              </w:rPr>
              <w:t>Zero duplicate economic intents, zero risk budget breaches, no unknown orders; failover/failure suite passed</w:t>
            </w:r>
          </w:p>
        </w:tc>
      </w:tr>
      <w:tr>
        <w:tc>
          <w:tcPr>
            <w:tcW w:type="dxa" w:w="4997"/>
            <w:vAlign w:val="center"/>
          </w:tcPr>
          <w:p>
            <w:pPr>
              <w:spacing w:after="40" w:before="40"/>
            </w:pPr>
            <w:r>
              <w:rPr>
                <w:rFonts w:ascii="Aptos" w:hAnsi="Aptos"/>
                <w:sz w:val="16"/>
              </w:rPr>
              <w:t>D. Brokerage</w:t>
            </w:r>
          </w:p>
        </w:tc>
        <w:tc>
          <w:tcPr>
            <w:tcW w:type="dxa" w:w="4997"/>
            <w:vAlign w:val="center"/>
          </w:tcPr>
          <w:p>
            <w:pPr>
              <w:spacing w:after="40" w:before="40"/>
            </w:pPr>
            <w:r>
              <w:rPr>
                <w:rFonts w:ascii="Aptos" w:hAnsi="Aptos"/>
                <w:sz w:val="16"/>
              </w:rPr>
              <w:t>Broker signoff, current algo tags/static IP/order types; reconciliation and stop protection tests</w:t>
            </w:r>
          </w:p>
        </w:tc>
      </w:tr>
      <w:tr>
        <w:tc>
          <w:tcPr>
            <w:tcW w:type="dxa" w:w="4997"/>
            <w:vAlign w:val="center"/>
          </w:tcPr>
          <w:p>
            <w:pPr>
              <w:spacing w:after="40" w:before="40"/>
            </w:pPr>
            <w:r>
              <w:rPr>
                <w:rFonts w:ascii="Aptos" w:hAnsi="Aptos"/>
                <w:sz w:val="16"/>
              </w:rPr>
              <w:t>E. Investment</w:t>
            </w:r>
          </w:p>
        </w:tc>
        <w:tc>
          <w:tcPr>
            <w:tcW w:type="dxa" w:w="4997"/>
            <w:vAlign w:val="center"/>
          </w:tcPr>
          <w:p>
            <w:pPr>
              <w:spacing w:after="40" w:before="40"/>
            </w:pPr>
            <w:r>
              <w:rPr>
                <w:rFonts w:ascii="Aptos" w:hAnsi="Aptos"/>
                <w:sz w:val="16"/>
              </w:rPr>
              <w:t>Out-of-sample walk-forward, paper exercise, documented strategy-specific drawdown/capacity acceptance</w:t>
            </w:r>
          </w:p>
        </w:tc>
      </w:tr>
      <w:tr>
        <w:tc>
          <w:tcPr>
            <w:tcW w:type="dxa" w:w="4997"/>
            <w:vAlign w:val="center"/>
          </w:tcPr>
          <w:p>
            <w:pPr>
              <w:spacing w:after="40" w:before="40"/>
            </w:pPr>
            <w:r>
              <w:rPr>
                <w:rFonts w:ascii="Aptos" w:hAnsi="Aptos"/>
                <w:sz w:val="16"/>
              </w:rPr>
              <w:t>F. Operations</w:t>
            </w:r>
          </w:p>
        </w:tc>
        <w:tc>
          <w:tcPr>
            <w:tcW w:type="dxa" w:w="4997"/>
            <w:vAlign w:val="center"/>
          </w:tcPr>
          <w:p>
            <w:pPr>
              <w:spacing w:after="40" w:before="40"/>
            </w:pPr>
            <w:r>
              <w:rPr>
                <w:rFonts w:ascii="Aptos" w:hAnsi="Aptos"/>
                <w:sz w:val="16"/>
              </w:rPr>
              <w:t>Encrypted backup restore, disk/RAM outage response, model rollback, operator incident runbook</w:t>
            </w:r>
          </w:p>
        </w:tc>
      </w:tr>
    </w:tbl>
    <w:p>
      <w:pPr>
        <w:pStyle w:val="PatchSmall"/>
      </w:pPr>
    </w:p>
    <w:p>
      <w:pPr>
        <w:pStyle w:val="PatchH2"/>
      </w:pPr>
      <w:r>
        <w:t>9.2 Concrete adversarial acceptance tests</w:t>
      </w:r>
    </w:p>
    <w:p>
      <w:pPr>
        <w:pStyle w:val="PatchBody"/>
      </w:pPr>
      <w:r>
        <w:t>• Raw scores 20 and 90 with Data Confidence 100/50/0 must never improve actionable scores as confidence falls; non-eligible scores are NULL.</w:t>
      </w:r>
    </w:p>
    <w:p>
      <w:pPr>
        <w:pStyle w:val="PatchBody"/>
      </w:pPr>
      <w:r>
        <w:t>• LONG ₹100/₹102 stop and SHORT ₹100/₹98 stop must be rejected, while price direction and tick/contract rules are enforced.</w:t>
      </w:r>
    </w:p>
    <w:p>
      <w:pPr>
        <w:pStyle w:val="PatchBody"/>
      </w:pPr>
      <w:r>
        <w:t>• Already held 9% company + 2% pending reservation versus 10% cap yields zero capacity for another entry.</w:t>
      </w:r>
    </w:p>
    <w:p>
      <w:pPr>
        <w:pStyle w:val="PatchBody"/>
      </w:pPr>
      <w:r>
        <w:t>• Primary submit timeout, delayed 40% fill and disconnected API must not cause a duplicate secondary broker order.</w:t>
      </w:r>
    </w:p>
    <w:p>
      <w:pPr>
        <w:pStyle w:val="PatchBody"/>
      </w:pPr>
      <w:r>
        <w:t>• Different child orders for split or partial exits remain linked to one economic intent across UTC/IST midnight and process restarts.</w:t>
      </w:r>
    </w:p>
    <w:p>
      <w:pPr>
        <w:pStyle w:val="PatchBody"/>
      </w:pPr>
      <w:r>
        <w:t>• Daily without deep research uses fixed six confidence components; Medium/Long without required research is gated unavailable.</w:t>
      </w:r>
    </w:p>
    <w:p>
      <w:pPr>
        <w:pStyle w:val="PatchBody"/>
      </w:pPr>
      <w:r>
        <w:t>• A market quote delayed 20 minutes must not seal a supposedly complete 15-minute bar, nor trigger an entry.</w:t>
      </w:r>
    </w:p>
    <w:p>
      <w:pPr>
        <w:pStyle w:val="PatchBody"/>
      </w:pPr>
      <w:r>
        <w:t>• Unknown order-policy version, missing registered static IP or prohibited session order type must fail before API submit.</w:t>
      </w:r>
    </w:p>
    <w:p>
      <w:pPr>
        <w:pStyle w:val="PatchBody"/>
      </w:pPr>
      <w:r>
        <w:t>• Stale streaming data with verified broker stop keeps broker protection under reconciliation; unverified stop invokes human emergency review.</w:t>
      </w:r>
    </w:p>
    <w:p>
      <w:pPr>
        <w:pStyle w:val="PatchBody"/>
      </w:pPr>
      <w:r>
        <w:t>• Delisting, split, rights, symbol change, PIT filing revision, license expiry, corrupt PDF, network/power outage and storage exhaustion all have deterministic block/recovery behavior.</w:t>
      </w:r>
    </w:p>
    <w:p>
      <w:pPr>
        <w:pStyle w:val="PatchH2"/>
      </w:pPr>
      <w:r>
        <w:t>9.3 Regression tests provided versus open tests</w:t>
      </w:r>
    </w:p>
    <w:p>
      <w:pPr>
        <w:pStyle w:val="PatchBody"/>
      </w:pPr>
      <w:r>
        <w:t>The delivered Python reference covers selected pure mathematical functions and local safety guards. The test suite includes 16 deterministic cases run offline. No execution state is persisted across processes, no broker submissions are made, and the original 26-formula catalog has not passed a complete executable-registry validation. This is intentional transparency, not an omitted production test.</w:t>
      </w:r>
    </w:p>
    <w:p>
      <w:pPr>
        <w:pStyle w:val="PatchH2"/>
      </w:pPr>
      <w:r>
        <w:t>9.4 Formal go/no-go rule</w:t>
      </w:r>
    </w:p>
    <w:p>
      <w:pPr>
        <w:pStyle w:val="PatchCode"/>
      </w:pPr>
      <w:r>
        <w:t>LIVE_ALLOWED = architecture_approved AND data_validated AND code_validated AND investment_validated AND broker_policy_current AND all_required_gates_pass AND operator_armed</w:t>
      </w:r>
    </w:p>
    <w:p>
      <w:pPr>
        <w:pStyle w:val="PatchBody"/>
      </w:pPr>
      <w:r>
        <w:t>If any boolean is absent, stale, unknown or false: LiveMode = DISABLED. For unknown broker orders, incomplete reconciliations, source license invalidation or source quote outage, freeze entries immediately and escalate existing-position risk. An unprofitable or biased backtest is never rehabilitated by overriding a safety gate.</w:t>
      </w:r>
    </w:p>
    <w:p>
      <w:pPr>
        <w:pStyle w:val="PatchH1"/>
      </w:pPr>
      <w:r>
        <w:t>10 | Deliverables, source provenance and historical reference</w:t>
      </w:r>
    </w:p>
    <w:p>
      <w:pPr>
        <w:pStyle w:val="PatchBody"/>
      </w:pPr>
      <w:r>
        <w:t>Delivered together with this DOCX: remediation_matrix.csv, formula_registry.json, example policy and release-gate JSON, offline ieis_controls.py, deterministic tests, implementation_contract.md and change log. The engineering build and all actual brokerage / exchange integrations remain separate work and must be independently validated.</w:t>
      </w:r>
    </w:p>
    <w:p>
      <w:pPr>
        <w:pStyle w:val="PatchBody"/>
      </w:pPr>
      <w:r>
        <w:t>The original 7.1.2 full content begins on the following page. It is preserved as the subordinate historical reference for formula provenance, the 7.2 upgrade layer, detailed 7.1.1 engineering baseline and full change history. Its older headings, “canonical” labels and conflicting paragraphs do NOT reverse this 7.1.3 precedence or remove the live-mode prohibition.</w:t>
      </w:r>
    </w:p>
    <w:p>
      <w:r>
        <w:br w:type="page"/>
      </w:r>
    </w:p>
    <w:p>
      <w:pPr>
        <w:pStyle w:val="Title"/>
        <w:jc w:val="left"/>
      </w:pPr>
      <w:r>
        <w:t>Indian Equity Intelligence System 7.1.2</w:t>
      </w:r>
    </w:p>
    <w:p>
      <w:pPr>
        <w:pStyle w:val="Subtitle"/>
      </w:pPr>
      <w:r>
        <w:t>Consolidated Formula-Safe Master Specification</w:t>
      </w:r>
    </w:p>
    <w:p>
      <w:pPr>
        <w:pStyle w:val="Subtitle"/>
        <w:pBdr>
          <w:bottom w:val="single" w:sz="10" w:space="5" w:color="285E74"/>
        </w:pBdr>
      </w:pPr>
      <w:r>
        <w:t>Full 7.1 detail preserved; 7.2 upgrade controls and all formula corrections incorporated without omission</w:t>
      </w:r>
    </w:p>
    <w:p>
      <w:pPr>
        <w:spacing w:before="240"/>
      </w:pPr>
      <w:r>
        <w:rPr>
          <w:b/>
          <w:color w:val="144E69"/>
        </w:rPr>
        <w:t>Purpose</w:t>
      </w:r>
      <w:r>
        <w:t>: production-ready architecture and implementation specification for Indian stock screening, ranking, evidence-led research, multi-horizon signals, portfolio risk, broker integration, backtesting, dashboarding, auditability, and laptop-scale deployment.</w:t>
      </w:r>
    </w:p>
    <w:p>
      <w:r>
        <w:rPr>
          <w:b/>
          <w:color w:val="144E69"/>
        </w:rPr>
        <w:t>Document status</w:t>
      </w:r>
      <w:r>
        <w:t>: consolidated design specification. It is not automatically Data Validated, Code Validated, or Investment Validated. Those states require the separate evidence and testing gates defined in this document.</w:t>
      </w:r>
    </w:p>
    <w:p>
      <w:r>
        <w:rPr>
          <w:b/>
          <w:color w:val="144E69"/>
        </w:rPr>
        <w:t>Default operating mode</w:t>
      </w:r>
      <w:r>
        <w:t>: ALERT_ONLY until every applicable acceptance gate has passed.</w:t>
      </w:r>
    </w:p>
    <w:p>
      <w:r>
        <w:rPr>
          <w:b/>
          <w:color w:val="A02828"/>
        </w:rPr>
        <w:t>External-rule caution</w:t>
      </w:r>
      <w:r>
        <w:t>: broker, exchange, regulatory, licensing, and data-rights statements are preserved from the uploaded source specification. They must be revalidated against current official requirements immediately before implementation or live deployment.</w:t>
      </w:r>
    </w:p>
    <w:p/>
    <w:tbl>
      <w:tblPr>
        <w:tblStyle w:val="TableGrid"/>
        <w:tblW w:type="auto" w:w="0"/>
        <w:jc w:val="left"/>
        <w:tblLayout w:type="autofit"/>
        <w:tblLook w:firstColumn="1" w:firstRow="1" w:lastColumn="0" w:lastRow="0" w:noHBand="0" w:noVBand="1" w:val="04A0"/>
      </w:tblPr>
      <w:tblGrid>
        <w:gridCol w:w="4997"/>
        <w:gridCol w:w="4997"/>
      </w:tblGrid>
      <w:tr>
        <w:trPr>
          <w:tblHeader w:val="true"/>
        </w:trPr>
        <w:tc>
          <w:tcPr>
            <w:tcW w:type="dxa" w:w="4997"/>
            <w:shd w:fill="D9E8EF"/>
          </w:tcPr>
          <w:p>
            <w:r>
              <w:rPr>
                <w:rFonts w:ascii="Cambria" w:hAnsi="Cambria"/>
                <w:b/>
                <w:sz w:val="18"/>
              </w:rPr>
              <w:t>Control field</w:t>
            </w:r>
          </w:p>
        </w:tc>
        <w:tc>
          <w:tcPr>
            <w:tcW w:type="dxa" w:w="4997"/>
            <w:shd w:fill="D9E8EF"/>
          </w:tcPr>
          <w:p>
            <w:r>
              <w:rPr>
                <w:rFonts w:ascii="Cambria" w:hAnsi="Cambria"/>
                <w:b/>
                <w:sz w:val="18"/>
              </w:rPr>
              <w:t>Canonical value</w:t>
            </w:r>
          </w:p>
        </w:tc>
      </w:tr>
      <w:tr>
        <w:tc>
          <w:tcPr>
            <w:tcW w:type="dxa" w:w="4997"/>
            <w:tcMar>
              <w:top w:w="80" w:type="dxa"/>
              <w:start w:w="90" w:type="dxa"/>
              <w:bottom w:w="80" w:type="dxa"/>
              <w:end w:w="90" w:type="dxa"/>
            </w:tcMar>
            <w:vAlign w:val="center"/>
          </w:tcPr>
          <w:p>
            <w:r>
              <w:rPr>
                <w:rFonts w:ascii="Cambria" w:hAnsi="Cambria"/>
                <w:b/>
                <w:sz w:val="18"/>
              </w:rPr>
              <w:t>Version</w:t>
            </w:r>
          </w:p>
        </w:tc>
        <w:tc>
          <w:tcPr>
            <w:tcW w:type="dxa" w:w="4997"/>
            <w:tcMar>
              <w:top w:w="80" w:type="dxa"/>
              <w:start w:w="90" w:type="dxa"/>
              <w:bottom w:w="80" w:type="dxa"/>
              <w:end w:w="90" w:type="dxa"/>
            </w:tcMar>
            <w:vAlign w:val="center"/>
          </w:tcPr>
          <w:p>
            <w:r>
              <w:rPr>
                <w:rFonts w:ascii="Cambria" w:hAnsi="Cambria"/>
                <w:sz w:val="18"/>
              </w:rPr>
              <w:t>7.1.2 — consolidated rebuild of the 7.1 lineage</w:t>
            </w:r>
          </w:p>
        </w:tc>
      </w:tr>
      <w:tr>
        <w:tc>
          <w:tcPr>
            <w:tcW w:type="dxa" w:w="4997"/>
            <w:tcMar>
              <w:top w:w="80" w:type="dxa"/>
              <w:start w:w="90" w:type="dxa"/>
              <w:bottom w:w="80" w:type="dxa"/>
              <w:end w:w="90" w:type="dxa"/>
            </w:tcMar>
            <w:vAlign w:val="center"/>
          </w:tcPr>
          <w:p>
            <w:r>
              <w:rPr>
                <w:rFonts w:ascii="Cambria" w:hAnsi="Cambria"/>
                <w:b/>
                <w:sz w:val="18"/>
              </w:rPr>
              <w:t>Detailed baseline</w:t>
            </w:r>
          </w:p>
        </w:tc>
        <w:tc>
          <w:tcPr>
            <w:tcW w:type="dxa" w:w="4997"/>
            <w:tcMar>
              <w:top w:w="80" w:type="dxa"/>
              <w:start w:w="90" w:type="dxa"/>
              <w:bottom w:w="80" w:type="dxa"/>
              <w:end w:w="90" w:type="dxa"/>
            </w:tcMar>
            <w:vAlign w:val="center"/>
          </w:tcPr>
          <w:p>
            <w:r>
              <w:rPr>
                <w:rFonts w:ascii="Cambria" w:hAnsi="Cambria"/>
                <w:sz w:val="18"/>
              </w:rPr>
              <w:t>Indian Equity Intelligence System 7.1.1 — formulas fixed</w:t>
            </w:r>
          </w:p>
        </w:tc>
      </w:tr>
      <w:tr>
        <w:tc>
          <w:tcPr>
            <w:tcW w:type="dxa" w:w="4997"/>
            <w:tcMar>
              <w:top w:w="80" w:type="dxa"/>
              <w:start w:w="90" w:type="dxa"/>
              <w:bottom w:w="80" w:type="dxa"/>
              <w:end w:w="90" w:type="dxa"/>
            </w:tcMar>
            <w:vAlign w:val="center"/>
          </w:tcPr>
          <w:p>
            <w:r>
              <w:rPr>
                <w:rFonts w:ascii="Cambria" w:hAnsi="Cambria"/>
                <w:b/>
                <w:sz w:val="18"/>
              </w:rPr>
              <w:t>Upgrade/control layer</w:t>
            </w:r>
          </w:p>
        </w:tc>
        <w:tc>
          <w:tcPr>
            <w:tcW w:type="dxa" w:w="4997"/>
            <w:tcMar>
              <w:top w:w="80" w:type="dxa"/>
              <w:start w:w="90" w:type="dxa"/>
              <w:bottom w:w="80" w:type="dxa"/>
              <w:end w:w="90" w:type="dxa"/>
            </w:tcMar>
            <w:vAlign w:val="center"/>
          </w:tcPr>
          <w:p>
            <w:r>
              <w:rPr>
                <w:rFonts w:ascii="Cambria" w:hAnsi="Cambria"/>
                <w:sz w:val="18"/>
              </w:rPr>
              <w:t>Indian Equity Intelligence System 7.2</w:t>
            </w:r>
          </w:p>
        </w:tc>
      </w:tr>
      <w:tr>
        <w:tc>
          <w:tcPr>
            <w:tcW w:type="dxa" w:w="4997"/>
            <w:tcMar>
              <w:top w:w="80" w:type="dxa"/>
              <w:start w:w="90" w:type="dxa"/>
              <w:bottom w:w="80" w:type="dxa"/>
              <w:end w:w="90" w:type="dxa"/>
            </w:tcMar>
            <w:vAlign w:val="center"/>
          </w:tcPr>
          <w:p>
            <w:r>
              <w:rPr>
                <w:rFonts w:ascii="Cambria" w:hAnsi="Cambria"/>
                <w:b/>
                <w:sz w:val="18"/>
              </w:rPr>
              <w:t>Formula authority</w:t>
            </w:r>
          </w:p>
        </w:tc>
        <w:tc>
          <w:tcPr>
            <w:tcW w:type="dxa" w:w="4997"/>
            <w:tcMar>
              <w:top w:w="80" w:type="dxa"/>
              <w:start w:w="90" w:type="dxa"/>
              <w:bottom w:w="80" w:type="dxa"/>
              <w:end w:w="90" w:type="dxa"/>
            </w:tcMar>
            <w:vAlign w:val="center"/>
          </w:tcPr>
          <w:p>
            <w:r>
              <w:rPr>
                <w:rFonts w:ascii="Cambria" w:hAnsi="Cambria"/>
                <w:sz w:val="18"/>
              </w:rPr>
              <w:t>Corrected formulas in the 7.1.1 source and the supplied formula-corrections changelog</w:t>
            </w:r>
          </w:p>
        </w:tc>
      </w:tr>
      <w:tr>
        <w:tc>
          <w:tcPr>
            <w:tcW w:type="dxa" w:w="4997"/>
            <w:tcMar>
              <w:top w:w="80" w:type="dxa"/>
              <w:start w:w="90" w:type="dxa"/>
              <w:bottom w:w="80" w:type="dxa"/>
              <w:end w:w="90" w:type="dxa"/>
            </w:tcMar>
            <w:vAlign w:val="center"/>
          </w:tcPr>
          <w:p>
            <w:r>
              <w:rPr>
                <w:rFonts w:ascii="Cambria" w:hAnsi="Cambria"/>
                <w:b/>
                <w:sz w:val="18"/>
              </w:rPr>
              <w:t>Conflict rule</w:t>
            </w:r>
          </w:p>
        </w:tc>
        <w:tc>
          <w:tcPr>
            <w:tcW w:type="dxa" w:w="4997"/>
            <w:tcMar>
              <w:top w:w="80" w:type="dxa"/>
              <w:start w:w="90" w:type="dxa"/>
              <w:bottom w:w="80" w:type="dxa"/>
              <w:end w:w="90" w:type="dxa"/>
            </w:tcMar>
            <w:vAlign w:val="center"/>
          </w:tcPr>
          <w:p>
            <w:r>
              <w:rPr>
                <w:rFonts w:ascii="Cambria" w:hAnsi="Cambria"/>
                <w:sz w:val="18"/>
              </w:rPr>
              <w:t>The explicit precedence matrix in this document applies; unresolved conflicts enter manual review and must not be silently resolved.</w:t>
            </w:r>
          </w:p>
        </w:tc>
      </w:tr>
      <w:tr>
        <w:tc>
          <w:tcPr>
            <w:tcW w:type="dxa" w:w="4997"/>
            <w:tcMar>
              <w:top w:w="80" w:type="dxa"/>
              <w:start w:w="90" w:type="dxa"/>
              <w:bottom w:w="80" w:type="dxa"/>
              <w:end w:w="90" w:type="dxa"/>
            </w:tcMar>
            <w:vAlign w:val="center"/>
          </w:tcPr>
          <w:p>
            <w:r>
              <w:rPr>
                <w:rFonts w:ascii="Cambria" w:hAnsi="Cambria"/>
                <w:b/>
                <w:sz w:val="18"/>
              </w:rPr>
              <w:t>Coverage</w:t>
            </w:r>
          </w:p>
        </w:tc>
        <w:tc>
          <w:tcPr>
            <w:tcW w:type="dxa" w:w="4997"/>
            <w:tcMar>
              <w:top w:w="80" w:type="dxa"/>
              <w:start w:w="90" w:type="dxa"/>
              <w:bottom w:w="80" w:type="dxa"/>
              <w:end w:w="90" w:type="dxa"/>
            </w:tcMar>
            <w:vAlign w:val="center"/>
          </w:tcPr>
          <w:p>
            <w:r>
              <w:rPr>
                <w:rFonts w:ascii="Cambria" w:hAnsi="Cambria"/>
                <w:sz w:val="18"/>
              </w:rPr>
              <w:t>Complete text of both uploaded specifications plus the complete correction changelog</w:t>
            </w:r>
          </w:p>
        </w:tc>
      </w:tr>
    </w:tbl>
    <w:p>
      <w:r>
        <w:br w:type="page"/>
      </w:r>
    </w:p>
    <w:p>
      <w:pPr>
        <w:pStyle w:val="Heading1"/>
        <w:pBdr>
          <w:bottom w:val="single" w:sz="8" w:space="5" w:color="285E74"/>
        </w:pBdr>
      </w:pPr>
      <w:r>
        <w:t>Document integration and precedence rules</w:t>
      </w:r>
    </w:p>
    <w:p>
      <w:r>
        <w:rPr>
          <w:b/>
        </w:rPr>
        <w:t xml:space="preserve">This rebuild is intentionally no-loss. </w:t>
      </w:r>
      <w:r>
        <w:t>The 7.2 specification is preserved as the governing upgrade and control layer, the complete 7.1.1 formulas-fixed specification is preserved as the detailed baseline, and the entire formula-correction changelog is preserved as provenance. Where the two specifications overlap, the following rules determine implementation behavior.</w:t>
      </w:r>
    </w:p>
    <w:p>
      <w:pPr>
        <w:pStyle w:val="ListBody"/>
        <w:ind w:left="403" w:hanging="259"/>
      </w:pPr>
      <w:r>
        <w:rPr>
          <w:b/>
        </w:rPr>
        <w:t xml:space="preserve">• </w:t>
      </w:r>
      <w:r>
        <w:t>Corrected formula expressions override malformed or incomplete historical formula renderings.</w:t>
      </w:r>
    </w:p>
    <w:p>
      <w:pPr>
        <w:pStyle w:val="ListBody"/>
        <w:ind w:left="403" w:hanging="259"/>
      </w:pPr>
      <w:r>
        <w:rPr>
          <w:b/>
        </w:rPr>
        <w:t xml:space="preserve">• </w:t>
      </w:r>
      <w:r>
        <w:t>The 7.2 formula-integrity, source-access, realistic-coverage, deployment-profile, and retail-algo control clauses govern corresponding implementation decisions.</w:t>
      </w:r>
    </w:p>
    <w:p>
      <w:pPr>
        <w:pStyle w:val="ListBody"/>
        <w:ind w:left="403" w:hanging="259"/>
      </w:pPr>
      <w:r>
        <w:rPr>
          <w:b/>
        </w:rPr>
        <w:t xml:space="preserve">• </w:t>
      </w:r>
      <w:r>
        <w:t>The 7.1.1 specification remains authoritative for detailed architecture, data models, scoring logic, signal workflows, portfolio controls, dashboard modules, resource management, testing requirements, and acceptance gates not replaced by a stricter 7.2 clause.</w:t>
      </w:r>
    </w:p>
    <w:p>
      <w:pPr>
        <w:pStyle w:val="ListBody"/>
        <w:ind w:left="403" w:hanging="259"/>
      </w:pPr>
      <w:r>
        <w:rPr>
          <w:b/>
        </w:rPr>
        <w:t xml:space="preserve">• </w:t>
      </w:r>
      <w:r>
        <w:t>When two clauses are compatible, both apply. When one is stricter, the stricter safety, data-quality, risk, validation, or compliance control applies.</w:t>
      </w:r>
    </w:p>
    <w:p>
      <w:pPr>
        <w:pStyle w:val="ListBody"/>
        <w:ind w:left="403" w:hanging="259"/>
      </w:pPr>
      <w:r>
        <w:rPr>
          <w:b/>
        </w:rPr>
        <w:t xml:space="preserve">• </w:t>
      </w:r>
      <w:r>
        <w:t>When a genuine contradiction remains, the system must create a versioned conflict record, block the affected production action, and require explicit review. It must never silently choose one interpretation.</w:t>
      </w:r>
    </w:p>
    <w:p>
      <w:pPr>
        <w:pStyle w:val="ListBody"/>
        <w:ind w:left="403" w:hanging="259"/>
      </w:pPr>
      <w:r>
        <w:rPr>
          <w:b/>
        </w:rPr>
        <w:t xml:space="preserve">• </w:t>
      </w:r>
      <w:r>
        <w:t>No weight, threshold, scoring coefficient, or risk limit is treated as empirically validated merely because it appears in this specification. Every production parameter requires point-in-time walk-forward testing and controlled validation.</w:t>
      </w:r>
    </w:p>
    <w:p>
      <w:pPr>
        <w:pStyle w:val="Heading1"/>
        <w:pBdr>
          <w:bottom w:val="single" w:sz="8" w:space="5" w:color="285E74"/>
        </w:pBdr>
      </w:pPr>
      <w:r>
        <w:t>Integrated upgrade outcomes</w:t>
      </w:r>
    </w:p>
    <w:p>
      <w:pPr>
        <w:pStyle w:val="ListBody"/>
        <w:ind w:left="461" w:hanging="317"/>
      </w:pPr>
      <w:r>
        <w:rPr>
          <w:b/>
        </w:rPr>
        <w:t xml:space="preserve">1. </w:t>
      </w:r>
      <w:r>
        <w:t>Formula registry, canonical machine-readable expressions, document-generation controls, export validation, and mandatory formula test cases.</w:t>
      </w:r>
    </w:p>
    <w:p>
      <w:pPr>
        <w:pStyle w:val="ListBody"/>
        <w:ind w:left="461" w:hanging="317"/>
      </w:pPr>
      <w:r>
        <w:rPr>
          <w:b/>
        </w:rPr>
        <w:t xml:space="preserve">2. </w:t>
      </w:r>
      <w:r>
        <w:t>Realistic three-layer research coverage: market-wide monitoring, standard fundamental coverage, and selected deep research coverage.</w:t>
      </w:r>
    </w:p>
    <w:p>
      <w:pPr>
        <w:pStyle w:val="ListBody"/>
        <w:ind w:left="461" w:hanging="317"/>
      </w:pPr>
      <w:r>
        <w:rPr>
          <w:b/>
        </w:rPr>
        <w:t xml:space="preserve">3. </w:t>
      </w:r>
      <w:r>
        <w:t>Personal Core, Personal Advanced, and Institutional deployment profiles, including graceful degradation when licensed data is unavailable.</w:t>
      </w:r>
    </w:p>
    <w:p>
      <w:pPr>
        <w:pStyle w:val="ListBody"/>
        <w:ind w:left="461" w:hanging="317"/>
      </w:pPr>
      <w:r>
        <w:rPr>
          <w:b/>
        </w:rPr>
        <w:t xml:space="preserve">4. </w:t>
      </w:r>
      <w:r>
        <w:t>Accessible-source operating model using permitted broker data, user-authorized exports, statutory documents, and explicit data-rights controls.</w:t>
      </w:r>
    </w:p>
    <w:p>
      <w:pPr>
        <w:pStyle w:val="ListBody"/>
        <w:ind w:left="461" w:hanging="317"/>
      </w:pPr>
      <w:r>
        <w:rPr>
          <w:b/>
        </w:rPr>
        <w:t xml:space="preserve">5. </w:t>
      </w:r>
      <w:r>
        <w:t>Expanded evidence taxonomy, decision-layer separation, pending-review states, and stronger prevention of unsupported conviction claims.</w:t>
      </w:r>
    </w:p>
    <w:p>
      <w:pPr>
        <w:pStyle w:val="ListBody"/>
        <w:ind w:left="461" w:hanging="317"/>
      </w:pPr>
      <w:r>
        <w:rPr>
          <w:b/>
        </w:rPr>
        <w:t xml:space="preserve">6. </w:t>
      </w:r>
      <w:r>
        <w:t>Retail-algo order classification, strategy identification, broker-specific configuration, static-IP or similar controls where applicable, and distribution restrictions.</w:t>
      </w:r>
    </w:p>
    <w:p>
      <w:pPr>
        <w:pStyle w:val="ListBody"/>
        <w:ind w:left="461" w:hanging="317"/>
      </w:pPr>
      <w:r>
        <w:rPr>
          <w:b/>
        </w:rPr>
        <w:t xml:space="preserve">7. </w:t>
      </w:r>
      <w:r>
        <w:t>Canonical derivative-contract identity in addition to company, security, listing, and broker instrument identity.</w:t>
      </w:r>
    </w:p>
    <w:p>
      <w:pPr>
        <w:pStyle w:val="ListBody"/>
        <w:ind w:left="461" w:hanging="317"/>
      </w:pPr>
      <w:r>
        <w:rPr>
          <w:b/>
        </w:rPr>
        <w:t xml:space="preserve">8. </w:t>
      </w:r>
      <w:r>
        <w:t>Resource-constrained laptop deployment and workload prioritization without pretending to provide institutional-scale equal-depth research across all securities.</w:t>
      </w:r>
    </w:p>
    <w:p>
      <w:pPr>
        <w:pStyle w:val="ListBody"/>
        <w:ind w:left="461" w:hanging="317"/>
      </w:pPr>
      <w:r>
        <w:rPr>
          <w:b/>
        </w:rPr>
        <w:t xml:space="preserve">9. </w:t>
      </w:r>
      <w:r>
        <w:t>Revised testing, release-path, security, storage, model-governance, and production-acceptance controls.</w:t>
      </w:r>
    </w:p>
    <w:p>
      <w:pPr>
        <w:pStyle w:val="ListBody"/>
        <w:ind w:left="461" w:hanging="317"/>
      </w:pPr>
      <w:r>
        <w:rPr>
          <w:b/>
        </w:rPr>
        <w:t xml:space="preserve">10. </w:t>
      </w:r>
      <w:r>
        <w:t>Thirty-seven correction actions preserved from the formula audit: 33 formula reconstructions, two restored conceptual lists, and two clearly identified drafted sections.</w:t>
      </w:r>
    </w:p>
    <w:p>
      <w:pPr>
        <w:pStyle w:val="Heading1"/>
        <w:pBdr>
          <w:bottom w:val="single" w:sz="8" w:space="5" w:color="285E74"/>
        </w:pBdr>
      </w:pPr>
      <w:r>
        <w:t>Canonical formula decisions for implementation</w:t>
      </w:r>
    </w:p>
    <w:p>
      <w:r>
        <w:rPr>
          <w:b/>
        </w:rPr>
        <w:t xml:space="preserve">The source documents are preserved in full later in this file, including historical formula text. </w:t>
      </w:r>
      <w:r>
        <w:t>For executable implementation, the formulas below are canonical. They adopt the formula-safe 7.2 definitions where those definitions correct scaling, denominator, range, or dimensional defects in the 7.1 correction set. A historical formula reproduced in Part II or Part III does not override this register.</w:t>
      </w:r>
    </w:p>
    <w:p>
      <w:pPr>
        <w:pStyle w:val="SmallNote"/>
      </w:pPr>
      <w:r>
        <w:t>Canonical unit convention: scores and confidence values are 0–100 unless explicitly defined as 0–1 factors. Percentages used as arithmetic factors must be divided by 100. Denominator floors must be positive, unit-compatible configuration values. Every result is subject to the stated missing-data, clipping, hard-gate, and review rules.</w:t>
      </w:r>
    </w:p>
    <w:p>
      <w:pPr>
        <w:pStyle w:val="Heading2"/>
      </w:pPr>
      <w:r>
        <w:t>A. Data quality, reconciliation, and liquidity</w:t>
      </w:r>
    </w:p>
    <w:p>
      <w:pPr>
        <w:pStyle w:val="Heading3"/>
      </w:pPr>
      <w:r>
        <w:t>RELATIVE_DIFFERENCE_V2 — Relative difference</w:t>
      </w:r>
    </w:p>
    <w:p>
      <w:pPr>
        <w:pStyle w:val="FormulaBlock"/>
        <w:shd w:fill="F5F8FA"/>
      </w:pPr>
      <w:r>
        <w:t>RelativeDifference = abs(x1 - x2) / max(abs(x1), abs(x2), epsilon)</w:t>
      </w:r>
    </w:p>
    <w:p>
      <w:pPr>
        <w:pStyle w:val="SmallNote"/>
      </w:pPr>
      <w:r>
        <w:rPr>
          <w:b/>
        </w:rPr>
        <w:t xml:space="preserve">Canonical decision: </w:t>
      </w:r>
      <w:r>
        <w:t>Preserves the reconstructed 7.1 intent and makes the positive denominator floor mandatory.</w:t>
      </w:r>
    </w:p>
    <w:p>
      <w:pPr>
        <w:pStyle w:val="Heading3"/>
      </w:pPr>
      <w:r>
        <w:t>DATA_CONFIDENCE_V2 — Data Confidence</w:t>
      </w:r>
    </w:p>
    <w:p>
      <w:pPr>
        <w:pStyle w:val="FormulaBlock"/>
        <w:shd w:fill="F5F8FA"/>
      </w:pPr>
      <w:r>
        <w:t>DataConfidence = sum(weight[k] * component_score[k]) / sum(weight[k])</w:t>
      </w:r>
    </w:p>
    <w:p>
      <w:pPr>
        <w:pStyle w:val="SmallNote"/>
      </w:pPr>
      <w:r>
        <w:rPr>
          <w:b/>
        </w:rPr>
        <w:t xml:space="preserve">Canonical decision: </w:t>
      </w:r>
      <w:r>
        <w:t>Canonical output is 0–100. This normalization is mandatory even when configured weights currently sum to 100.</w:t>
      </w:r>
    </w:p>
    <w:p>
      <w:pPr>
        <w:pStyle w:val="Heading3"/>
      </w:pPr>
      <w:r>
        <w:t>REQUIRED_MEDIAN_ADV_V2 — Required median traded value</w:t>
      </w:r>
    </w:p>
    <w:p>
      <w:pPr>
        <w:pStyle w:val="FormulaBlock"/>
        <w:shd w:fill="F5F8FA"/>
      </w:pPr>
      <w:r>
        <w:t>RequiredMedianADV = PlannedPositionValue / MaximumParticipationRate</w:t>
      </w:r>
    </w:p>
    <w:p>
      <w:pPr>
        <w:pStyle w:val="SmallNote"/>
      </w:pPr>
      <w:r>
        <w:rPr>
          <w:b/>
        </w:rPr>
        <w:t xml:space="preserve">Canonical decision: </w:t>
      </w:r>
      <w:r>
        <w:t>MaximumParticipationRate is a 0–1 fraction and must be greater than zero.</w:t>
      </w:r>
    </w:p>
    <w:p>
      <w:pPr>
        <w:pStyle w:val="Heading3"/>
      </w:pPr>
      <w:r>
        <w:t>EXIT_DAYS_V2 — Estimated exit days</w:t>
      </w:r>
    </w:p>
    <w:p>
      <w:pPr>
        <w:pStyle w:val="FormulaBlock"/>
        <w:shd w:fill="F5F8FA"/>
      </w:pPr>
      <w:r>
        <w:t>ExitDays = PositionValue / max(MedianDailyTradedValue * AllowedParticipationRate, MinimumLiquidityDenominator)</w:t>
      </w:r>
    </w:p>
    <w:p>
      <w:pPr>
        <w:pStyle w:val="SmallNote"/>
      </w:pPr>
      <w:r>
        <w:rPr>
          <w:b/>
        </w:rPr>
        <w:t xml:space="preserve">Canonical decision: </w:t>
      </w:r>
      <w:r>
        <w:t>Supersedes the unguarded 7.1 denominator and prevents division by zero or near-zero liquidity.</w:t>
      </w:r>
    </w:p>
    <w:p>
      <w:pPr>
        <w:pStyle w:val="Heading3"/>
      </w:pPr>
      <w:r>
        <w:t>TRADING_CONTINUITY_V2 — Trading continuity</w:t>
      </w:r>
    </w:p>
    <w:p>
      <w:pPr>
        <w:pStyle w:val="FormulaBlock"/>
        <w:shd w:fill="F5F8FA"/>
      </w:pPr>
      <w:r>
        <w:t>TradingContinuity = DaysWithValidTrades / ExpectedTradingDays</w:t>
      </w:r>
    </w:p>
    <w:p>
      <w:pPr>
        <w:pStyle w:val="SmallNote"/>
      </w:pPr>
      <w:r>
        <w:rPr>
          <w:b/>
        </w:rPr>
        <w:t xml:space="preserve">Canonical decision: </w:t>
      </w:r>
      <w:r>
        <w:t>ExpectedTradingDays must be positive; the result is clipped to 0–1.</w:t>
      </w:r>
    </w:p>
    <w:p>
      <w:pPr>
        <w:pStyle w:val="Heading3"/>
      </w:pPr>
      <w:r>
        <w:t>COVERAGE_SHRINKAGE_V2 — Coverage and shrinkage to neutral</w:t>
      </w:r>
    </w:p>
    <w:p>
      <w:pPr>
        <w:pStyle w:val="FormulaBlock"/>
        <w:shd w:fill="F5F8FA"/>
      </w:pPr>
      <w:r>
        <w:t>Coverage = clip(AvailableMetricWeight / RequiredMetricWeight, 0, 1)</w:t>
        <w:br/>
        <w:t>AdjustedScore = NeutralScore + Coverage * (RawScore - NeutralScore)</w:t>
        <w:br/>
        <w:t>NeutralScore = 50</w:t>
      </w:r>
    </w:p>
    <w:p>
      <w:pPr>
        <w:pStyle w:val="SmallNote"/>
      </w:pPr>
      <w:r>
        <w:rPr>
          <w:b/>
        </w:rPr>
        <w:t xml:space="preserve">Canonical decision: </w:t>
      </w:r>
      <w:r>
        <w:t>Preserves the 7.1 shrinkage model while making range clipping and the neutral score explicit.</w:t>
      </w:r>
    </w:p>
    <w:p>
      <w:pPr>
        <w:pStyle w:val="Heading3"/>
      </w:pPr>
      <w:r>
        <w:t>FRESHNESS_FACTOR_V2 — Staleness decay</w:t>
      </w:r>
    </w:p>
    <w:p>
      <w:pPr>
        <w:pStyle w:val="FormulaBlock"/>
        <w:shd w:fill="F5F8FA"/>
      </w:pPr>
      <w:r>
        <w:t>ExcessAge = max(0, ActualAge - AllowedAge)</w:t>
        <w:br/>
        <w:t>FreshnessFactor = exp(-DecayRate * ExcessAge)</w:t>
      </w:r>
    </w:p>
    <w:p>
      <w:pPr>
        <w:pStyle w:val="SmallNote"/>
      </w:pPr>
      <w:r>
        <w:rPr>
          <w:b/>
        </w:rPr>
        <w:t xml:space="preserve">Canonical decision: </w:t>
      </w:r>
      <w:r>
        <w:t>Supersedes the 7.1 expression that omitted DecayRate. DecayRate must use the reciprocal unit of ExcessAge.</w:t>
      </w:r>
    </w:p>
    <w:p>
      <w:pPr>
        <w:pStyle w:val="Heading2"/>
      </w:pPr>
      <w:r>
        <w:t>B. Scoring, quality, growth, valuation, and research</w:t>
      </w:r>
    </w:p>
    <w:p>
      <w:pPr>
        <w:pStyle w:val="Heading3"/>
      </w:pPr>
      <w:r>
        <w:t>CANDIDATE_SCORE_V2 — Candidate Score</w:t>
      </w:r>
    </w:p>
    <w:p>
      <w:pPr>
        <w:pStyle w:val="FormulaBlock"/>
        <w:shd w:fill="F5F8FA"/>
      </w:pPr>
      <w:r>
        <w:t>RawCandidateScore = sum(component_weight[j] * component_score[j]) / sum(component_weight[j])</w:t>
        <w:br/>
        <w:t>AdjustedCandidateScore = 50 + (RawCandidateScore - 50) * (DataConfidence / 100)</w:t>
        <w:br/>
        <w:t>FinalCandidateScore = clip(min(AdjustedCandidateScore, HardGateCap), 0, 100)</w:t>
      </w:r>
    </w:p>
    <w:p>
      <w:pPr>
        <w:pStyle w:val="SmallNote"/>
      </w:pPr>
      <w:r>
        <w:rPr>
          <w:b/>
        </w:rPr>
        <w:t xml:space="preserve">Canonical decision: </w:t>
      </w:r>
      <w:r>
        <w:t>Supersedes the 7.1 expression that multiplied by DC_i directly. DataConfidence is a 0–100 score, so division by 100 is mandatory.</w:t>
      </w:r>
    </w:p>
    <w:p>
      <w:pPr>
        <w:pStyle w:val="Heading3"/>
      </w:pPr>
      <w:r>
        <w:t>CFO_CONVERSION_V2 — CFO conversion</w:t>
      </w:r>
    </w:p>
    <w:p>
      <w:pPr>
        <w:pStyle w:val="FormulaBlock"/>
        <w:shd w:fill="F5F8FA"/>
      </w:pPr>
      <w:r>
        <w:t>CFOConversion = CFO / max(abs(NormalizedPAT), PATDenominatorFloor)</w:t>
      </w:r>
    </w:p>
    <w:p>
      <w:pPr>
        <w:pStyle w:val="SmallNote"/>
      </w:pPr>
      <w:r>
        <w:rPr>
          <w:b/>
        </w:rPr>
        <w:t xml:space="preserve">Canonical decision: </w:t>
      </w:r>
      <w:r>
        <w:t>Adds a denominator floor. If PAT is negative, the loss/cash-burn state replaces normal conversion scoring.</w:t>
      </w:r>
    </w:p>
    <w:p>
      <w:pPr>
        <w:pStyle w:val="Heading3"/>
      </w:pPr>
      <w:r>
        <w:t>FCF_CONVERSION_V2 — FCF conversion</w:t>
      </w:r>
    </w:p>
    <w:p>
      <w:pPr>
        <w:pStyle w:val="FormulaBlock"/>
        <w:shd w:fill="F5F8FA"/>
      </w:pPr>
      <w:r>
        <w:t>FreeCashFlow = CFO - MaintenanceCapex</w:t>
        <w:br/>
        <w:t>FCFConversion = FreeCashFlow / max(abs(NormalizedPAT), PATDenominatorFloor)</w:t>
      </w:r>
    </w:p>
    <w:p>
      <w:pPr>
        <w:pStyle w:val="SmallNote"/>
      </w:pPr>
      <w:r>
        <w:rPr>
          <w:b/>
        </w:rPr>
        <w:t xml:space="preserve">Canonical decision: </w:t>
      </w:r>
      <w:r>
        <w:t>Defines FCF explicitly and prevents unstable ratios.</w:t>
      </w:r>
    </w:p>
    <w:p>
      <w:pPr>
        <w:pStyle w:val="Heading3"/>
      </w:pPr>
      <w:r>
        <w:t>ACCRUAL_RATIO_V2 — Accrual ratio</w:t>
      </w:r>
    </w:p>
    <w:p>
      <w:pPr>
        <w:pStyle w:val="FormulaBlock"/>
        <w:shd w:fill="F5F8FA"/>
      </w:pPr>
      <w:r>
        <w:t>AccrualRatio = (NormalizedPAT - CFO) / max(abs(AverageOperatingAssets), AssetFloor)</w:t>
      </w:r>
    </w:p>
    <w:p>
      <w:pPr>
        <w:pStyle w:val="SmallNote"/>
      </w:pPr>
      <w:r>
        <w:rPr>
          <w:b/>
        </w:rPr>
        <w:t xml:space="preserve">Canonical decision: </w:t>
      </w:r>
      <w:r>
        <w:t>Supersedes the 7.1 PAT-minus-FCF draft. The canonical earnings-quality accrual measure uses operating cash flow; FCF conversion is scored separately.</w:t>
      </w:r>
    </w:p>
    <w:p>
      <w:pPr>
        <w:pStyle w:val="Heading3"/>
      </w:pPr>
      <w:r>
        <w:t>PER_SHARE_CAGR_V2 — Per-share growth</w:t>
      </w:r>
    </w:p>
    <w:p>
      <w:pPr>
        <w:pStyle w:val="FormulaBlock"/>
        <w:shd w:fill="F5F8FA"/>
      </w:pPr>
      <w:r>
        <w:t>BeginningPerShare = BeginningMetric / BeginningDilutedShares</w:t>
        <w:br/>
        <w:t>EndingPerShare = EndingMetric / EndingDilutedShares</w:t>
        <w:br/>
        <w:t>PerShareCAGR = (EndingPerShare / BeginningPerShare)^(1 / Years) - 1</w:t>
      </w:r>
    </w:p>
    <w:p>
      <w:pPr>
        <w:pStyle w:val="SmallNote"/>
      </w:pPr>
      <w:r>
        <w:rPr>
          <w:b/>
        </w:rPr>
        <w:t xml:space="preserve">Canonical decision: </w:t>
      </w:r>
      <w:r>
        <w:t>Requires positive valid denominators, Years &gt; 0, and the source document’s negative-base/limited-history rules.</w:t>
      </w:r>
    </w:p>
    <w:p>
      <w:pPr>
        <w:pStyle w:val="Heading3"/>
      </w:pPr>
      <w:r>
        <w:t>VALUE_QUALITY_ADJUSTMENT_V2 — Value-trap adjustment</w:t>
      </w:r>
    </w:p>
    <w:p>
      <w:pPr>
        <w:pStyle w:val="FormulaBlock"/>
        <w:shd w:fill="F5F8FA"/>
      </w:pPr>
      <w:r>
        <w:t>QualityFactor = 0.50 + 0.50 * (QualityScore / 100)</w:t>
        <w:br/>
        <w:t>AdjustedValueScore = ValueScore * QualityFactor</w:t>
      </w:r>
    </w:p>
    <w:p>
      <w:pPr>
        <w:pStyle w:val="SmallNote"/>
      </w:pPr>
      <w:r>
        <w:rPr>
          <w:b/>
        </w:rPr>
        <w:t xml:space="preserve">Canonical decision: </w:t>
      </w:r>
      <w:r>
        <w:t>Supersedes the 7.1 formula that did not scale QualityFactor. With QualityScore in 0–100, the factor remains 0.50–1.00.</w:t>
      </w:r>
    </w:p>
    <w:p>
      <w:pPr>
        <w:pStyle w:val="Heading3"/>
      </w:pPr>
      <w:r>
        <w:t>ROIIC_V2 — Return on incremental invested capital</w:t>
      </w:r>
    </w:p>
    <w:p>
      <w:pPr>
        <w:pStyle w:val="FormulaBlock"/>
        <w:shd w:fill="F5F8FA"/>
      </w:pPr>
      <w:r>
        <w:t>ROIIC = ChangeInNOPAT / max(abs(ChangeInInvestedCapital), CapitalChangeFloor)</w:t>
      </w:r>
    </w:p>
    <w:p>
      <w:pPr>
        <w:pStyle w:val="SmallNote"/>
      </w:pPr>
      <w:r>
        <w:rPr>
          <w:b/>
        </w:rPr>
        <w:t xml:space="preserve">Canonical decision: </w:t>
      </w:r>
      <w:r>
        <w:t>Adds a denominator floor and requires multi-year smoothing. Capital contraction must be classified and reviewed rather than interpreted mechanically.</w:t>
      </w:r>
    </w:p>
    <w:p>
      <w:pPr>
        <w:pStyle w:val="Heading3"/>
      </w:pPr>
      <w:r>
        <w:t>COMPOSITE_RANK_V2 — Composite rank</w:t>
      </w:r>
    </w:p>
    <w:p>
      <w:pPr>
        <w:pStyle w:val="FormulaBlock"/>
        <w:shd w:fill="F5F8FA"/>
      </w:pPr>
      <w:r>
        <w:t>CompositeRankScore = 0.50 * OverallPercentile + 0.25 * SectorPercentile + 0.15 * SizePercentile + 0.10 * RankPersistenceScore</w:t>
      </w:r>
    </w:p>
    <w:p>
      <w:pPr>
        <w:pStyle w:val="SmallNote"/>
      </w:pPr>
      <w:r>
        <w:rPr>
          <w:b/>
        </w:rPr>
        <w:t xml:space="preserve">Canonical decision: </w:t>
      </w:r>
      <w:r>
        <w:t>Weights sum to 1.00. All component percentile directions must be aligned before blending.</w:t>
      </w:r>
    </w:p>
    <w:p>
      <w:pPr>
        <w:pStyle w:val="Heading3"/>
      </w:pPr>
      <w:r>
        <w:t>PROMOTION_SCORE_V2 — Deep-research promotion</w:t>
      </w:r>
    </w:p>
    <w:p>
      <w:pPr>
        <w:pStyle w:val="FormulaBlock"/>
        <w:shd w:fill="F5F8FA"/>
      </w:pPr>
      <w:r>
        <w:t>PromotionScore = 0.45 * CandidateScore + 0.15 * SectorPercentile + 0.10 * DataConfidence + 0.10 * RankPersistence + 0.10 * LiquidityScore + 0.05 * EventPriority + 0.05 * PortfolioPriority</w:t>
      </w:r>
    </w:p>
    <w:p>
      <w:pPr>
        <w:pStyle w:val="SmallNote"/>
      </w:pPr>
      <w:r>
        <w:rPr>
          <w:b/>
        </w:rPr>
        <w:t xml:space="preserve">Canonical decision: </w:t>
      </w:r>
      <w:r>
        <w:t>Preserves the reconstructed weights; all inputs must be normalized to the same 0–100 orientation.</w:t>
      </w:r>
    </w:p>
    <w:p>
      <w:pPr>
        <w:pStyle w:val="Heading3"/>
      </w:pPr>
      <w:r>
        <w:t>RESEARCH_SCORE_V2 — Deep Research Score</w:t>
      </w:r>
    </w:p>
    <w:p>
      <w:pPr>
        <w:pStyle w:val="FormulaBlock"/>
        <w:shd w:fill="F5F8FA"/>
      </w:pPr>
      <w:r>
        <w:t>RawResearchScore = sum(weight[j] * component_score[j]) / sum(weight[j])</w:t>
        <w:br/>
        <w:t>AdjustedResearchScore = 50 + (RawResearchScore - 50) * (ResearchConfidence / 100)</w:t>
      </w:r>
    </w:p>
    <w:p>
      <w:pPr>
        <w:pStyle w:val="SmallNote"/>
      </w:pPr>
      <w:r>
        <w:rPr>
          <w:b/>
        </w:rPr>
        <w:t xml:space="preserve">Canonical decision: </w:t>
      </w:r>
      <w:r>
        <w:t>Supersedes the 7.1 EvidenceConfidence multiplier without percentage scaling and normalizes by actual weight sum.</w:t>
      </w:r>
    </w:p>
    <w:p>
      <w:pPr>
        <w:pStyle w:val="Heading2"/>
      </w:pPr>
      <w:r>
        <w:t>C. Valuation scenarios and multi-horizon signals</w:t>
      </w:r>
    </w:p>
    <w:p>
      <w:pPr>
        <w:pStyle w:val="Heading3"/>
      </w:pPr>
      <w:r>
        <w:t>WEIGHTED_FAIR_VALUE_V2 — Probability-weighted fair value</w:t>
      </w:r>
    </w:p>
    <w:p>
      <w:pPr>
        <w:pStyle w:val="FormulaBlock"/>
        <w:shd w:fill="F5F8FA"/>
      </w:pPr>
      <w:r>
        <w:t>WeightedFairValue = sum(ScenarioProbability[s] * ScenarioFairValue[s])</w:t>
        <w:br/>
        <w:t>sum(ScenarioProbability[s]) = 1.0</w:t>
      </w:r>
    </w:p>
    <w:p>
      <w:pPr>
        <w:pStyle w:val="SmallNote"/>
      </w:pPr>
      <w:r>
        <w:rPr>
          <w:b/>
        </w:rPr>
        <w:t xml:space="preserve">Canonical decision: </w:t>
      </w:r>
      <w:r>
        <w:t>Scenario probabilities are 0–1 fractions, must be non-negative, and must total 1.0 within tolerance.</w:t>
      </w:r>
    </w:p>
    <w:p>
      <w:pPr>
        <w:pStyle w:val="Heading3"/>
      </w:pPr>
      <w:r>
        <w:t>EXPECTED_ANNUAL_RETURN_V2 — Expected annualized return</w:t>
      </w:r>
    </w:p>
    <w:p>
      <w:pPr>
        <w:pStyle w:val="FormulaBlock"/>
        <w:shd w:fill="F5F8FA"/>
      </w:pPr>
      <w:r>
        <w:t>ExpectedValueAtHorizon = WeightedFairValue + ExpectedDividends</w:t>
        <w:br/>
        <w:t>ExpectedAnnualizedReturn = (ExpectedValueAtHorizon / CurrentPrice)^(1 / HorizonYears) - 1</w:t>
      </w:r>
    </w:p>
    <w:p>
      <w:pPr>
        <w:pStyle w:val="SmallNote"/>
      </w:pPr>
      <w:r>
        <w:rPr>
          <w:b/>
        </w:rPr>
        <w:t xml:space="preserve">Canonical decision: </w:t>
      </w:r>
      <w:r>
        <w:t>Supersedes the 7.1 formula by including expected dividends. CurrentPrice and HorizonYears must be positive.</w:t>
      </w:r>
    </w:p>
    <w:p>
      <w:pPr>
        <w:pStyle w:val="Heading3"/>
      </w:pPr>
      <w:r>
        <w:t>HORIZON_SCORE_V2 — Raw Horizon Signal Score</w:t>
      </w:r>
    </w:p>
    <w:p>
      <w:pPr>
        <w:pStyle w:val="FormulaBlock"/>
        <w:shd w:fill="F5F8FA"/>
      </w:pPr>
      <w:r>
        <w:t>RawHorizonScore = sum(HorizonWeight[k] * ComponentScore[k]) / sum(HorizonWeight[k])</w:t>
      </w:r>
    </w:p>
    <w:p>
      <w:pPr>
        <w:pStyle w:val="SmallNote"/>
      </w:pPr>
      <w:r>
        <w:rPr>
          <w:b/>
        </w:rPr>
        <w:t xml:space="preserve">Canonical decision: </w:t>
      </w:r>
      <w:r>
        <w:t>Normalizing by the active weight sum is mandatory when components are unavailable or horizon weights are reconfigured.</w:t>
      </w:r>
    </w:p>
    <w:p>
      <w:pPr>
        <w:pStyle w:val="Heading3"/>
      </w:pPr>
      <w:r>
        <w:t>SIGNAL_CONFIDENCE_V2 — Signal confidence geometric mean</w:t>
      </w:r>
    </w:p>
    <w:p>
      <w:pPr>
        <w:pStyle w:val="FormulaBlock"/>
        <w:shd w:fill="F5F8FA"/>
      </w:pPr>
      <w:r>
        <w:t>ConfidenceProduct = product(ConfidenceComponent[j] / 100)</w:t>
        <w:br/>
        <w:t>SignalConfidence = 100 * ConfidenceProduct^(1 / NumberOfComponents)</w:t>
      </w:r>
    </w:p>
    <w:p>
      <w:pPr>
        <w:pStyle w:val="SmallNote"/>
      </w:pPr>
      <w:r>
        <w:rPr>
          <w:b/>
        </w:rPr>
        <w:t xml:space="preserve">Canonical decision: </w:t>
      </w:r>
      <w:r>
        <w:t>All confidence components are clipped to 0–100. A required zero-confidence component collapses the geometric mean as intended.</w:t>
      </w:r>
    </w:p>
    <w:p>
      <w:pPr>
        <w:pStyle w:val="Heading3"/>
      </w:pPr>
      <w:r>
        <w:t>FINAL_HSS_V2 — Final horizon score</w:t>
      </w:r>
    </w:p>
    <w:p>
      <w:pPr>
        <w:pStyle w:val="FormulaBlock"/>
        <w:shd w:fill="F5F8FA"/>
      </w:pPr>
      <w:r>
        <w:t>ConfidenceAdjustedHSS = 50 + (RawHorizonScore - 50) * (SignalConfidence / 100)</w:t>
        <w:br/>
        <w:t>PenalizedHSS = ConfidenceAdjustedHSS - StalePenalty - EventPenalty - RiskPenalty</w:t>
        <w:br/>
        <w:t>FinalHSS = clip(min(PenalizedHSS, HardGateCap), 0, 100)</w:t>
      </w:r>
    </w:p>
    <w:p>
      <w:pPr>
        <w:pStyle w:val="SmallNote"/>
      </w:pPr>
      <w:r>
        <w:rPr>
          <w:b/>
        </w:rPr>
        <w:t xml:space="preserve">Canonical decision: </w:t>
      </w:r>
      <w:r>
        <w:t>Makes confidence scaling, penalties, hard-gate cap, and final range explicit.</w:t>
      </w:r>
    </w:p>
    <w:p>
      <w:pPr>
        <w:pStyle w:val="Heading3"/>
      </w:pPr>
      <w:r>
        <w:t>ALIGNMENT_SCORE_V2 — Cross-horizon alignment</w:t>
      </w:r>
    </w:p>
    <w:p>
      <w:pPr>
        <w:pStyle w:val="FormulaBlock"/>
        <w:shd w:fill="F5F8FA"/>
      </w:pPr>
      <w:r>
        <w:t>AlignmentScore = sum(HorizonImportance[h] * DirectionValue[h]) / sum(HorizonImportance[h])</w:t>
      </w:r>
    </w:p>
    <w:p>
      <w:pPr>
        <w:pStyle w:val="SmallNote"/>
      </w:pPr>
      <w:r>
        <w:rPr>
          <w:b/>
        </w:rPr>
        <w:t xml:space="preserve">Canonical decision: </w:t>
      </w:r>
      <w:r>
        <w:t>DirectionValue uses the 7.2 state mapping from +1.00 Strong Buy to -1.00 Avoid.</w:t>
      </w:r>
    </w:p>
    <w:p>
      <w:pPr>
        <w:pStyle w:val="Heading2"/>
      </w:pPr>
      <w:r>
        <w:t>D. Portfolio suitability, position sizing, and execution identity</w:t>
      </w:r>
    </w:p>
    <w:p>
      <w:pPr>
        <w:pStyle w:val="Heading3"/>
      </w:pPr>
      <w:r>
        <w:t>POSITION_SUITABILITY_V2 — Portfolio suitability</w:t>
      </w:r>
    </w:p>
    <w:p>
      <w:pPr>
        <w:pStyle w:val="FormulaBlock"/>
        <w:shd w:fill="F5F8FA"/>
      </w:pPr>
      <w:r>
        <w:t>ExpectedExcessReturn = ExpectedAnnualizedReturn - RequiredReturn</w:t>
        <w:br/>
        <w:t>ReturnScore = clip(ExpectedExcessReturn / PositiveReturnReference, 0, 1)</w:t>
        <w:br/>
        <w:t>ConfidenceFactor = ResearchConfidence / 100</w:t>
        <w:br/>
        <w:t>LiquidityFactor = LiquidityScore / 100</w:t>
        <w:br/>
        <w:t>DownsidePenalty = 1 + abs(SevereDownsidePct) / DownsideReferencePct</w:t>
        <w:br/>
        <w:t>VolatilityPenalty = 1 + AnnualizedVolatilityPct / VolatilityReferencePct</w:t>
        <w:br/>
        <w:t>CorrelationExcess = max(0, AveragePortfolioCorrelation - CorrelationLimit)</w:t>
        <w:br/>
        <w:t>CorrelationPenalty = 1 + CorrelationExcess</w:t>
        <w:br/>
        <w:t>EventPenalty = 1 + EventRiskScore / 100</w:t>
        <w:br/>
        <w:t>RawPositionSuitability = 100 * ReturnScore * ConfidenceFactor * LiquidityFactor / (DownsidePenalty * VolatilityPenalty * CorrelationPenalty * EventPenalty)</w:t>
        <w:br/>
        <w:t>PositionSuitability = clip(RawPositionSuitability, 0, 100)</w:t>
      </w:r>
    </w:p>
    <w:p>
      <w:pPr>
        <w:pStyle w:val="SmallNote"/>
      </w:pPr>
      <w:r>
        <w:rPr>
          <w:b/>
        </w:rPr>
        <w:t xml:space="preserve">Canonical decision: </w:t>
      </w:r>
      <w:r>
        <w:t>Fully supersedes the drafted 7.1 weighted suitability formula, whose scale and negative-weight behavior were not production-safe.</w:t>
      </w:r>
    </w:p>
    <w:p>
      <w:pPr>
        <w:pStyle w:val="Heading3"/>
      </w:pPr>
      <w:r>
        <w:t>POSITION_SIZING_V2 — Risk- and capacity-constrained quantity</w:t>
      </w:r>
    </w:p>
    <w:p>
      <w:pPr>
        <w:pStyle w:val="FormulaBlock"/>
        <w:shd w:fill="F5F8FA"/>
      </w:pPr>
      <w:r>
        <w:t>RiskBudget = PortfolioCapital * RiskPercent</w:t>
        <w:br/>
        <w:t>PerUnitRisk = abs(EntryPrice - StopPrice) + EstimatedRoundTripCostPerUnit</w:t>
        <w:br/>
        <w:t>QuantityByRisk = floor(RiskBudget / max(PerUnitRisk, MinimumPriceRisk))</w:t>
        <w:br/>
        <w:t>LiquidityCapacityValue = MedianDailyTradedValue * AllowedParticipationRate * MaximumExitDays</w:t>
        <w:br/>
        <w:t>QuantityByLiquidity = floor(LiquidityCapacityValue / EntryPrice)</w:t>
        <w:br/>
        <w:t>QuantityByCompanyCap = floor(PortfolioCapital * MaximumCompanyWeight / EntryPrice)</w:t>
        <w:br/>
        <w:t>FinalQuantity = max(0, min(QuantityByRisk, QuantityByLiquidity, QuantityByCompanyCap, QuantityBySectorCap, QuantityByHorizonCap, QuantityByEventCap))</w:t>
      </w:r>
    </w:p>
    <w:p>
      <w:pPr>
        <w:pStyle w:val="SmallNote"/>
      </w:pPr>
      <w:r>
        <w:rPr>
          <w:b/>
        </w:rPr>
        <w:t xml:space="preserve">Canonical decision: </w:t>
      </w:r>
      <w:r>
        <w:t>Supersedes the 7.1 risk-position-value shortcut. Quantity, costs, minimum price risk, liquidity exit capacity, and all binding caps are explicit.</w:t>
      </w:r>
    </w:p>
    <w:p>
      <w:pPr>
        <w:pStyle w:val="Heading3"/>
      </w:pPr>
      <w:r>
        <w:t>IDEMPOTENCY_KEY_V1 — Duplicate-order protection key</w:t>
      </w:r>
    </w:p>
    <w:p>
      <w:pPr>
        <w:pStyle w:val="FormulaBlock"/>
        <w:shd w:fill="F5F8FA"/>
      </w:pPr>
      <w:r>
        <w:t>IdempotencyKey = security_id + horizon + signal_id + action + trade_date</w:t>
      </w:r>
    </w:p>
    <w:p>
      <w:pPr>
        <w:pStyle w:val="SmallNote"/>
      </w:pPr>
      <w:r>
        <w:rPr>
          <w:b/>
        </w:rPr>
        <w:t xml:space="preserve">Canonical decision: </w:t>
      </w:r>
      <w:r>
        <w:t>The stored key must use an unambiguous delimiter or structured hash and be unique within the broker/order-generation scope.</w:t>
      </w:r>
    </w:p>
    <w:p>
      <w:pPr>
        <w:pStyle w:val="Heading1"/>
        <w:pBdr>
          <w:bottom w:val="single" w:sz="8" w:space="5" w:color="285E74"/>
        </w:pBdr>
      </w:pPr>
      <w:r>
        <w:t>Source-completeness verification</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shd w:fill="D9E8EF"/>
          </w:tcPr>
          <w:p>
            <w:r>
              <w:rPr>
                <w:rFonts w:ascii="Cambria" w:hAnsi="Cambria"/>
                <w:b/>
                <w:sz w:val="18"/>
              </w:rPr>
              <w:t>Source</w:t>
            </w:r>
          </w:p>
        </w:tc>
        <w:tc>
          <w:tcPr>
            <w:tcW w:type="dxa" w:w="2498"/>
            <w:shd w:fill="D9E8EF"/>
          </w:tcPr>
          <w:p>
            <w:r>
              <w:rPr>
                <w:rFonts w:ascii="Cambria" w:hAnsi="Cambria"/>
                <w:b/>
                <w:sz w:val="18"/>
              </w:rPr>
              <w:t>Non-empty paragraphs</w:t>
            </w:r>
          </w:p>
        </w:tc>
        <w:tc>
          <w:tcPr>
            <w:tcW w:type="dxa" w:w="2498"/>
            <w:shd w:fill="D9E8EF"/>
          </w:tcPr>
          <w:p>
            <w:r>
              <w:rPr>
                <w:rFonts w:ascii="Cambria" w:hAnsi="Cambria"/>
                <w:b/>
                <w:sz w:val="18"/>
              </w:rPr>
              <w:t>Tables</w:t>
            </w:r>
          </w:p>
        </w:tc>
        <w:tc>
          <w:tcPr>
            <w:tcW w:type="dxa" w:w="2498"/>
            <w:shd w:fill="D9E8EF"/>
          </w:tcPr>
          <w:p>
            <w:r>
              <w:rPr>
                <w:rFonts w:ascii="Cambria" w:hAnsi="Cambria"/>
                <w:b/>
                <w:sz w:val="18"/>
              </w:rPr>
              <w:t>Treatment in this rebuild</w:t>
            </w:r>
          </w:p>
        </w:tc>
      </w:tr>
      <w:tr>
        <w:tc>
          <w:tcPr>
            <w:tcW w:type="dxa" w:w="2498"/>
            <w:tcMar>
              <w:top w:w="80" w:type="dxa"/>
              <w:start w:w="90" w:type="dxa"/>
              <w:bottom w:w="80" w:type="dxa"/>
              <w:end w:w="90" w:type="dxa"/>
            </w:tcMar>
          </w:tcPr>
          <w:p>
            <w:r>
              <w:rPr>
                <w:rFonts w:ascii="Cambria" w:hAnsi="Cambria"/>
                <w:sz w:val="18"/>
              </w:rPr>
              <w:t>7.2 upgrade specification</w:t>
            </w:r>
          </w:p>
        </w:tc>
        <w:tc>
          <w:tcPr>
            <w:tcW w:type="dxa" w:w="2498"/>
            <w:tcMar>
              <w:top w:w="80" w:type="dxa"/>
              <w:start w:w="90" w:type="dxa"/>
              <w:bottom w:w="80" w:type="dxa"/>
              <w:end w:w="90" w:type="dxa"/>
            </w:tcMar>
          </w:tcPr>
          <w:p>
            <w:r>
              <w:rPr>
                <w:rFonts w:ascii="Cambria" w:hAnsi="Cambria"/>
                <w:sz w:val="18"/>
              </w:rPr>
              <w:t>All source body paragraphs</w:t>
            </w:r>
          </w:p>
        </w:tc>
        <w:tc>
          <w:tcPr>
            <w:tcW w:type="dxa" w:w="2498"/>
            <w:tcMar>
              <w:top w:w="80" w:type="dxa"/>
              <w:start w:w="90" w:type="dxa"/>
              <w:bottom w:w="80" w:type="dxa"/>
              <w:end w:w="90" w:type="dxa"/>
            </w:tcMar>
          </w:tcPr>
          <w:p>
            <w:r>
              <w:rPr>
                <w:rFonts w:ascii="Cambria" w:hAnsi="Cambria"/>
                <w:sz w:val="18"/>
              </w:rPr>
              <w:t>14</w:t>
            </w:r>
          </w:p>
        </w:tc>
        <w:tc>
          <w:tcPr>
            <w:tcW w:type="dxa" w:w="2498"/>
            <w:tcMar>
              <w:top w:w="80" w:type="dxa"/>
              <w:start w:w="90" w:type="dxa"/>
              <w:bottom w:w="80" w:type="dxa"/>
              <w:end w:w="90" w:type="dxa"/>
            </w:tcMar>
          </w:tcPr>
          <w:p>
            <w:r>
              <w:rPr>
                <w:rFonts w:ascii="Cambria" w:hAnsi="Cambria"/>
                <w:sz w:val="18"/>
              </w:rPr>
              <w:t>Preserved in full as Part I; governs updated controls</w:t>
            </w:r>
          </w:p>
        </w:tc>
      </w:tr>
      <w:tr>
        <w:tc>
          <w:tcPr>
            <w:tcW w:type="dxa" w:w="2498"/>
            <w:tcMar>
              <w:top w:w="80" w:type="dxa"/>
              <w:start w:w="90" w:type="dxa"/>
              <w:bottom w:w="80" w:type="dxa"/>
              <w:end w:w="90" w:type="dxa"/>
            </w:tcMar>
          </w:tcPr>
          <w:p>
            <w:r>
              <w:rPr>
                <w:rFonts w:ascii="Cambria" w:hAnsi="Cambria"/>
                <w:sz w:val="18"/>
              </w:rPr>
              <w:t>7.1.1 formulas-fixed specification</w:t>
            </w:r>
          </w:p>
        </w:tc>
        <w:tc>
          <w:tcPr>
            <w:tcW w:type="dxa" w:w="2498"/>
            <w:tcMar>
              <w:top w:w="80" w:type="dxa"/>
              <w:start w:w="90" w:type="dxa"/>
              <w:bottom w:w="80" w:type="dxa"/>
              <w:end w:w="90" w:type="dxa"/>
            </w:tcMar>
          </w:tcPr>
          <w:p>
            <w:r>
              <w:rPr>
                <w:rFonts w:ascii="Cambria" w:hAnsi="Cambria"/>
                <w:sz w:val="18"/>
              </w:rPr>
              <w:t>All source body paragraphs</w:t>
            </w:r>
          </w:p>
        </w:tc>
        <w:tc>
          <w:tcPr>
            <w:tcW w:type="dxa" w:w="2498"/>
            <w:tcMar>
              <w:top w:w="80" w:type="dxa"/>
              <w:start w:w="90" w:type="dxa"/>
              <w:bottom w:w="80" w:type="dxa"/>
              <w:end w:w="90" w:type="dxa"/>
            </w:tcMar>
          </w:tcPr>
          <w:p>
            <w:r>
              <w:rPr>
                <w:rFonts w:ascii="Cambria" w:hAnsi="Cambria"/>
                <w:sz w:val="18"/>
              </w:rPr>
              <w:t>18</w:t>
            </w:r>
          </w:p>
        </w:tc>
        <w:tc>
          <w:tcPr>
            <w:tcW w:type="dxa" w:w="2498"/>
            <w:tcMar>
              <w:top w:w="80" w:type="dxa"/>
              <w:start w:w="90" w:type="dxa"/>
              <w:bottom w:w="80" w:type="dxa"/>
              <w:end w:w="90" w:type="dxa"/>
            </w:tcMar>
          </w:tcPr>
          <w:p>
            <w:r>
              <w:rPr>
                <w:rFonts w:ascii="Cambria" w:hAnsi="Cambria"/>
                <w:sz w:val="18"/>
              </w:rPr>
              <w:t>Preserved in full as Part II; detailed baseline</w:t>
            </w:r>
          </w:p>
        </w:tc>
      </w:tr>
      <w:tr>
        <w:tc>
          <w:tcPr>
            <w:tcW w:type="dxa" w:w="2498"/>
            <w:tcMar>
              <w:top w:w="80" w:type="dxa"/>
              <w:start w:w="90" w:type="dxa"/>
              <w:bottom w:w="80" w:type="dxa"/>
              <w:end w:w="90" w:type="dxa"/>
            </w:tcMar>
          </w:tcPr>
          <w:p>
            <w:r>
              <w:rPr>
                <w:rFonts w:ascii="Cambria" w:hAnsi="Cambria"/>
                <w:sz w:val="18"/>
              </w:rPr>
              <w:t>Formula-corrections changelog</w:t>
            </w:r>
          </w:p>
        </w:tc>
        <w:tc>
          <w:tcPr>
            <w:tcW w:type="dxa" w:w="2498"/>
            <w:tcMar>
              <w:top w:w="80" w:type="dxa"/>
              <w:start w:w="90" w:type="dxa"/>
              <w:bottom w:w="80" w:type="dxa"/>
              <w:end w:w="90" w:type="dxa"/>
            </w:tcMar>
          </w:tcPr>
          <w:p>
            <w:r>
              <w:rPr>
                <w:rFonts w:ascii="Cambria" w:hAnsi="Cambria"/>
                <w:sz w:val="18"/>
              </w:rPr>
              <w:t>All lines and correction records</w:t>
            </w:r>
          </w:p>
        </w:tc>
        <w:tc>
          <w:tcPr>
            <w:tcW w:type="dxa" w:w="2498"/>
            <w:tcMar>
              <w:top w:w="80" w:type="dxa"/>
              <w:start w:w="90" w:type="dxa"/>
              <w:bottom w:w="80" w:type="dxa"/>
              <w:end w:w="90" w:type="dxa"/>
            </w:tcMar>
          </w:tcPr>
          <w:p>
            <w:r>
              <w:rPr>
                <w:rFonts w:ascii="Cambria" w:hAnsi="Cambria"/>
                <w:sz w:val="18"/>
              </w:rPr>
              <w:t>N/A</w:t>
            </w:r>
          </w:p>
        </w:tc>
        <w:tc>
          <w:tcPr>
            <w:tcW w:type="dxa" w:w="2498"/>
            <w:tcMar>
              <w:top w:w="80" w:type="dxa"/>
              <w:start w:w="90" w:type="dxa"/>
              <w:bottom w:w="80" w:type="dxa"/>
              <w:end w:w="90" w:type="dxa"/>
            </w:tcMar>
          </w:tcPr>
          <w:p>
            <w:r>
              <w:rPr>
                <w:rFonts w:ascii="Cambria" w:hAnsi="Cambria"/>
                <w:sz w:val="18"/>
              </w:rPr>
              <w:t>Preserved in full as Part III; formula provenance</w:t>
            </w:r>
          </w:p>
        </w:tc>
      </w:tr>
    </w:tbl>
    <w:p>
      <w:pPr>
        <w:pStyle w:val="SmallNote"/>
      </w:pPr>
      <w:r>
        <w:t>Note: source title/subtitle wording is also retained at the beginning of each part. The rebuilt document uses literal list markers to prevent cross-document numbering corruption during consolidation.</w:t>
      </w:r>
    </w:p>
    <w:p>
      <w:pPr>
        <w:pStyle w:val="Heading1"/>
        <w:pBdr>
          <w:bottom w:val="single" w:sz="8" w:space="5" w:color="285E74"/>
        </w:pBdr>
      </w:pPr>
      <w:r>
        <w:t>Document map</w:t>
      </w:r>
    </w:p>
    <w:p>
      <w:r>
        <w:rPr>
          <w:b/>
        </w:rPr>
        <w:t>Part I</w:t>
      </w:r>
      <w:r>
        <w:t xml:space="preserve"> — Complete 7.2 governing upgrade and control layer</w:t>
      </w:r>
    </w:p>
    <w:p>
      <w:r>
        <w:rPr>
          <w:b/>
        </w:rPr>
        <w:t>Part II</w:t>
      </w:r>
      <w:r>
        <w:t xml:space="preserve"> — Complete 7.1.1 formulas-fixed detailed baseline</w:t>
      </w:r>
    </w:p>
    <w:p>
      <w:r>
        <w:rPr>
          <w:b/>
        </w:rPr>
        <w:t>Part III</w:t>
      </w:r>
      <w:r>
        <w:t xml:space="preserve"> — Complete formula-correction changelog and provenance</w:t>
      </w:r>
    </w:p>
    <w:p>
      <w:r>
        <w:rPr>
          <w:b/>
        </w:rPr>
        <w:t>Part IV</w:t>
      </w:r>
      <w:r>
        <w:t xml:space="preserve"> — Canonical implementation precedence matrix and final release rule</w:t>
      </w:r>
    </w:p>
    <w:p>
      <w:r>
        <w:br w:type="page"/>
      </w:r>
    </w:p>
    <w:p>
      <w:pPr>
        <w:pStyle w:val="PartTitle"/>
        <w:pBdr>
          <w:bottom w:val="single" w:sz="12" w:space="5" w:color="285E74"/>
        </w:pBdr>
      </w:pPr>
      <w:r>
        <w:t>PART I</w:t>
      </w:r>
    </w:p>
    <w:p>
      <w:pPr>
        <w:pStyle w:val="Heading1"/>
      </w:pPr>
      <w:r>
        <w:t>Complete 7.2 Governing Upgrade and Control Layer</w:t>
      </w:r>
    </w:p>
    <w:p>
      <w:pPr>
        <w:pStyle w:val="SourceNote"/>
      </w:pPr>
      <w:r>
        <w:t xml:space="preserve">Original source title: Indian Equity Intelligence System 7.2. </w:t>
      </w:r>
      <w:r>
        <w:t>Original source subtitle: Production-Ready, Formula-Safe Master Specification for Indian Stock Screening, Ranking, Research, Multi-Horizon Signals, Portfolio Management, Broker Integration, Backtesting, Dashboarding, and Resource-Constrained Deployment</w:t>
      </w:r>
    </w:p>
    <w:p>
      <w:pPr>
        <w:pStyle w:val="SmallNote"/>
      </w:pPr>
      <w:r>
        <w:t>Preservation rule: all source body text and tables are reproduced in source order. List numbering is rendered as literal markers to prevent OOXML numbering-ID collisions between the two source documents.</w:t>
      </w:r>
    </w:p>
    <w:p>
      <w:pPr>
        <w:pStyle w:val="Heading1"/>
        <w:pBdr>
          <w:bottom w:val="single" w:sz="4" w:space="5" w:color="7A9AAA"/>
        </w:pBdr>
        <w:keepNext/>
      </w:pPr>
      <w:r>
        <w:t>1. Executive definition</w:t>
      </w:r>
    </w:p>
    <w:p>
      <w:pPr/>
      <w:r>
        <w:t>Indian Equity Intelligence System 7.2 is an end-to-end equity research and decision-support platform designed to monitor approximately 2,000 Indian listed equity securities.</w:t>
      </w:r>
    </w:p>
    <w:p>
      <w:pPr/>
      <w:r>
        <w:t>The system is designed to:</w:t>
      </w:r>
    </w:p>
    <w:p>
      <w:pPr>
        <w:pStyle w:val="ListBody"/>
        <w:ind w:left="490" w:hanging="331"/>
      </w:pPr>
      <w:r>
        <w:rPr>
          <w:b/>
        </w:rPr>
        <w:t xml:space="preserve">1. </w:t>
      </w:r>
      <w:r>
        <w:t>Maintain a canonical Indian equity universe.</w:t>
      </w:r>
    </w:p>
    <w:p>
      <w:pPr>
        <w:pStyle w:val="ListBody"/>
        <w:ind w:left="490" w:hanging="331"/>
      </w:pPr>
      <w:r>
        <w:rPr>
          <w:b/>
        </w:rPr>
        <w:t xml:space="preserve">2. </w:t>
      </w:r>
      <w:r>
        <w:t>Collect price, volume, financial, corporate, governance, ownership, regulatory, and event data.</w:t>
      </w:r>
    </w:p>
    <w:p>
      <w:pPr>
        <w:pStyle w:val="ListBody"/>
        <w:ind w:left="490" w:hanging="331"/>
      </w:pPr>
      <w:r>
        <w:rPr>
          <w:b/>
        </w:rPr>
        <w:t xml:space="preserve">3. </w:t>
      </w:r>
      <w:r>
        <w:t>Preserve historical point-in-time knowledge.</w:t>
      </w:r>
    </w:p>
    <w:p>
      <w:pPr>
        <w:pStyle w:val="ListBody"/>
        <w:ind w:left="490" w:hanging="331"/>
      </w:pPr>
      <w:r>
        <w:rPr>
          <w:b/>
        </w:rPr>
        <w:t xml:space="preserve">4. </w:t>
      </w:r>
      <w:r>
        <w:t>Reconcile data from multiple sources.</w:t>
      </w:r>
    </w:p>
    <w:p>
      <w:pPr>
        <w:pStyle w:val="ListBody"/>
        <w:ind w:left="490" w:hanging="331"/>
      </w:pPr>
      <w:r>
        <w:rPr>
          <w:b/>
        </w:rPr>
        <w:t xml:space="preserve">5. </w:t>
      </w:r>
      <w:r>
        <w:t>Normalize reported financial statements.</w:t>
      </w:r>
    </w:p>
    <w:p>
      <w:pPr>
        <w:pStyle w:val="ListBody"/>
        <w:ind w:left="490" w:hanging="331"/>
      </w:pPr>
      <w:r>
        <w:rPr>
          <w:b/>
        </w:rPr>
        <w:t xml:space="preserve">6. </w:t>
      </w:r>
      <w:r>
        <w:t>Apply sector-appropriate analytical models.</w:t>
      </w:r>
    </w:p>
    <w:p>
      <w:pPr>
        <w:pStyle w:val="ListBody"/>
        <w:ind w:left="490" w:hanging="331"/>
      </w:pPr>
      <w:r>
        <w:rPr>
          <w:b/>
        </w:rPr>
        <w:t xml:space="preserve">7. </w:t>
      </w:r>
      <w:r>
        <w:t>Detect accounting, governance, solvency, liquidity, and operational risks.</w:t>
      </w:r>
    </w:p>
    <w:p>
      <w:pPr>
        <w:pStyle w:val="ListBody"/>
        <w:ind w:left="490" w:hanging="331"/>
      </w:pPr>
      <w:r>
        <w:rPr>
          <w:b/>
        </w:rPr>
        <w:t xml:space="preserve">8. </w:t>
      </w:r>
      <w:r>
        <w:t>Calculate explainable quantitative and research scores.</w:t>
      </w:r>
    </w:p>
    <w:p>
      <w:pPr>
        <w:pStyle w:val="ListBody"/>
        <w:ind w:left="490" w:hanging="331"/>
      </w:pPr>
      <w:r>
        <w:rPr>
          <w:b/>
        </w:rPr>
        <w:t xml:space="preserve">9. </w:t>
      </w:r>
      <w:r>
        <w:t>Rank stocks by sector, market-cap group, factor, and overall attractiveness.</w:t>
      </w:r>
    </w:p>
    <w:p>
      <w:pPr>
        <w:pStyle w:val="ListBody"/>
        <w:ind w:left="490" w:hanging="331"/>
      </w:pPr>
      <w:r>
        <w:rPr>
          <w:b/>
        </w:rPr>
        <w:t xml:space="preserve">10. </w:t>
      </w:r>
      <w:r>
        <w:t>Generate daily, weekly, monthly, medium-term, and long-term signals.</w:t>
      </w:r>
    </w:p>
    <w:p>
      <w:pPr>
        <w:pStyle w:val="ListBody"/>
        <w:ind w:left="490" w:hanging="331"/>
      </w:pPr>
      <w:r>
        <w:rPr>
          <w:b/>
        </w:rPr>
        <w:t xml:space="preserve">11. </w:t>
      </w:r>
      <w:r>
        <w:t>Produce entry, accumulate, hold, reduce, exit, avoid, and pending-review states.</w:t>
      </w:r>
    </w:p>
    <w:p>
      <w:pPr>
        <w:pStyle w:val="ListBody"/>
        <w:ind w:left="490" w:hanging="331"/>
      </w:pPr>
      <w:r>
        <w:rPr>
          <w:b/>
        </w:rPr>
        <w:t xml:space="preserve">12. </w:t>
      </w:r>
      <w:r>
        <w:t>Build evidence-supported company research.</w:t>
      </w:r>
    </w:p>
    <w:p>
      <w:pPr>
        <w:pStyle w:val="ListBody"/>
        <w:ind w:left="490" w:hanging="331"/>
      </w:pPr>
      <w:r>
        <w:rPr>
          <w:b/>
        </w:rPr>
        <w:t xml:space="preserve">13. </w:t>
      </w:r>
      <w:r>
        <w:t>Produce forecasts, scenarios, reverse valuations, and fair-value ranges.</w:t>
      </w:r>
    </w:p>
    <w:p>
      <w:pPr>
        <w:pStyle w:val="ListBody"/>
        <w:ind w:left="490" w:hanging="331"/>
      </w:pPr>
      <w:r>
        <w:rPr>
          <w:b/>
        </w:rPr>
        <w:t xml:space="preserve">14. </w:t>
      </w:r>
      <w:r>
        <w:t>Integrate portfolio risk, liquidity, position capacity, and concentration limits.</w:t>
      </w:r>
    </w:p>
    <w:p>
      <w:pPr>
        <w:pStyle w:val="ListBody"/>
        <w:ind w:left="490" w:hanging="331"/>
      </w:pPr>
      <w:r>
        <w:rPr>
          <w:b/>
        </w:rPr>
        <w:t xml:space="preserve">15. </w:t>
      </w:r>
      <w:r>
        <w:t>Connect to permitted broker and market-data interfaces.</w:t>
      </w:r>
    </w:p>
    <w:p>
      <w:pPr>
        <w:pStyle w:val="ListBody"/>
        <w:ind w:left="490" w:hanging="331"/>
      </w:pPr>
      <w:r>
        <w:rPr>
          <w:b/>
        </w:rPr>
        <w:t xml:space="preserve">16. </w:t>
      </w:r>
      <w:r>
        <w:t>Support research, alert, paper-trading, manual-confirmation, semi-automatic, and controlled automatic modes.</w:t>
      </w:r>
    </w:p>
    <w:p>
      <w:pPr>
        <w:pStyle w:val="ListBody"/>
        <w:ind w:left="490" w:hanging="331"/>
      </w:pPr>
      <w:r>
        <w:rPr>
          <w:b/>
        </w:rPr>
        <w:t xml:space="preserve">17. </w:t>
      </w:r>
      <w:r>
        <w:t>Provide a complete frontend dashboard.</w:t>
      </w:r>
    </w:p>
    <w:p>
      <w:pPr>
        <w:pStyle w:val="ListBody"/>
        <w:ind w:left="490" w:hanging="331"/>
      </w:pPr>
      <w:r>
        <w:rPr>
          <w:b/>
        </w:rPr>
        <w:t xml:space="preserve">18. </w:t>
      </w:r>
      <w:r>
        <w:t>Backtest all systematic rules using point-in-time data.</w:t>
      </w:r>
    </w:p>
    <w:p>
      <w:pPr>
        <w:pStyle w:val="ListBody"/>
        <w:ind w:left="490" w:hanging="331"/>
      </w:pPr>
      <w:r>
        <w:rPr>
          <w:b/>
        </w:rPr>
        <w:t xml:space="preserve">19. </w:t>
      </w:r>
      <w:r>
        <w:t>Preserve data, model, signal, portfolio, and execution audit trails.</w:t>
      </w:r>
    </w:p>
    <w:p>
      <w:pPr>
        <w:pStyle w:val="ListBody"/>
        <w:ind w:left="490" w:hanging="331"/>
      </w:pPr>
      <w:r>
        <w:rPr>
          <w:b/>
        </w:rPr>
        <w:t xml:space="preserve">20. </w:t>
      </w:r>
      <w:r>
        <w:t>Operate on a single high-performance laptop without pretending to be a distributed institutional data center.</w:t>
      </w:r>
    </w:p>
    <w:p>
      <w:pPr/>
      <w:r>
        <w:t>The system does not guarantee:</w:t>
      </w:r>
    </w:p>
    <w:p>
      <w:pPr>
        <w:pStyle w:val="ListBody"/>
        <w:ind w:left="490" w:hanging="331"/>
      </w:pPr>
      <w:r>
        <w:rPr>
          <w:b/>
        </w:rPr>
        <w:t xml:space="preserve">• </w:t>
      </w:r>
      <w:r>
        <w:t>Future returns.</w:t>
      </w:r>
    </w:p>
    <w:p>
      <w:pPr>
        <w:pStyle w:val="ListBody"/>
        <w:ind w:left="490" w:hanging="331"/>
      </w:pPr>
      <w:r>
        <w:rPr>
          <w:b/>
        </w:rPr>
        <w:t xml:space="preserve">• </w:t>
      </w:r>
      <w:r>
        <w:t>Signal accuracy.</w:t>
      </w:r>
    </w:p>
    <w:p>
      <w:pPr>
        <w:pStyle w:val="ListBody"/>
        <w:ind w:left="490" w:hanging="331"/>
      </w:pPr>
      <w:r>
        <w:rPr>
          <w:b/>
        </w:rPr>
        <w:t xml:space="preserve">• </w:t>
      </w:r>
      <w:r>
        <w:t>Fraud detection.</w:t>
      </w:r>
    </w:p>
    <w:p>
      <w:pPr>
        <w:pStyle w:val="ListBody"/>
        <w:ind w:left="490" w:hanging="331"/>
      </w:pPr>
      <w:r>
        <w:rPr>
          <w:b/>
        </w:rPr>
        <w:t xml:space="preserve">• </w:t>
      </w:r>
      <w:r>
        <w:t>Complete filing availability.</w:t>
      </w:r>
    </w:p>
    <w:p>
      <w:pPr>
        <w:pStyle w:val="ListBody"/>
        <w:ind w:left="490" w:hanging="331"/>
      </w:pPr>
      <w:r>
        <w:rPr>
          <w:b/>
        </w:rPr>
        <w:t xml:space="preserve">• </w:t>
      </w:r>
      <w:r>
        <w:t>Perfect extraction.</w:t>
      </w:r>
    </w:p>
    <w:p>
      <w:pPr>
        <w:pStyle w:val="ListBody"/>
        <w:ind w:left="490" w:hanging="331"/>
      </w:pPr>
      <w:r>
        <w:rPr>
          <w:b/>
        </w:rPr>
        <w:t xml:space="preserve">• </w:t>
      </w:r>
      <w:r>
        <w:t>Continuous broker availability.</w:t>
      </w:r>
    </w:p>
    <w:p>
      <w:pPr>
        <w:pStyle w:val="ListBody"/>
        <w:ind w:left="490" w:hanging="331"/>
      </w:pPr>
      <w:r>
        <w:rPr>
          <w:b/>
        </w:rPr>
        <w:t xml:space="preserve">• </w:t>
      </w:r>
      <w:r>
        <w:t>Successful order execution.</w:t>
      </w:r>
    </w:p>
    <w:p>
      <w:pPr>
        <w:pStyle w:val="ListBody"/>
        <w:ind w:left="490" w:hanging="331"/>
      </w:pPr>
      <w:r>
        <w:rPr>
          <w:b/>
        </w:rPr>
        <w:t xml:space="preserve">• </w:t>
      </w:r>
      <w:r>
        <w:t>Investment suitability for every user.</w:t>
      </w:r>
    </w:p>
    <w:p>
      <w:pPr>
        <w:spacing w:after="0"/>
      </w:pPr>
      <w:r/>
    </w:p>
    <w:p>
      <w:pPr>
        <w:pStyle w:val="Heading1"/>
        <w:pBdr>
          <w:bottom w:val="single" w:sz="4" w:space="5" w:color="7A9AAA"/>
        </w:pBdr>
        <w:keepNext/>
      </w:pPr>
      <w:r>
        <w:t>2. Production-readiness boundary</w:t>
      </w:r>
    </w:p>
    <w:p>
      <w:pPr/>
      <w:r>
        <w:t>The phrase “production-ready” means that the architecture contains the controls required for production deployment.</w:t>
      </w:r>
    </w:p>
    <w:p>
      <w:pPr/>
      <w:r>
        <w:t>It does not mean that unwritten code has already passed testing.</w:t>
      </w:r>
    </w:p>
    <w:p>
      <w:pPr/>
      <w:r>
        <w:t>Four validation states must be maintained separately:</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blHeader w:val="true"/>
        </w:trPr>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Validation level</w:t>
            </w:r>
          </w:p>
        </w:tc>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Meaning</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Architecture Validated</w:t>
            </w:r>
          </w:p>
        </w:tc>
        <w:tc>
          <w:tcPr>
            <w:tcW w:type="dxa" w:w="4997"/>
            <w:vAlign w:val="center"/>
            <w:tcMar>
              <w:top w:w="55" w:type="dxa"/>
              <w:start w:w="65" w:type="dxa"/>
              <w:bottom w:w="55" w:type="dxa"/>
              <w:end w:w="65" w:type="dxa"/>
            </w:tcMar>
          </w:tcPr>
          <w:p>
            <w:pPr>
              <w:spacing w:after="0"/>
            </w:pPr>
            <w:r>
              <w:rPr>
                <w:rFonts w:ascii="Cambria" w:hAnsi="Cambria"/>
                <w:sz w:val="18"/>
              </w:rPr>
              <w:t>Requirements, formulas, dependencies, controls, and workflows reviewed</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Data Validated</w:t>
            </w:r>
          </w:p>
        </w:tc>
        <w:tc>
          <w:tcPr>
            <w:tcW w:type="dxa" w:w="4997"/>
            <w:vAlign w:val="center"/>
            <w:tcMar>
              <w:top w:w="55" w:type="dxa"/>
              <w:start w:w="65" w:type="dxa"/>
              <w:bottom w:w="55" w:type="dxa"/>
              <w:end w:w="65" w:type="dxa"/>
            </w:tcMar>
            <w:shd w:fill="F8FAFB"/>
          </w:tcPr>
          <w:p>
            <w:pPr>
              <w:spacing w:after="0"/>
            </w:pPr>
            <w:r>
              <w:rPr>
                <w:rFonts w:ascii="Cambria" w:hAnsi="Cambria"/>
                <w:sz w:val="18"/>
              </w:rPr>
              <w:t>Source permissions, mappings, histories, reconciliations, and quality thresholds verified</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Code Validated</w:t>
            </w:r>
          </w:p>
        </w:tc>
        <w:tc>
          <w:tcPr>
            <w:tcW w:type="dxa" w:w="4997"/>
            <w:vAlign w:val="center"/>
            <w:tcMar>
              <w:top w:w="55" w:type="dxa"/>
              <w:start w:w="65" w:type="dxa"/>
              <w:bottom w:w="55" w:type="dxa"/>
              <w:end w:w="65" w:type="dxa"/>
            </w:tcMar>
          </w:tcPr>
          <w:p>
            <w:pPr>
              <w:spacing w:after="0"/>
            </w:pPr>
            <w:r>
              <w:rPr>
                <w:rFonts w:ascii="Cambria" w:hAnsi="Cambria"/>
                <w:sz w:val="18"/>
              </w:rPr>
              <w:t>Unit, integration, regression, performance, failure, and security tests passed</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Investment Validated</w:t>
            </w:r>
          </w:p>
        </w:tc>
        <w:tc>
          <w:tcPr>
            <w:tcW w:type="dxa" w:w="4997"/>
            <w:vAlign w:val="center"/>
            <w:tcMar>
              <w:top w:w="55" w:type="dxa"/>
              <w:start w:w="65" w:type="dxa"/>
              <w:bottom w:w="55" w:type="dxa"/>
              <w:end w:w="65" w:type="dxa"/>
            </w:tcMar>
            <w:shd w:fill="F8FAFB"/>
          </w:tcPr>
          <w:p>
            <w:pPr>
              <w:spacing w:after="0"/>
            </w:pPr>
            <w:r>
              <w:rPr>
                <w:rFonts w:ascii="Cambria" w:hAnsi="Cambria"/>
                <w:sz w:val="18"/>
              </w:rPr>
              <w:t>Walk-forward tests, paper trading, and controlled live validation passed</w:t>
            </w:r>
          </w:p>
        </w:tc>
      </w:tr>
    </w:tbl>
    <w:p>
      <w:pPr>
        <w:spacing w:after="20"/>
      </w:pPr>
    </w:p>
    <w:p>
      <w:pPr/>
      <w:r>
        <w:t>The application must display all four states.</w:t>
      </w:r>
    </w:p>
    <w:p>
      <w:pPr/>
      <w:r>
        <w:t>A system is not Investment Validated merely because:</w:t>
      </w:r>
    </w:p>
    <w:p>
      <w:pPr>
        <w:pStyle w:val="ListBody"/>
        <w:ind w:left="490" w:hanging="331"/>
      </w:pPr>
      <w:r>
        <w:rPr>
          <w:b/>
        </w:rPr>
        <w:t xml:space="preserve">• </w:t>
      </w:r>
      <w:r>
        <w:t>It produces a score.</w:t>
      </w:r>
    </w:p>
    <w:p>
      <w:pPr>
        <w:pStyle w:val="ListBody"/>
        <w:ind w:left="490" w:hanging="331"/>
      </w:pPr>
      <w:r>
        <w:rPr>
          <w:b/>
        </w:rPr>
        <w:t xml:space="preserve">• </w:t>
      </w:r>
      <w:r>
        <w:t>It generates a signal.</w:t>
      </w:r>
    </w:p>
    <w:p>
      <w:pPr>
        <w:pStyle w:val="ListBody"/>
        <w:ind w:left="490" w:hanging="331"/>
      </w:pPr>
      <w:r>
        <w:rPr>
          <w:b/>
        </w:rPr>
        <w:t xml:space="preserve">• </w:t>
      </w:r>
      <w:r>
        <w:t>It compiles.</w:t>
      </w:r>
    </w:p>
    <w:p>
      <w:pPr>
        <w:pStyle w:val="ListBody"/>
        <w:ind w:left="490" w:hanging="331"/>
      </w:pPr>
      <w:r>
        <w:rPr>
          <w:b/>
        </w:rPr>
        <w:t xml:space="preserve">• </w:t>
      </w:r>
      <w:r>
        <w:t>It completes an in-sample backtest.</w:t>
      </w:r>
    </w:p>
    <w:p>
      <w:pPr>
        <w:pStyle w:val="ListBody"/>
        <w:ind w:left="490" w:hanging="331"/>
      </w:pPr>
      <w:r>
        <w:rPr>
          <w:b/>
        </w:rPr>
        <w:t xml:space="preserve">• </w:t>
      </w:r>
      <w:r>
        <w:t>It has a functioning dashboard.</w:t>
      </w:r>
    </w:p>
    <w:p>
      <w:pPr>
        <w:pStyle w:val="ListBody"/>
        <w:ind w:left="490" w:hanging="331"/>
      </w:pPr>
      <w:r>
        <w:rPr>
          <w:b/>
        </w:rPr>
        <w:t xml:space="preserve">• </w:t>
      </w:r>
      <w:r>
        <w:t>One historical period was profitable.</w:t>
      </w:r>
    </w:p>
    <w:p>
      <w:pPr>
        <w:spacing w:after="0"/>
      </w:pPr>
      <w:r/>
    </w:p>
    <w:p>
      <w:pPr>
        <w:pStyle w:val="Heading1"/>
        <w:pBdr>
          <w:bottom w:val="single" w:sz="4" w:space="5" w:color="7A9AAA"/>
        </w:pBdr>
        <w:keepNext/>
      </w:pPr>
      <w:r>
        <w:t>3. Realistic coverage model</w:t>
      </w:r>
    </w:p>
    <w:p>
      <w:pPr/>
      <w:r>
        <w:t>A solo platform must not pretend that all 2,000 stocks receive equal-depth institutional research.</w:t>
      </w:r>
    </w:p>
    <w:p>
      <w:pPr/>
      <w:r>
        <w:t>The system uses three coverage layers.</w:t>
      </w:r>
    </w:p>
    <w:p>
      <w:pPr>
        <w:pStyle w:val="Heading2"/>
        <w:keepNext/>
      </w:pPr>
      <w:r>
        <w:t>3.1 Market-Wide Coverage</w:t>
      </w:r>
    </w:p>
    <w:p>
      <w:pPr/>
      <w:r>
        <w:t>Target:</w:t>
      </w:r>
    </w:p>
    <w:p>
      <w:pPr>
        <w:pStyle w:val="ListBody"/>
        <w:ind w:left="490" w:hanging="331"/>
      </w:pPr>
      <w:r>
        <w:rPr>
          <w:b/>
        </w:rPr>
        <w:t xml:space="preserve">• </w:t>
      </w:r>
      <w:r>
        <w:t>Approximately 2,000 securities.</w:t>
      </w:r>
    </w:p>
    <w:p>
      <w:pPr/>
      <w:r>
        <w:t>Supported data:</w:t>
      </w:r>
    </w:p>
    <w:p>
      <w:pPr>
        <w:pStyle w:val="ListBody"/>
        <w:ind w:left="490" w:hanging="331"/>
      </w:pPr>
      <w:r>
        <w:rPr>
          <w:b/>
        </w:rPr>
        <w:t xml:space="preserve">• </w:t>
      </w:r>
      <w:r>
        <w:t>Security master.</w:t>
      </w:r>
    </w:p>
    <w:p>
      <w:pPr>
        <w:pStyle w:val="ListBody"/>
        <w:ind w:left="490" w:hanging="331"/>
      </w:pPr>
      <w:r>
        <w:rPr>
          <w:b/>
        </w:rPr>
        <w:t xml:space="preserve">• </w:t>
      </w:r>
      <w:r>
        <w:t>Daily OHLCV.</w:t>
      </w:r>
    </w:p>
    <w:p>
      <w:pPr>
        <w:pStyle w:val="ListBody"/>
        <w:ind w:left="490" w:hanging="331"/>
      </w:pPr>
      <w:r>
        <w:rPr>
          <w:b/>
        </w:rPr>
        <w:t xml:space="preserve">• </w:t>
      </w:r>
      <w:r>
        <w:t>Liquidity.</w:t>
      </w:r>
    </w:p>
    <w:p>
      <w:pPr>
        <w:pStyle w:val="ListBody"/>
        <w:ind w:left="490" w:hanging="331"/>
      </w:pPr>
      <w:r>
        <w:rPr>
          <w:b/>
        </w:rPr>
        <w:t xml:space="preserve">• </w:t>
      </w:r>
      <w:r>
        <w:t>Corporate actions.</w:t>
      </w:r>
    </w:p>
    <w:p>
      <w:pPr>
        <w:pStyle w:val="ListBody"/>
        <w:ind w:left="490" w:hanging="331"/>
      </w:pPr>
      <w:r>
        <w:rPr>
          <w:b/>
        </w:rPr>
        <w:t xml:space="preserve">• </w:t>
      </w:r>
      <w:r>
        <w:t>Basic technical factors.</w:t>
      </w:r>
    </w:p>
    <w:p>
      <w:pPr>
        <w:pStyle w:val="ListBody"/>
        <w:ind w:left="490" w:hanging="331"/>
      </w:pPr>
      <w:r>
        <w:rPr>
          <w:b/>
        </w:rPr>
        <w:t xml:space="preserve">• </w:t>
      </w:r>
      <w:r>
        <w:t>Basic market-cap data.</w:t>
      </w:r>
    </w:p>
    <w:p>
      <w:pPr>
        <w:pStyle w:val="ListBody"/>
        <w:ind w:left="490" w:hanging="331"/>
      </w:pPr>
      <w:r>
        <w:rPr>
          <w:b/>
        </w:rPr>
        <w:t xml:space="preserve">• </w:t>
      </w:r>
      <w:r>
        <w:t>Available structured financial data.</w:t>
      </w:r>
    </w:p>
    <w:p>
      <w:pPr>
        <w:pStyle w:val="ListBody"/>
        <w:ind w:left="490" w:hanging="331"/>
      </w:pPr>
      <w:r>
        <w:rPr>
          <w:b/>
        </w:rPr>
        <w:t xml:space="preserve">• </w:t>
      </w:r>
      <w:r>
        <w:t>Data Confidence.</w:t>
      </w:r>
    </w:p>
    <w:p>
      <w:pPr>
        <w:pStyle w:val="ListBody"/>
        <w:ind w:left="490" w:hanging="331"/>
      </w:pPr>
      <w:r>
        <w:rPr>
          <w:b/>
        </w:rPr>
        <w:t xml:space="preserve">• </w:t>
      </w:r>
      <w:r>
        <w:t>Eligibility status.</w:t>
      </w:r>
    </w:p>
    <w:p>
      <w:pPr>
        <w:pStyle w:val="ListBody"/>
        <w:ind w:left="490" w:hanging="331"/>
      </w:pPr>
      <w:r>
        <w:rPr>
          <w:b/>
        </w:rPr>
        <w:t xml:space="preserve">• </w:t>
      </w:r>
      <w:r>
        <w:t>Hard-gate alerts where evidence exists.</w:t>
      </w:r>
    </w:p>
    <w:p>
      <w:pPr/>
      <w:r>
        <w:t>Purpose:</w:t>
      </w:r>
    </w:p>
    <w:p>
      <w:pPr>
        <w:pStyle w:val="ListBody"/>
        <w:ind w:left="490" w:hanging="331"/>
      </w:pPr>
      <w:r>
        <w:rPr>
          <w:b/>
        </w:rPr>
        <w:t xml:space="preserve">• </w:t>
      </w:r>
      <w:r>
        <w:t>Market monitoring.</w:t>
      </w:r>
    </w:p>
    <w:p>
      <w:pPr>
        <w:pStyle w:val="ListBody"/>
        <w:ind w:left="490" w:hanging="331"/>
      </w:pPr>
      <w:r>
        <w:rPr>
          <w:b/>
        </w:rPr>
        <w:t xml:space="preserve">• </w:t>
      </w:r>
      <w:r>
        <w:t>Broad screening.</w:t>
      </w:r>
    </w:p>
    <w:p>
      <w:pPr>
        <w:pStyle w:val="ListBody"/>
        <w:ind w:left="490" w:hanging="331"/>
      </w:pPr>
      <w:r>
        <w:rPr>
          <w:b/>
        </w:rPr>
        <w:t xml:space="preserve">• </w:t>
      </w:r>
      <w:r>
        <w:t>Discovery.</w:t>
      </w:r>
    </w:p>
    <w:p>
      <w:pPr>
        <w:pStyle w:val="ListBody"/>
        <w:ind w:left="490" w:hanging="331"/>
      </w:pPr>
      <w:r>
        <w:rPr>
          <w:b/>
        </w:rPr>
        <w:t xml:space="preserve">• </w:t>
      </w:r>
      <w:r>
        <w:t>Liquidity filtering.</w:t>
      </w:r>
    </w:p>
    <w:p>
      <w:pPr>
        <w:pStyle w:val="ListBody"/>
        <w:ind w:left="490" w:hanging="331"/>
      </w:pPr>
      <w:r>
        <w:rPr>
          <w:b/>
        </w:rPr>
        <w:t xml:space="preserve">• </w:t>
      </w:r>
      <w:r>
        <w:t>Candidate identification.</w:t>
      </w:r>
    </w:p>
    <w:p>
      <w:pPr>
        <w:pStyle w:val="Heading2"/>
        <w:keepNext/>
      </w:pPr>
      <w:r>
        <w:t>3.2 Standard Fundamental Coverage</w:t>
      </w:r>
    </w:p>
    <w:p>
      <w:pPr/>
      <w:r>
        <w:t>Target:</w:t>
      </w:r>
    </w:p>
    <w:p>
      <w:pPr>
        <w:pStyle w:val="ListBody"/>
        <w:ind w:left="490" w:hanging="331"/>
      </w:pPr>
      <w:r>
        <w:rPr>
          <w:b/>
        </w:rPr>
        <w:t xml:space="preserve">• </w:t>
      </w:r>
      <w:r>
        <w:t>Approximately 500–1,000 companies, depending on available data rights and extraction quality.</w:t>
      </w:r>
    </w:p>
    <w:p>
      <w:pPr/>
      <w:r>
        <w:t>Supported analysis:</w:t>
      </w:r>
    </w:p>
    <w:p>
      <w:pPr>
        <w:pStyle w:val="ListBody"/>
        <w:ind w:left="490" w:hanging="331"/>
      </w:pPr>
      <w:r>
        <w:rPr>
          <w:b/>
        </w:rPr>
        <w:t xml:space="preserve">• </w:t>
      </w:r>
      <w:r>
        <w:t>Normalized financial history.</w:t>
      </w:r>
    </w:p>
    <w:p>
      <w:pPr>
        <w:pStyle w:val="ListBody"/>
        <w:ind w:left="490" w:hanging="331"/>
      </w:pPr>
      <w:r>
        <w:rPr>
          <w:b/>
        </w:rPr>
        <w:t xml:space="preserve">• </w:t>
      </w:r>
      <w:r>
        <w:t>Candidate Score.</w:t>
      </w:r>
    </w:p>
    <w:p>
      <w:pPr>
        <w:pStyle w:val="ListBody"/>
        <w:ind w:left="490" w:hanging="331"/>
      </w:pPr>
      <w:r>
        <w:rPr>
          <w:b/>
        </w:rPr>
        <w:t xml:space="preserve">• </w:t>
      </w:r>
      <w:r>
        <w:t>Sector-relative rankings.</w:t>
      </w:r>
    </w:p>
    <w:p>
      <w:pPr>
        <w:pStyle w:val="ListBody"/>
        <w:ind w:left="490" w:hanging="331"/>
      </w:pPr>
      <w:r>
        <w:rPr>
          <w:b/>
        </w:rPr>
        <w:t xml:space="preserve">• </w:t>
      </w:r>
      <w:r>
        <w:t>Governance indicators.</w:t>
      </w:r>
    </w:p>
    <w:p>
      <w:pPr>
        <w:pStyle w:val="ListBody"/>
        <w:ind w:left="490" w:hanging="331"/>
      </w:pPr>
      <w:r>
        <w:rPr>
          <w:b/>
        </w:rPr>
        <w:t xml:space="preserve">• </w:t>
      </w:r>
      <w:r>
        <w:t>Basic valuation.</w:t>
      </w:r>
    </w:p>
    <w:p>
      <w:pPr>
        <w:pStyle w:val="ListBody"/>
        <w:ind w:left="490" w:hanging="331"/>
      </w:pPr>
      <w:r>
        <w:rPr>
          <w:b/>
        </w:rPr>
        <w:t xml:space="preserve">• </w:t>
      </w:r>
      <w:r>
        <w:t>Earnings momentum.</w:t>
      </w:r>
    </w:p>
    <w:p>
      <w:pPr>
        <w:pStyle w:val="ListBody"/>
        <w:ind w:left="490" w:hanging="331"/>
      </w:pPr>
      <w:r>
        <w:rPr>
          <w:b/>
        </w:rPr>
        <w:t xml:space="preserve">• </w:t>
      </w:r>
      <w:r>
        <w:t>Medium-term candidate selection.</w:t>
      </w:r>
    </w:p>
    <w:p>
      <w:pPr>
        <w:pStyle w:val="Heading2"/>
        <w:keepNext/>
      </w:pPr>
      <w:r>
        <w:t>3.3 Deep Research Coverage</w:t>
      </w:r>
    </w:p>
    <w:p>
      <w:pPr/>
      <w:r>
        <w:t>Target:</w:t>
      </w:r>
    </w:p>
    <w:p>
      <w:pPr>
        <w:pStyle w:val="ListBody"/>
        <w:ind w:left="490" w:hanging="331"/>
      </w:pPr>
      <w:r>
        <w:rPr>
          <w:b/>
        </w:rPr>
        <w:t xml:space="preserve">• </w:t>
      </w:r>
      <w:r>
        <w:t>Approximately 50–200 companies.</w:t>
      </w:r>
    </w:p>
    <w:p>
      <w:pPr/>
      <w:r>
        <w:t>Supported analysis:</w:t>
      </w:r>
    </w:p>
    <w:p>
      <w:pPr>
        <w:pStyle w:val="ListBody"/>
        <w:ind w:left="490" w:hanging="331"/>
      </w:pPr>
      <w:r>
        <w:rPr>
          <w:b/>
        </w:rPr>
        <w:t xml:space="preserve">• </w:t>
      </w:r>
      <w:r>
        <w:t>Full evidence ledger.</w:t>
      </w:r>
    </w:p>
    <w:p>
      <w:pPr>
        <w:pStyle w:val="ListBody"/>
        <w:ind w:left="490" w:hanging="331"/>
      </w:pPr>
      <w:r>
        <w:rPr>
          <w:b/>
        </w:rPr>
        <w:t xml:space="preserve">• </w:t>
      </w:r>
      <w:r>
        <w:t>Annual-report analysis.</w:t>
      </w:r>
    </w:p>
    <w:p>
      <w:pPr>
        <w:pStyle w:val="ListBody"/>
        <w:ind w:left="490" w:hanging="331"/>
      </w:pPr>
      <w:r>
        <w:rPr>
          <w:b/>
        </w:rPr>
        <w:t xml:space="preserve">• </w:t>
      </w:r>
      <w:r>
        <w:t>Governance review.</w:t>
      </w:r>
    </w:p>
    <w:p>
      <w:pPr>
        <w:pStyle w:val="ListBody"/>
        <w:ind w:left="490" w:hanging="331"/>
      </w:pPr>
      <w:r>
        <w:rPr>
          <w:b/>
        </w:rPr>
        <w:t xml:space="preserve">• </w:t>
      </w:r>
      <w:r>
        <w:t>Management-guidance history.</w:t>
      </w:r>
    </w:p>
    <w:p>
      <w:pPr>
        <w:pStyle w:val="ListBody"/>
        <w:ind w:left="490" w:hanging="331"/>
      </w:pPr>
      <w:r>
        <w:rPr>
          <w:b/>
        </w:rPr>
        <w:t xml:space="preserve">• </w:t>
      </w:r>
      <w:r>
        <w:t>Forecast model.</w:t>
      </w:r>
    </w:p>
    <w:p>
      <w:pPr>
        <w:pStyle w:val="ListBody"/>
        <w:ind w:left="490" w:hanging="331"/>
      </w:pPr>
      <w:r>
        <w:rPr>
          <w:b/>
        </w:rPr>
        <w:t xml:space="preserve">• </w:t>
      </w:r>
      <w:r>
        <w:t>Scenario model.</w:t>
      </w:r>
    </w:p>
    <w:p>
      <w:pPr>
        <w:pStyle w:val="ListBody"/>
        <w:ind w:left="490" w:hanging="331"/>
      </w:pPr>
      <w:r>
        <w:rPr>
          <w:b/>
        </w:rPr>
        <w:t xml:space="preserve">• </w:t>
      </w:r>
      <w:r>
        <w:t>Detailed valuation.</w:t>
      </w:r>
    </w:p>
    <w:p>
      <w:pPr>
        <w:pStyle w:val="ListBody"/>
        <w:ind w:left="490" w:hanging="331"/>
      </w:pPr>
      <w:r>
        <w:rPr>
          <w:b/>
        </w:rPr>
        <w:t xml:space="preserve">• </w:t>
      </w:r>
      <w:r>
        <w:t>Medium- and long-term recommendation.</w:t>
      </w:r>
    </w:p>
    <w:p>
      <w:pPr>
        <w:pStyle w:val="ListBody"/>
        <w:ind w:left="490" w:hanging="331"/>
      </w:pPr>
      <w:r>
        <w:rPr>
          <w:b/>
        </w:rPr>
        <w:t xml:space="preserve">• </w:t>
      </w:r>
      <w:r>
        <w:t>Thesis monitoring.</w:t>
      </w:r>
    </w:p>
    <w:p>
      <w:pPr/>
      <w:r>
        <w:t>A company outside Deep Research Coverage must not display a fully researched conviction rating.</w:t>
      </w:r>
    </w:p>
    <w:p>
      <w:pPr>
        <w:spacing w:after="0"/>
      </w:pPr>
      <w:r/>
    </w:p>
    <w:p>
      <w:pPr>
        <w:pStyle w:val="Heading1"/>
        <w:pBdr>
          <w:bottom w:val="single" w:sz="4" w:space="5" w:color="7A9AAA"/>
        </w:pBdr>
        <w:keepNext/>
      </w:pPr>
      <w:r>
        <w:t>4. Deployment profiles</w:t>
      </w:r>
    </w:p>
    <w:p>
      <w:pPr>
        <w:pStyle w:val="Heading2"/>
        <w:keepNext/>
      </w:pPr>
      <w:r>
        <w:t>4.1 Personal Core Profile</w:t>
      </w:r>
    </w:p>
    <w:p>
      <w:pPr/>
      <w:r>
        <w:t>Designed for one user.</w:t>
      </w:r>
    </w:p>
    <w:p>
      <w:pPr/>
      <w:r>
        <w:t>Sources may include:</w:t>
      </w:r>
    </w:p>
    <w:p>
      <w:pPr>
        <w:pStyle w:val="ListBody"/>
        <w:ind w:left="490" w:hanging="331"/>
      </w:pPr>
      <w:r>
        <w:rPr>
          <w:b/>
        </w:rPr>
        <w:t xml:space="preserve">• </w:t>
      </w:r>
      <w:r>
        <w:t>Upstox.</w:t>
      </w:r>
    </w:p>
    <w:p>
      <w:pPr>
        <w:pStyle w:val="ListBody"/>
        <w:ind w:left="490" w:hanging="331"/>
      </w:pPr>
      <w:r>
        <w:rPr>
          <w:b/>
        </w:rPr>
        <w:t xml:space="preserve">• </w:t>
      </w:r>
      <w:r>
        <w:t>Angel One SmartAPI.</w:t>
      </w:r>
    </w:p>
    <w:p>
      <w:pPr>
        <w:pStyle w:val="ListBody"/>
        <w:ind w:left="490" w:hanging="331"/>
      </w:pPr>
      <w:r>
        <w:rPr>
          <w:b/>
        </w:rPr>
        <w:t xml:space="preserve">• </w:t>
      </w:r>
      <w:r>
        <w:t>User-authorized Screener exports.</w:t>
      </w:r>
    </w:p>
    <w:p>
      <w:pPr>
        <w:pStyle w:val="ListBody"/>
        <w:ind w:left="490" w:hanging="331"/>
      </w:pPr>
      <w:r>
        <w:rPr>
          <w:b/>
        </w:rPr>
        <w:t xml:space="preserve">• </w:t>
      </w:r>
      <w:r>
        <w:t>Manually downloaded statutory filings.</w:t>
      </w:r>
    </w:p>
    <w:p>
      <w:pPr>
        <w:pStyle w:val="ListBody"/>
        <w:ind w:left="490" w:hanging="331"/>
      </w:pPr>
      <w:r>
        <w:rPr>
          <w:b/>
        </w:rPr>
        <w:t xml:space="preserve">• </w:t>
      </w:r>
      <w:r>
        <w:t>SEBI public orders and circulars.</w:t>
      </w:r>
    </w:p>
    <w:p>
      <w:pPr>
        <w:pStyle w:val="ListBody"/>
        <w:ind w:left="490" w:hanging="331"/>
      </w:pPr>
      <w:r>
        <w:rPr>
          <w:b/>
        </w:rPr>
        <w:t xml:space="preserve">• </w:t>
      </w:r>
      <w:r>
        <w:t>Company annual reports.</w:t>
      </w:r>
    </w:p>
    <w:p>
      <w:pPr>
        <w:pStyle w:val="ListBody"/>
        <w:ind w:left="490" w:hanging="331"/>
      </w:pPr>
      <w:r>
        <w:rPr>
          <w:b/>
        </w:rPr>
        <w:t xml:space="preserve">• </w:t>
      </w:r>
      <w:r>
        <w:t>Permitted public documents.</w:t>
      </w:r>
    </w:p>
    <w:p>
      <w:pPr/>
      <w:r>
        <w:t>Capabilities:</w:t>
      </w:r>
    </w:p>
    <w:p>
      <w:pPr>
        <w:pStyle w:val="ListBody"/>
        <w:ind w:left="490" w:hanging="331"/>
      </w:pPr>
      <w:r>
        <w:rPr>
          <w:b/>
        </w:rPr>
        <w:t xml:space="preserve">• </w:t>
      </w:r>
      <w:r>
        <w:t>Full-market technical screening.</w:t>
      </w:r>
    </w:p>
    <w:p>
      <w:pPr>
        <w:pStyle w:val="ListBody"/>
        <w:ind w:left="490" w:hanging="331"/>
      </w:pPr>
      <w:r>
        <w:rPr>
          <w:b/>
        </w:rPr>
        <w:t xml:space="preserve">• </w:t>
      </w:r>
      <w:r>
        <w:t>Basic-to-standard fundamental scoring.</w:t>
      </w:r>
    </w:p>
    <w:p>
      <w:pPr>
        <w:pStyle w:val="ListBody"/>
        <w:ind w:left="490" w:hanging="331"/>
      </w:pPr>
      <w:r>
        <w:rPr>
          <w:b/>
        </w:rPr>
        <w:t xml:space="preserve">• </w:t>
      </w:r>
      <w:r>
        <w:t>Daily, weekly, and monthly signals.</w:t>
      </w:r>
    </w:p>
    <w:p>
      <w:pPr>
        <w:pStyle w:val="ListBody"/>
        <w:ind w:left="490" w:hanging="331"/>
      </w:pPr>
      <w:r>
        <w:rPr>
          <w:b/>
        </w:rPr>
        <w:t xml:space="preserve">• </w:t>
      </w:r>
      <w:r>
        <w:t>Selected medium-term research.</w:t>
      </w:r>
    </w:p>
    <w:p>
      <w:pPr>
        <w:pStyle w:val="ListBody"/>
        <w:ind w:left="490" w:hanging="331"/>
      </w:pPr>
      <w:r>
        <w:rPr>
          <w:b/>
        </w:rPr>
        <w:t xml:space="preserve">• </w:t>
      </w:r>
      <w:r>
        <w:t>Paper trading.</w:t>
      </w:r>
    </w:p>
    <w:p>
      <w:pPr>
        <w:pStyle w:val="ListBody"/>
        <w:ind w:left="490" w:hanging="331"/>
      </w:pPr>
      <w:r>
        <w:rPr>
          <w:b/>
        </w:rPr>
        <w:t xml:space="preserve">• </w:t>
      </w:r>
      <w:r>
        <w:t>Manual broker confirmation.</w:t>
      </w:r>
    </w:p>
    <w:p>
      <w:pPr>
        <w:pStyle w:val="ListBody"/>
        <w:ind w:left="490" w:hanging="331"/>
      </w:pPr>
      <w:r>
        <w:rPr>
          <w:b/>
        </w:rPr>
        <w:t xml:space="preserve">• </w:t>
      </w:r>
      <w:r>
        <w:t>Dashboard and alerts.</w:t>
      </w:r>
    </w:p>
    <w:p>
      <w:pPr/>
      <w:r>
        <w:t>Limitations:</w:t>
      </w:r>
    </w:p>
    <w:p>
      <w:pPr>
        <w:pStyle w:val="ListBody"/>
        <w:ind w:left="490" w:hanging="331"/>
      </w:pPr>
      <w:r>
        <w:rPr>
          <w:b/>
        </w:rPr>
        <w:t xml:space="preserve">• </w:t>
      </w:r>
      <w:r>
        <w:t>Corporate filing ingestion may require manual assistance.</w:t>
      </w:r>
    </w:p>
    <w:p>
      <w:pPr>
        <w:pStyle w:val="ListBody"/>
        <w:ind w:left="490" w:hanging="331"/>
      </w:pPr>
      <w:r>
        <w:rPr>
          <w:b/>
        </w:rPr>
        <w:t xml:space="preserve">• </w:t>
      </w:r>
      <w:r>
        <w:t>Historical restatement coverage may be incomplete.</w:t>
      </w:r>
    </w:p>
    <w:p>
      <w:pPr>
        <w:pStyle w:val="ListBody"/>
        <w:ind w:left="490" w:hanging="331"/>
      </w:pPr>
      <w:r>
        <w:rPr>
          <w:b/>
        </w:rPr>
        <w:t xml:space="preserve">• </w:t>
      </w:r>
      <w:r>
        <w:t>Full survivorship-free fundamental history may be unavailable.</w:t>
      </w:r>
    </w:p>
    <w:p>
      <w:pPr>
        <w:pStyle w:val="ListBody"/>
        <w:ind w:left="490" w:hanging="331"/>
      </w:pPr>
      <w:r>
        <w:rPr>
          <w:b/>
        </w:rPr>
        <w:t xml:space="preserve">• </w:t>
      </w:r>
      <w:r>
        <w:t>Deep research remains limited to selected companies.</w:t>
      </w:r>
    </w:p>
    <w:p>
      <w:pPr>
        <w:pStyle w:val="Heading2"/>
        <w:keepNext/>
      </w:pPr>
      <w:r>
        <w:t>4.2 Personal Advanced Profile</w:t>
      </w:r>
    </w:p>
    <w:p>
      <w:pPr/>
      <w:r>
        <w:t>Adds:</w:t>
      </w:r>
    </w:p>
    <w:p>
      <w:pPr>
        <w:pStyle w:val="ListBody"/>
        <w:ind w:left="490" w:hanging="331"/>
      </w:pPr>
      <w:r>
        <w:rPr>
          <w:b/>
        </w:rPr>
        <w:t xml:space="preserve">• </w:t>
      </w:r>
      <w:r>
        <w:t>Permitted automated document ingestion.</w:t>
      </w:r>
    </w:p>
    <w:p>
      <w:pPr>
        <w:pStyle w:val="ListBody"/>
        <w:ind w:left="490" w:hanging="331"/>
      </w:pPr>
      <w:r>
        <w:rPr>
          <w:b/>
        </w:rPr>
        <w:t xml:space="preserve">• </w:t>
      </w:r>
      <w:r>
        <w:t>Higher-quality standardized fundamentals.</w:t>
      </w:r>
    </w:p>
    <w:p>
      <w:pPr>
        <w:pStyle w:val="ListBody"/>
        <w:ind w:left="490" w:hanging="331"/>
      </w:pPr>
      <w:r>
        <w:rPr>
          <w:b/>
        </w:rPr>
        <w:t xml:space="preserve">• </w:t>
      </w:r>
      <w:r>
        <w:t>Expanded historical security master.</w:t>
      </w:r>
    </w:p>
    <w:p>
      <w:pPr>
        <w:pStyle w:val="ListBody"/>
        <w:ind w:left="490" w:hanging="331"/>
      </w:pPr>
      <w:r>
        <w:rPr>
          <w:b/>
        </w:rPr>
        <w:t xml:space="preserve">• </w:t>
      </w:r>
      <w:r>
        <w:t>Automated filing parser.</w:t>
      </w:r>
    </w:p>
    <w:p>
      <w:pPr>
        <w:pStyle w:val="ListBody"/>
        <w:ind w:left="490" w:hanging="331"/>
      </w:pPr>
      <w:r>
        <w:rPr>
          <w:b/>
        </w:rPr>
        <w:t xml:space="preserve">• </w:t>
      </w:r>
      <w:r>
        <w:t>Larger deep-research universe.</w:t>
      </w:r>
    </w:p>
    <w:p>
      <w:pPr>
        <w:pStyle w:val="ListBody"/>
        <w:ind w:left="490" w:hanging="331"/>
      </w:pPr>
      <w:r>
        <w:rPr>
          <w:b/>
        </w:rPr>
        <w:t xml:space="preserve">• </w:t>
      </w:r>
      <w:r>
        <w:t>Semi-automatic broker workflow where permitted.</w:t>
      </w:r>
    </w:p>
    <w:p>
      <w:pPr>
        <w:pStyle w:val="ListBody"/>
        <w:ind w:left="490" w:hanging="331"/>
      </w:pPr>
      <w:r>
        <w:rPr>
          <w:b/>
        </w:rPr>
        <w:t xml:space="preserve">• </w:t>
      </w:r>
      <w:r>
        <w:t>More complete backtesting.</w:t>
      </w:r>
    </w:p>
    <w:p>
      <w:pPr>
        <w:pStyle w:val="Heading2"/>
        <w:keepNext/>
      </w:pPr>
      <w:r>
        <w:t>4.3 Institutional Profile</w:t>
      </w:r>
    </w:p>
    <w:p>
      <w:pPr/>
      <w:r>
        <w:t>Adds:</w:t>
      </w:r>
    </w:p>
    <w:p>
      <w:pPr>
        <w:pStyle w:val="ListBody"/>
        <w:ind w:left="490" w:hanging="331"/>
      </w:pPr>
      <w:r>
        <w:rPr>
          <w:b/>
        </w:rPr>
        <w:t xml:space="preserve">• </w:t>
      </w:r>
      <w:r>
        <w:t>Licensed NSE/BSE corporate data.</w:t>
      </w:r>
    </w:p>
    <w:p>
      <w:pPr>
        <w:pStyle w:val="ListBody"/>
        <w:ind w:left="490" w:hanging="331"/>
      </w:pPr>
      <w:r>
        <w:rPr>
          <w:b/>
        </w:rPr>
        <w:t xml:space="preserve">• </w:t>
      </w:r>
      <w:r>
        <w:t>Licensed historical master data.</w:t>
      </w:r>
    </w:p>
    <w:p>
      <w:pPr>
        <w:pStyle w:val="ListBody"/>
        <w:ind w:left="490" w:hanging="331"/>
      </w:pPr>
      <w:r>
        <w:rPr>
          <w:b/>
        </w:rPr>
        <w:t xml:space="preserve">• </w:t>
      </w:r>
      <w:r>
        <w:t>Licensed point-in-time fundamentals.</w:t>
      </w:r>
    </w:p>
    <w:p>
      <w:pPr>
        <w:pStyle w:val="ListBody"/>
        <w:ind w:left="490" w:hanging="331"/>
      </w:pPr>
      <w:r>
        <w:rPr>
          <w:b/>
        </w:rPr>
        <w:t xml:space="preserve">• </w:t>
      </w:r>
      <w:r>
        <w:t>Consensus estimates.</w:t>
      </w:r>
    </w:p>
    <w:p>
      <w:pPr>
        <w:pStyle w:val="ListBody"/>
        <w:ind w:left="490" w:hanging="331"/>
      </w:pPr>
      <w:r>
        <w:rPr>
          <w:b/>
        </w:rPr>
        <w:t xml:space="preserve">• </w:t>
      </w:r>
      <w:r>
        <w:t>Historical constituent membership.</w:t>
      </w:r>
    </w:p>
    <w:p>
      <w:pPr>
        <w:pStyle w:val="ListBody"/>
        <w:ind w:left="490" w:hanging="331"/>
      </w:pPr>
      <w:r>
        <w:rPr>
          <w:b/>
        </w:rPr>
        <w:t xml:space="preserve">• </w:t>
      </w:r>
      <w:r>
        <w:t>Commercial retention and derived-data rights.</w:t>
      </w:r>
    </w:p>
    <w:p>
      <w:pPr>
        <w:pStyle w:val="ListBody"/>
        <w:ind w:left="490" w:hanging="331"/>
      </w:pPr>
      <w:r>
        <w:rPr>
          <w:b/>
        </w:rPr>
        <w:t xml:space="preserve">• </w:t>
      </w:r>
      <w:r>
        <w:t>Formal compliance workflows.</w:t>
      </w:r>
    </w:p>
    <w:p>
      <w:pPr>
        <w:pStyle w:val="ListBody"/>
        <w:ind w:left="490" w:hanging="331"/>
      </w:pPr>
      <w:r>
        <w:rPr>
          <w:b/>
        </w:rPr>
        <w:t xml:space="preserve">• </w:t>
      </w:r>
      <w:r>
        <w:t>Multi-user RBAC.</w:t>
      </w:r>
    </w:p>
    <w:p>
      <w:pPr>
        <w:pStyle w:val="ListBody"/>
        <w:ind w:left="490" w:hanging="331"/>
      </w:pPr>
      <w:r>
        <w:rPr>
          <w:b/>
        </w:rPr>
        <w:t xml:space="preserve">• </w:t>
      </w:r>
      <w:r>
        <w:t>High-availability deployment.</w:t>
      </w:r>
    </w:p>
    <w:p>
      <w:pPr>
        <w:pStyle w:val="ListBody"/>
        <w:ind w:left="490" w:hanging="331"/>
      </w:pPr>
      <w:r>
        <w:rPr>
          <w:b/>
        </w:rPr>
        <w:t xml:space="preserve">• </w:t>
      </w:r>
      <w:r>
        <w:t>Independent approval processes.</w:t>
      </w:r>
    </w:p>
    <w:p>
      <w:pPr/>
      <w:r>
        <w:t>The system must function in Personal Core mode without assuming Institutional Profile data agreements exist.</w:t>
      </w:r>
    </w:p>
    <w:p>
      <w:pPr>
        <w:spacing w:after="0"/>
      </w:pPr>
      <w:r/>
    </w:p>
    <w:p>
      <w:pPr>
        <w:pStyle w:val="Heading1"/>
        <w:pBdr>
          <w:bottom w:val="single" w:sz="4" w:space="5" w:color="7A9AAA"/>
        </w:pBdr>
        <w:keepNext/>
      </w:pPr>
      <w:r>
        <w:t>5. Formula integrity standard</w:t>
      </w:r>
    </w:p>
    <w:p>
      <w:pPr/>
      <w:r>
        <w:t>All formulas must have one canonical machine-readable source.</w:t>
      </w:r>
    </w:p>
    <w:p>
      <w:pPr/>
      <w:r>
        <w:t>The system must not rely on LaTeX rendering as the only copy of a formula.</w:t>
      </w:r>
    </w:p>
    <w:p>
      <w:pPr>
        <w:pStyle w:val="Heading2"/>
        <w:keepNext/>
      </w:pPr>
      <w:r>
        <w:t>5.1 Formula registry</w:t>
      </w:r>
    </w:p>
    <w:p>
      <w:pPr/>
      <w:r>
        <w:t>Every formula must store:</w:t>
      </w:r>
    </w:p>
    <w:p>
      <w:pPr/>
      <w:r>
        <w:t>formula_id</w:t>
        <w:br/>
        <w:t>formula_version</w:t>
        <w:br/>
        <w:t>formula_name</w:t>
        <w:br/>
        <w:t>plain_text_expression</w:t>
        <w:br/>
        <w:t>machine_expression</w:t>
        <w:br/>
        <w:t>variable_dictionary</w:t>
        <w:br/>
        <w:t>input_units</w:t>
        <w:br/>
        <w:t>output_unit</w:t>
        <w:br/>
        <w:t>valid_input_range</w:t>
        <w:br/>
        <w:t>zero_division_rule</w:t>
        <w:br/>
        <w:t>missing_value_rule</w:t>
        <w:br/>
        <w:t>test_cases</w:t>
        <w:br/>
        <w:t>owner</w:t>
        <w:br/>
        <w:t>approval_status</w:t>
      </w:r>
    </w:p>
    <w:p>
      <w:pPr>
        <w:pStyle w:val="Heading2"/>
        <w:keepNext/>
      </w:pPr>
      <w:r>
        <w:t>5.2 Canonical representation</w:t>
      </w:r>
    </w:p>
    <w:p>
      <w:pPr/>
      <w:r>
        <w:t>Each formula must exist in three forms:</w:t>
      </w:r>
    </w:p>
    <w:p>
      <w:pPr>
        <w:pStyle w:val="ListBody"/>
        <w:ind w:left="490" w:hanging="331"/>
      </w:pPr>
      <w:r>
        <w:rPr>
          <w:b/>
        </w:rPr>
        <w:t xml:space="preserve">1. </w:t>
      </w:r>
      <w:r>
        <w:t>Executable code.</w:t>
      </w:r>
    </w:p>
    <w:p>
      <w:pPr>
        <w:pStyle w:val="ListBody"/>
        <w:ind w:left="490" w:hanging="331"/>
      </w:pPr>
      <w:r>
        <w:rPr>
          <w:b/>
        </w:rPr>
        <w:t xml:space="preserve">2. </w:t>
      </w:r>
      <w:r>
        <w:t>Structured abstract syntax tree or JSON expression.</w:t>
      </w:r>
    </w:p>
    <w:p>
      <w:pPr>
        <w:pStyle w:val="ListBody"/>
        <w:ind w:left="490" w:hanging="331"/>
      </w:pPr>
      <w:r>
        <w:rPr>
          <w:b/>
        </w:rPr>
        <w:t xml:space="preserve">3. </w:t>
      </w:r>
      <w:r>
        <w:t>Plain ASCII expression.</w:t>
      </w:r>
    </w:p>
    <w:p>
      <w:pPr/>
      <w:r>
        <w:t>Example:</w:t>
      </w:r>
    </w:p>
    <w:p>
      <w:pPr/>
      <w:r>
        <w:t>formula_id: RELATIVE_DIFFERENCE_V1</w:t>
        <w:br/>
        <w:br/>
        <w:t>plain_text_expression:</w:t>
        <w:br/>
        <w:t>abs(x1 - x2) / max(abs(x1), abs(x2), epsilon)</w:t>
        <w:br/>
        <w:br/>
        <w:t>variables:</w:t>
        <w:br/>
        <w:t>x1 = first value</w:t>
        <w:br/>
        <w:t>x2 = second value</w:t>
        <w:br/>
        <w:t>epsilon = configured positive minimum denominator</w:t>
      </w:r>
    </w:p>
    <w:p>
      <w:pPr>
        <w:pStyle w:val="Heading2"/>
        <w:keepNext/>
      </w:pPr>
      <w:r>
        <w:t>5.3 Document-generation rule</w:t>
      </w:r>
    </w:p>
    <w:p>
      <w:pPr/>
      <w:r>
        <w:t>DOCX, PDF, HTML, and dashboard equations must be rendered from the same formula registry.</w:t>
      </w:r>
    </w:p>
    <w:p>
      <w:pPr/>
      <w:r>
        <w:t>They must not be independently typed.</w:t>
      </w:r>
    </w:p>
    <w:p>
      <w:pPr>
        <w:pStyle w:val="Heading2"/>
        <w:keepNext/>
      </w:pPr>
      <w:r>
        <w:t>5.4 Formula export validation</w:t>
      </w:r>
    </w:p>
    <w:p>
      <w:pPr/>
      <w:r>
        <w:t>Before releasing a document:</w:t>
      </w:r>
    </w:p>
    <w:p>
      <w:pPr>
        <w:pStyle w:val="ListBody"/>
        <w:ind w:left="490" w:hanging="331"/>
      </w:pPr>
      <w:r>
        <w:rPr>
          <w:b/>
        </w:rPr>
        <w:t xml:space="preserve">1. </w:t>
      </w:r>
      <w:r>
        <w:t>Generate the document.</w:t>
      </w:r>
    </w:p>
    <w:p>
      <w:pPr>
        <w:pStyle w:val="ListBody"/>
        <w:ind w:left="490" w:hanging="331"/>
      </w:pPr>
      <w:r>
        <w:rPr>
          <w:b/>
        </w:rPr>
        <w:t xml:space="preserve">2. </w:t>
      </w:r>
      <w:r>
        <w:t>Extract the generated document text.</w:t>
      </w:r>
    </w:p>
    <w:p>
      <w:pPr>
        <w:pStyle w:val="ListBody"/>
        <w:ind w:left="490" w:hanging="331"/>
      </w:pPr>
      <w:r>
        <w:rPr>
          <w:b/>
        </w:rPr>
        <w:t xml:space="preserve">3. </w:t>
      </w:r>
      <w:r>
        <w:t>Verify that all required operators remain present.</w:t>
      </w:r>
    </w:p>
    <w:p>
      <w:pPr>
        <w:pStyle w:val="ListBody"/>
        <w:ind w:left="490" w:hanging="331"/>
      </w:pPr>
      <w:r>
        <w:rPr>
          <w:b/>
        </w:rPr>
        <w:t xml:space="preserve">4. </w:t>
      </w:r>
      <w:r>
        <w:t>Verify formula IDs.</w:t>
      </w:r>
    </w:p>
    <w:p>
      <w:pPr>
        <w:pStyle w:val="ListBody"/>
        <w:ind w:left="490" w:hanging="331"/>
      </w:pPr>
      <w:r>
        <w:rPr>
          <w:b/>
        </w:rPr>
        <w:t xml:space="preserve">5. </w:t>
      </w:r>
      <w:r>
        <w:t>Compare extracted expressions with the registry.</w:t>
      </w:r>
    </w:p>
    <w:p>
      <w:pPr>
        <w:pStyle w:val="ListBody"/>
        <w:ind w:left="490" w:hanging="331"/>
      </w:pPr>
      <w:r>
        <w:rPr>
          <w:b/>
        </w:rPr>
        <w:t xml:space="preserve">6. </w:t>
      </w:r>
      <w:r>
        <w:t>Render the DOCX and inspect representative pages.</w:t>
      </w:r>
    </w:p>
    <w:p>
      <w:pPr>
        <w:pStyle w:val="ListBody"/>
        <w:ind w:left="490" w:hanging="331"/>
      </w:pPr>
      <w:r>
        <w:rPr>
          <w:b/>
        </w:rPr>
        <w:t xml:space="preserve">7. </w:t>
      </w:r>
      <w:r>
        <w:t>Confirm Word document properties.</w:t>
      </w:r>
    </w:p>
    <w:p>
      <w:pPr>
        <w:pStyle w:val="ListBody"/>
        <w:ind w:left="490" w:hanging="331"/>
      </w:pPr>
      <w:r>
        <w:rPr>
          <w:b/>
        </w:rPr>
        <w:t xml:space="preserve">8. </w:t>
      </w:r>
      <w:r>
        <w:t>Confirm page and word counts are plausible.</w:t>
      </w:r>
    </w:p>
    <w:p>
      <w:pPr>
        <w:pStyle w:val="ListBody"/>
        <w:ind w:left="490" w:hanging="331"/>
      </w:pPr>
      <w:r>
        <w:rPr>
          <w:b/>
        </w:rPr>
        <w:t xml:space="preserve">9. </w:t>
      </w:r>
      <w:r>
        <w:t>Confirm no formula has an empty right-hand side.</w:t>
      </w:r>
    </w:p>
    <w:p>
      <w:pPr>
        <w:pStyle w:val="ListBody"/>
        <w:ind w:left="490" w:hanging="331"/>
      </w:pPr>
      <w:r>
        <w:rPr>
          <w:b/>
        </w:rPr>
        <w:t xml:space="preserve">10. </w:t>
      </w:r>
      <w:r>
        <w:t>Confirm no blank core-principle section exists.</w:t>
      </w:r>
    </w:p>
    <w:p>
      <w:pPr>
        <w:pStyle w:val="Heading2"/>
        <w:keepNext/>
      </w:pPr>
      <w:r>
        <w:t>5.5 Formula test requirement</w:t>
      </w:r>
    </w:p>
    <w:p>
      <w:pPr/>
      <w:r>
        <w:t>Every formula requires tests for:</w:t>
      </w:r>
    </w:p>
    <w:p>
      <w:pPr>
        <w:pStyle w:val="ListBody"/>
        <w:ind w:left="490" w:hanging="331"/>
      </w:pPr>
      <w:r>
        <w:rPr>
          <w:b/>
        </w:rPr>
        <w:t xml:space="preserve">• </w:t>
      </w:r>
      <w:r>
        <w:t>Normal input.</w:t>
      </w:r>
    </w:p>
    <w:p>
      <w:pPr>
        <w:pStyle w:val="ListBody"/>
        <w:ind w:left="490" w:hanging="331"/>
      </w:pPr>
      <w:r>
        <w:rPr>
          <w:b/>
        </w:rPr>
        <w:t xml:space="preserve">• </w:t>
      </w:r>
      <w:r>
        <w:t>Zero denominator.</w:t>
      </w:r>
    </w:p>
    <w:p>
      <w:pPr>
        <w:pStyle w:val="ListBody"/>
        <w:ind w:left="490" w:hanging="331"/>
      </w:pPr>
      <w:r>
        <w:rPr>
          <w:b/>
        </w:rPr>
        <w:t xml:space="preserve">• </w:t>
      </w:r>
      <w:r>
        <w:t>Negative values.</w:t>
      </w:r>
    </w:p>
    <w:p>
      <w:pPr>
        <w:pStyle w:val="ListBody"/>
        <w:ind w:left="490" w:hanging="331"/>
      </w:pPr>
      <w:r>
        <w:rPr>
          <w:b/>
        </w:rPr>
        <w:t xml:space="preserve">• </w:t>
      </w:r>
      <w:r>
        <w:t>Missing values.</w:t>
      </w:r>
    </w:p>
    <w:p>
      <w:pPr>
        <w:pStyle w:val="ListBody"/>
        <w:ind w:left="490" w:hanging="331"/>
      </w:pPr>
      <w:r>
        <w:rPr>
          <w:b/>
        </w:rPr>
        <w:t xml:space="preserve">• </w:t>
      </w:r>
      <w:r>
        <w:t>Extreme values.</w:t>
      </w:r>
    </w:p>
    <w:p>
      <w:pPr>
        <w:pStyle w:val="ListBody"/>
        <w:ind w:left="490" w:hanging="331"/>
      </w:pPr>
      <w:r>
        <w:rPr>
          <w:b/>
        </w:rPr>
        <w:t xml:space="preserve">• </w:t>
      </w:r>
      <w:r>
        <w:t>Unit consistency.</w:t>
      </w:r>
    </w:p>
    <w:p>
      <w:pPr>
        <w:pStyle w:val="ListBody"/>
        <w:ind w:left="490" w:hanging="331"/>
      </w:pPr>
      <w:r>
        <w:rPr>
          <w:b/>
        </w:rPr>
        <w:t xml:space="preserve">• </w:t>
      </w:r>
      <w:r>
        <w:t>Boundary values.</w:t>
      </w:r>
    </w:p>
    <w:p>
      <w:pPr>
        <w:pStyle w:val="ListBody"/>
        <w:ind w:left="490" w:hanging="331"/>
      </w:pPr>
      <w:r>
        <w:rPr>
          <w:b/>
        </w:rPr>
        <w:t xml:space="preserve">• </w:t>
      </w:r>
      <w:r>
        <w:t>Expected output range.</w:t>
      </w:r>
    </w:p>
    <w:p>
      <w:pPr>
        <w:spacing w:after="0"/>
      </w:pPr>
      <w:r/>
    </w:p>
    <w:p>
      <w:pPr>
        <w:pStyle w:val="Heading1"/>
        <w:pBdr>
          <w:bottom w:val="single" w:sz="4" w:space="5" w:color="7A9AAA"/>
        </w:pBdr>
        <w:keepNext/>
      </w:pPr>
      <w:r>
        <w:t>6. Evidence classification</w:t>
      </w:r>
    </w:p>
    <w:p>
      <w:pPr/>
      <w:r>
        <w:t>Every statement in the system must be classified as one of:</w:t>
      </w:r>
    </w:p>
    <w:p>
      <w:pPr>
        <w:pStyle w:val="ListBody"/>
        <w:ind w:left="490" w:hanging="331"/>
      </w:pPr>
      <w:r>
        <w:rPr>
          <w:b/>
        </w:rPr>
        <w:t xml:space="preserve">1. </w:t>
      </w:r>
      <w:r>
        <w:t>Reported Fact.</w:t>
      </w:r>
    </w:p>
    <w:p>
      <w:pPr>
        <w:pStyle w:val="ListBody"/>
        <w:ind w:left="490" w:hanging="331"/>
      </w:pPr>
      <w:r>
        <w:rPr>
          <w:b/>
        </w:rPr>
        <w:t xml:space="preserve">2. </w:t>
      </w:r>
      <w:r>
        <w:t>Calculated Metric.</w:t>
      </w:r>
    </w:p>
    <w:p>
      <w:pPr>
        <w:pStyle w:val="ListBody"/>
        <w:ind w:left="490" w:hanging="331"/>
      </w:pPr>
      <w:r>
        <w:rPr>
          <w:b/>
        </w:rPr>
        <w:t xml:space="preserve">3. </w:t>
      </w:r>
      <w:r>
        <w:t>Management Assertion.</w:t>
      </w:r>
    </w:p>
    <w:p>
      <w:pPr>
        <w:pStyle w:val="ListBody"/>
        <w:ind w:left="490" w:hanging="331"/>
      </w:pPr>
      <w:r>
        <w:rPr>
          <w:b/>
        </w:rPr>
        <w:t xml:space="preserve">4. </w:t>
      </w:r>
      <w:r>
        <w:t>Third-Party Estimate.</w:t>
      </w:r>
    </w:p>
    <w:p>
      <w:pPr>
        <w:pStyle w:val="ListBody"/>
        <w:ind w:left="490" w:hanging="331"/>
      </w:pPr>
      <w:r>
        <w:rPr>
          <w:b/>
        </w:rPr>
        <w:t xml:space="preserve">5. </w:t>
      </w:r>
      <w:r>
        <w:t>Analyst Estimate.</w:t>
      </w:r>
    </w:p>
    <w:p>
      <w:pPr>
        <w:pStyle w:val="ListBody"/>
        <w:ind w:left="490" w:hanging="331"/>
      </w:pPr>
      <w:r>
        <w:rPr>
          <w:b/>
        </w:rPr>
        <w:t xml:space="preserve">6. </w:t>
      </w:r>
      <w:r>
        <w:t>AI Inference.</w:t>
      </w:r>
    </w:p>
    <w:p>
      <w:pPr>
        <w:pStyle w:val="ListBody"/>
        <w:ind w:left="490" w:hanging="331"/>
      </w:pPr>
      <w:r>
        <w:rPr>
          <w:b/>
        </w:rPr>
        <w:t xml:space="preserve">7. </w:t>
      </w:r>
      <w:r>
        <w:t>Unverified Allegation.</w:t>
      </w:r>
    </w:p>
    <w:p>
      <w:pPr>
        <w:pStyle w:val="ListBody"/>
        <w:ind w:left="490" w:hanging="331"/>
      </w:pPr>
      <w:r>
        <w:rPr>
          <w:b/>
        </w:rPr>
        <w:t xml:space="preserve">8. </w:t>
      </w:r>
      <w:r>
        <w:t>Regulatory Finding.</w:t>
      </w:r>
    </w:p>
    <w:p>
      <w:pPr>
        <w:pStyle w:val="ListBody"/>
        <w:ind w:left="490" w:hanging="331"/>
      </w:pPr>
      <w:r>
        <w:rPr>
          <w:b/>
        </w:rPr>
        <w:t xml:space="preserve">9. </w:t>
      </w:r>
      <w:r>
        <w:t>System-Generated Alert.</w:t>
      </w:r>
    </w:p>
    <w:p>
      <w:pPr>
        <w:pStyle w:val="Heading2"/>
        <w:keepNext/>
      </w:pPr>
      <w:r>
        <w:t>6.1 Reported Fact</w:t>
      </w:r>
    </w:p>
    <w:p>
      <w:pPr/>
      <w:r>
        <w:t>A value or statement directly contained in a primary document.</w:t>
      </w:r>
    </w:p>
    <w:p>
      <w:pPr/>
      <w:r>
        <w:t>Examples:</w:t>
      </w:r>
    </w:p>
    <w:p>
      <w:pPr>
        <w:pStyle w:val="ListBody"/>
        <w:ind w:left="490" w:hanging="331"/>
      </w:pPr>
      <w:r>
        <w:rPr>
          <w:b/>
        </w:rPr>
        <w:t xml:space="preserve">• </w:t>
      </w:r>
      <w:r>
        <w:t>Reported revenue.</w:t>
      </w:r>
    </w:p>
    <w:p>
      <w:pPr>
        <w:pStyle w:val="ListBody"/>
        <w:ind w:left="490" w:hanging="331"/>
      </w:pPr>
      <w:r>
        <w:rPr>
          <w:b/>
        </w:rPr>
        <w:t xml:space="preserve">• </w:t>
      </w:r>
      <w:r>
        <w:t>Reported debt.</w:t>
      </w:r>
    </w:p>
    <w:p>
      <w:pPr>
        <w:pStyle w:val="ListBody"/>
        <w:ind w:left="490" w:hanging="331"/>
      </w:pPr>
      <w:r>
        <w:rPr>
          <w:b/>
        </w:rPr>
        <w:t xml:space="preserve">• </w:t>
      </w:r>
      <w:r>
        <w:t>Promoter shareholding.</w:t>
      </w:r>
    </w:p>
    <w:p>
      <w:pPr>
        <w:pStyle w:val="ListBody"/>
        <w:ind w:left="490" w:hanging="331"/>
      </w:pPr>
      <w:r>
        <w:rPr>
          <w:b/>
        </w:rPr>
        <w:t xml:space="preserve">• </w:t>
      </w:r>
      <w:r>
        <w:t>Auditor opinion.</w:t>
      </w:r>
    </w:p>
    <w:p>
      <w:pPr>
        <w:pStyle w:val="Heading2"/>
        <w:keepNext/>
      </w:pPr>
      <w:r>
        <w:t>6.2 Calculated Metric</w:t>
      </w:r>
    </w:p>
    <w:p>
      <w:pPr/>
      <w:r>
        <w:t>A value produced from reported or normalized inputs.</w:t>
      </w:r>
    </w:p>
    <w:p>
      <w:pPr/>
      <w:r>
        <w:t>Examples:</w:t>
      </w:r>
    </w:p>
    <w:p>
      <w:pPr>
        <w:pStyle w:val="ListBody"/>
        <w:ind w:left="490" w:hanging="331"/>
      </w:pPr>
      <w:r>
        <w:rPr>
          <w:b/>
        </w:rPr>
        <w:t xml:space="preserve">• </w:t>
      </w:r>
      <w:r>
        <w:t>ROIC.</w:t>
      </w:r>
    </w:p>
    <w:p>
      <w:pPr>
        <w:pStyle w:val="ListBody"/>
        <w:ind w:left="490" w:hanging="331"/>
      </w:pPr>
      <w:r>
        <w:rPr>
          <w:b/>
        </w:rPr>
        <w:t xml:space="preserve">• </w:t>
      </w:r>
      <w:r>
        <w:t>CFO/PAT.</w:t>
      </w:r>
    </w:p>
    <w:p>
      <w:pPr>
        <w:pStyle w:val="ListBody"/>
        <w:ind w:left="490" w:hanging="331"/>
      </w:pPr>
      <w:r>
        <w:rPr>
          <w:b/>
        </w:rPr>
        <w:t xml:space="preserve">• </w:t>
      </w:r>
      <w:r>
        <w:t>Relative strength.</w:t>
      </w:r>
    </w:p>
    <w:p>
      <w:pPr>
        <w:pStyle w:val="ListBody"/>
        <w:ind w:left="490" w:hanging="331"/>
      </w:pPr>
      <w:r>
        <w:rPr>
          <w:b/>
        </w:rPr>
        <w:t xml:space="preserve">• </w:t>
      </w:r>
      <w:r>
        <w:t>Candidate Score.</w:t>
      </w:r>
    </w:p>
    <w:p>
      <w:pPr>
        <w:pStyle w:val="Heading2"/>
        <w:keepNext/>
      </w:pPr>
      <w:r>
        <w:t>6.3 Management Assertion</w:t>
      </w:r>
    </w:p>
    <w:p>
      <w:pPr/>
      <w:r>
        <w:t>A claim made by company management.</w:t>
      </w:r>
    </w:p>
    <w:p>
      <w:pPr/>
      <w:r>
        <w:t>Examples:</w:t>
      </w:r>
    </w:p>
    <w:p>
      <w:pPr>
        <w:pStyle w:val="ListBody"/>
        <w:ind w:left="490" w:hanging="331"/>
      </w:pPr>
      <w:r>
        <w:rPr>
          <w:b/>
        </w:rPr>
        <w:t xml:space="preserve">• </w:t>
      </w:r>
      <w:r>
        <w:t>Expected capacity utilization.</w:t>
      </w:r>
    </w:p>
    <w:p>
      <w:pPr>
        <w:pStyle w:val="ListBody"/>
        <w:ind w:left="490" w:hanging="331"/>
      </w:pPr>
      <w:r>
        <w:rPr>
          <w:b/>
        </w:rPr>
        <w:t xml:space="preserve">• </w:t>
      </w:r>
      <w:r>
        <w:t>Margin guidance.</w:t>
      </w:r>
    </w:p>
    <w:p>
      <w:pPr>
        <w:pStyle w:val="ListBody"/>
        <w:ind w:left="490" w:hanging="331"/>
      </w:pPr>
      <w:r>
        <w:rPr>
          <w:b/>
        </w:rPr>
        <w:t xml:space="preserve">• </w:t>
      </w:r>
      <w:r>
        <w:t>Market-share claim.</w:t>
      </w:r>
    </w:p>
    <w:p>
      <w:pPr/>
      <w:r>
        <w:t>Management assertions are not verified facts.</w:t>
      </w:r>
    </w:p>
    <w:p>
      <w:pPr>
        <w:pStyle w:val="Heading2"/>
        <w:keepNext/>
      </w:pPr>
      <w:r>
        <w:t>6.4 Third-Party Estimate</w:t>
      </w:r>
    </w:p>
    <w:p>
      <w:pPr/>
      <w:r>
        <w:t>A forecast from a vendor, broker, or research source.</w:t>
      </w:r>
    </w:p>
    <w:p>
      <w:pPr>
        <w:pStyle w:val="Heading2"/>
        <w:keepNext/>
      </w:pPr>
      <w:r>
        <w:t>6.5 Analyst Estimate</w:t>
      </w:r>
    </w:p>
    <w:p>
      <w:pPr/>
      <w:r>
        <w:t>An internally produced assumption.</w:t>
      </w:r>
    </w:p>
    <w:p>
      <w:pPr>
        <w:pStyle w:val="Heading2"/>
        <w:keepNext/>
      </w:pPr>
      <w:r>
        <w:t>6.6 AI Inference</w:t>
      </w:r>
    </w:p>
    <w:p>
      <w:pPr/>
      <w:r>
        <w:t>A conclusion produced through automated text analysis.</w:t>
      </w:r>
    </w:p>
    <w:p>
      <w:pPr/>
      <w:r>
        <w:t>AI inferences must display:</w:t>
      </w:r>
    </w:p>
    <w:p>
      <w:pPr>
        <w:pStyle w:val="ListBody"/>
        <w:ind w:left="490" w:hanging="331"/>
      </w:pPr>
      <w:r>
        <w:rPr>
          <w:b/>
        </w:rPr>
        <w:t xml:space="preserve">• </w:t>
      </w:r>
      <w:r>
        <w:t>Supporting documents.</w:t>
      </w:r>
    </w:p>
    <w:p>
      <w:pPr>
        <w:pStyle w:val="ListBody"/>
        <w:ind w:left="490" w:hanging="331"/>
      </w:pPr>
      <w:r>
        <w:rPr>
          <w:b/>
        </w:rPr>
        <w:t xml:space="preserve">• </w:t>
      </w:r>
      <w:r>
        <w:t>Confidence.</w:t>
      </w:r>
    </w:p>
    <w:p>
      <w:pPr>
        <w:pStyle w:val="ListBody"/>
        <w:ind w:left="490" w:hanging="331"/>
      </w:pPr>
      <w:r>
        <w:rPr>
          <w:b/>
        </w:rPr>
        <w:t xml:space="preserve">• </w:t>
      </w:r>
      <w:r>
        <w:t>Contradictory evidence.</w:t>
      </w:r>
    </w:p>
    <w:p>
      <w:pPr>
        <w:pStyle w:val="ListBody"/>
        <w:ind w:left="490" w:hanging="331"/>
      </w:pPr>
      <w:r>
        <w:rPr>
          <w:b/>
        </w:rPr>
        <w:t xml:space="preserve">• </w:t>
      </w:r>
      <w:r>
        <w:t>Review status.</w:t>
      </w:r>
    </w:p>
    <w:p>
      <w:pPr>
        <w:pStyle w:val="Heading2"/>
        <w:keepNext/>
      </w:pPr>
      <w:r>
        <w:t>6.7 Unverified Allegation</w:t>
      </w:r>
    </w:p>
    <w:p>
      <w:pPr/>
      <w:r>
        <w:t>An allegation lacking authoritative confirmation.</w:t>
      </w:r>
    </w:p>
    <w:p>
      <w:pPr/>
      <w:r>
        <w:t>It cannot independently trigger a fraud determination.</w:t>
      </w:r>
    </w:p>
    <w:p>
      <w:pPr>
        <w:pStyle w:val="Heading2"/>
        <w:keepNext/>
      </w:pPr>
      <w:r>
        <w:t>6.8 Regulatory Finding</w:t>
      </w:r>
    </w:p>
    <w:p>
      <w:pPr/>
      <w:r>
        <w:t>A finding or order from an authorized regulator, court, tribunal, exchange, or rating agency.</w:t>
      </w:r>
    </w:p>
    <w:p>
      <w:pPr>
        <w:spacing w:after="0"/>
      </w:pPr>
      <w:r/>
    </w:p>
    <w:p>
      <w:pPr>
        <w:pStyle w:val="Heading1"/>
        <w:pBdr>
          <w:bottom w:val="single" w:sz="4" w:space="5" w:color="7A9AAA"/>
        </w:pBdr>
        <w:keepNext/>
      </w:pPr>
      <w:r>
        <w:t>7. Decision-layer separation</w:t>
      </w:r>
    </w:p>
    <w:p>
      <w:pPr/>
      <w:r>
        <w:t>The platform must keep the following distinct:</w:t>
      </w:r>
    </w:p>
    <w:p>
      <w:pPr/>
      <w:r>
        <w:t>Business Quality</w:t>
        <w:br/>
        <w:t>Growth Quality</w:t>
        <w:br/>
        <w:t>Financial Resilience</w:t>
        <w:br/>
        <w:t>Accounting Integrity</w:t>
        <w:br/>
        <w:t>Governance Risk</w:t>
        <w:br/>
        <w:t>Valuation</w:t>
        <w:br/>
        <w:t>Market Trend</w:t>
        <w:br/>
        <w:t>Signal Timing</w:t>
        <w:br/>
        <w:t>Expected Return</w:t>
        <w:br/>
        <w:t>Portfolio Suitability</w:t>
        <w:br/>
        <w:t>Position Size</w:t>
        <w:br/>
        <w:t>Execution Feasibility</w:t>
      </w:r>
    </w:p>
    <w:p>
      <w:pPr/>
      <w:r>
        <w:t>These are not interchangeable.</w:t>
      </w:r>
    </w:p>
    <w:p>
      <w:pPr>
        <w:pStyle w:val="Heading2"/>
        <w:keepNext/>
      </w:pPr>
      <w:r>
        <w:t>Examples</w:t>
      </w:r>
    </w:p>
    <w:p>
      <w:pPr/>
      <w:r>
        <w:t>A company may have:</w:t>
      </w:r>
    </w:p>
    <w:p>
      <w:pPr/>
      <w:r>
        <w:t>Business Quality: 90</w:t>
        <w:br/>
        <w:t>Valuation: 35</w:t>
        <w:br/>
        <w:t>Long-Term Recommendation: HOLD</w:t>
        <w:br/>
        <w:t>Daily Signal: REDUCE</w:t>
      </w:r>
    </w:p>
    <w:p>
      <w:pPr/>
      <w:r>
        <w:t>Another company may have:</w:t>
      </w:r>
    </w:p>
    <w:p>
      <w:pPr/>
      <w:r>
        <w:t>Business Quality: 55</w:t>
        <w:br/>
        <w:t>Valuation: 85</w:t>
        <w:br/>
        <w:t>Governance Risk: HIGH</w:t>
        <w:br/>
        <w:t>Action: AVOID</w:t>
      </w:r>
    </w:p>
    <w:p>
      <w:pPr/>
      <w:r>
        <w:t>Another company may have:</w:t>
      </w:r>
    </w:p>
    <w:p>
      <w:pPr/>
      <w:r>
        <w:t>Candidate Score: 82</w:t>
        <w:br/>
        <w:t>Liquidity Score: 20</w:t>
        <w:br/>
        <w:t>Position Capacity: ZERO</w:t>
      </w:r>
    </w:p>
    <w:p>
      <w:pPr/>
      <w:r>
        <w:t>The final action must be derived from the relevant layers rather than one total score.</w:t>
      </w:r>
    </w:p>
    <w:p>
      <w:pPr>
        <w:spacing w:after="0"/>
      </w:pPr>
      <w:r/>
    </w:p>
    <w:p>
      <w:pPr>
        <w:pStyle w:val="Heading1"/>
        <w:pBdr>
          <w:bottom w:val="single" w:sz="4" w:space="5" w:color="7A9AAA"/>
        </w:pBdr>
        <w:keepNext/>
      </w:pPr>
      <w:r>
        <w:t>8. System operating modes</w:t>
      </w:r>
    </w:p>
    <w:p>
      <w:pPr>
        <w:pStyle w:val="Heading2"/>
        <w:keepNext/>
      </w:pPr>
      <w:r>
        <w:t>8.1 Research Only</w:t>
      </w:r>
    </w:p>
    <w:p>
      <w:pPr>
        <w:pStyle w:val="ListBody"/>
        <w:ind w:left="490" w:hanging="331"/>
      </w:pPr>
      <w:r>
        <w:rPr>
          <w:b/>
        </w:rPr>
        <w:t xml:space="preserve">• </w:t>
      </w:r>
      <w:r>
        <w:t>Rankings.</w:t>
      </w:r>
    </w:p>
    <w:p>
      <w:pPr>
        <w:pStyle w:val="ListBody"/>
        <w:ind w:left="490" w:hanging="331"/>
      </w:pPr>
      <w:r>
        <w:rPr>
          <w:b/>
        </w:rPr>
        <w:t xml:space="preserve">• </w:t>
      </w:r>
      <w:r>
        <w:t>Research.</w:t>
      </w:r>
    </w:p>
    <w:p>
      <w:pPr>
        <w:pStyle w:val="ListBody"/>
        <w:ind w:left="490" w:hanging="331"/>
      </w:pPr>
      <w:r>
        <w:rPr>
          <w:b/>
        </w:rPr>
        <w:t xml:space="preserve">• </w:t>
      </w:r>
      <w:r>
        <w:t>Valuation.</w:t>
      </w:r>
    </w:p>
    <w:p>
      <w:pPr>
        <w:pStyle w:val="ListBody"/>
        <w:ind w:left="490" w:hanging="331"/>
      </w:pPr>
      <w:r>
        <w:rPr>
          <w:b/>
        </w:rPr>
        <w:t xml:space="preserve">• </w:t>
      </w:r>
      <w:r>
        <w:t>Watchlists.</w:t>
      </w:r>
    </w:p>
    <w:p>
      <w:pPr>
        <w:pStyle w:val="ListBody"/>
        <w:ind w:left="490" w:hanging="331"/>
      </w:pPr>
      <w:r>
        <w:rPr>
          <w:b/>
        </w:rPr>
        <w:t xml:space="preserve">• </w:t>
      </w:r>
      <w:r>
        <w:t>No order generation.</w:t>
      </w:r>
    </w:p>
    <w:p>
      <w:pPr>
        <w:pStyle w:val="Heading2"/>
        <w:keepNext/>
      </w:pPr>
      <w:r>
        <w:t>8.2 Alert Only</w:t>
      </w:r>
    </w:p>
    <w:p>
      <w:pPr>
        <w:pStyle w:val="ListBody"/>
        <w:ind w:left="490" w:hanging="331"/>
      </w:pPr>
      <w:r>
        <w:rPr>
          <w:b/>
        </w:rPr>
        <w:t xml:space="preserve">• </w:t>
      </w:r>
      <w:r>
        <w:t>Signals and alerts.</w:t>
      </w:r>
    </w:p>
    <w:p>
      <w:pPr>
        <w:pStyle w:val="ListBody"/>
        <w:ind w:left="490" w:hanging="331"/>
      </w:pPr>
      <w:r>
        <w:rPr>
          <w:b/>
        </w:rPr>
        <w:t xml:space="preserve">• </w:t>
      </w:r>
      <w:r>
        <w:t>No order proposal.</w:t>
      </w:r>
    </w:p>
    <w:p>
      <w:pPr>
        <w:pStyle w:val="Heading2"/>
        <w:keepNext/>
      </w:pPr>
      <w:r>
        <w:t>8.3 Paper Trading</w:t>
      </w:r>
    </w:p>
    <w:p>
      <w:pPr>
        <w:pStyle w:val="ListBody"/>
        <w:ind w:left="490" w:hanging="331"/>
      </w:pPr>
      <w:r>
        <w:rPr>
          <w:b/>
        </w:rPr>
        <w:t xml:space="preserve">• </w:t>
      </w:r>
      <w:r>
        <w:t>Simulated orders.</w:t>
      </w:r>
    </w:p>
    <w:p>
      <w:pPr>
        <w:pStyle w:val="ListBody"/>
        <w:ind w:left="490" w:hanging="331"/>
      </w:pPr>
      <w:r>
        <w:rPr>
          <w:b/>
        </w:rPr>
        <w:t xml:space="preserve">• </w:t>
      </w:r>
      <w:r>
        <w:t>Simulated fills.</w:t>
      </w:r>
    </w:p>
    <w:p>
      <w:pPr>
        <w:pStyle w:val="ListBody"/>
        <w:ind w:left="490" w:hanging="331"/>
      </w:pPr>
      <w:r>
        <w:rPr>
          <w:b/>
        </w:rPr>
        <w:t xml:space="preserve">• </w:t>
      </w:r>
      <w:r>
        <w:t>Separate paper portfolio.</w:t>
      </w:r>
    </w:p>
    <w:p>
      <w:pPr>
        <w:pStyle w:val="ListBody"/>
        <w:ind w:left="490" w:hanging="331"/>
      </w:pPr>
      <w:r>
        <w:rPr>
          <w:b/>
        </w:rPr>
        <w:t xml:space="preserve">• </w:t>
      </w:r>
      <w:r>
        <w:t>No live broker orders.</w:t>
      </w:r>
    </w:p>
    <w:p>
      <w:pPr>
        <w:pStyle w:val="Heading2"/>
        <w:keepNext/>
      </w:pPr>
      <w:r>
        <w:t>8.4 Manual Confirmation</w:t>
      </w:r>
    </w:p>
    <w:p>
      <w:pPr>
        <w:pStyle w:val="ListBody"/>
        <w:ind w:left="490" w:hanging="331"/>
      </w:pPr>
      <w:r>
        <w:rPr>
          <w:b/>
        </w:rPr>
        <w:t xml:space="preserve">• </w:t>
      </w:r>
      <w:r>
        <w:t>System generates order proposal.</w:t>
      </w:r>
    </w:p>
    <w:p>
      <w:pPr>
        <w:pStyle w:val="ListBody"/>
        <w:ind w:left="490" w:hanging="331"/>
      </w:pPr>
      <w:r>
        <w:rPr>
          <w:b/>
        </w:rPr>
        <w:t xml:space="preserve">• </w:t>
      </w:r>
      <w:r>
        <w:t>User reviews:</w:t>
      </w:r>
    </w:p>
    <w:p>
      <w:pPr>
        <w:pStyle w:val="ListBody"/>
        <w:ind w:left="893" w:hanging="331"/>
      </w:pPr>
      <w:r>
        <w:rPr>
          <w:b/>
        </w:rPr>
        <w:t xml:space="preserve">– </w:t>
      </w:r>
      <w:r>
        <w:t>Instrument.</w:t>
      </w:r>
    </w:p>
    <w:p>
      <w:pPr>
        <w:pStyle w:val="ListBody"/>
        <w:ind w:left="893" w:hanging="331"/>
      </w:pPr>
      <w:r>
        <w:rPr>
          <w:b/>
        </w:rPr>
        <w:t xml:space="preserve">– </w:t>
      </w:r>
      <w:r>
        <w:t>Quantity.</w:t>
      </w:r>
    </w:p>
    <w:p>
      <w:pPr>
        <w:pStyle w:val="ListBody"/>
        <w:ind w:left="893" w:hanging="331"/>
      </w:pPr>
      <w:r>
        <w:rPr>
          <w:b/>
        </w:rPr>
        <w:t xml:space="preserve">– </w:t>
      </w:r>
      <w:r>
        <w:t>Price.</w:t>
      </w:r>
    </w:p>
    <w:p>
      <w:pPr>
        <w:pStyle w:val="ListBody"/>
        <w:ind w:left="893" w:hanging="331"/>
      </w:pPr>
      <w:r>
        <w:rPr>
          <w:b/>
        </w:rPr>
        <w:t xml:space="preserve">– </w:t>
      </w:r>
      <w:r>
        <w:t>Product.</w:t>
      </w:r>
    </w:p>
    <w:p>
      <w:pPr>
        <w:pStyle w:val="ListBody"/>
        <w:ind w:left="893" w:hanging="331"/>
      </w:pPr>
      <w:r>
        <w:rPr>
          <w:b/>
        </w:rPr>
        <w:t xml:space="preserve">– </w:t>
      </w:r>
      <w:r>
        <w:t>Risk.</w:t>
      </w:r>
    </w:p>
    <w:p>
      <w:pPr>
        <w:pStyle w:val="ListBody"/>
        <w:ind w:left="893" w:hanging="331"/>
      </w:pPr>
      <w:r>
        <w:rPr>
          <w:b/>
        </w:rPr>
        <w:t xml:space="preserve">– </w:t>
      </w:r>
      <w:r>
        <w:t>Broker.</w:t>
      </w:r>
    </w:p>
    <w:p>
      <w:pPr>
        <w:pStyle w:val="ListBody"/>
        <w:ind w:left="490" w:hanging="331"/>
      </w:pPr>
      <w:r>
        <w:rPr>
          <w:b/>
        </w:rPr>
        <w:t xml:space="preserve">• </w:t>
      </w:r>
      <w:r>
        <w:t>User confirms each specific order.</w:t>
      </w:r>
    </w:p>
    <w:p>
      <w:pPr>
        <w:pStyle w:val="Heading2"/>
        <w:keepNext/>
      </w:pPr>
      <w:r>
        <w:t>8.5 Semi-Automatic</w:t>
      </w:r>
    </w:p>
    <w:p>
      <w:pPr>
        <w:pStyle w:val="ListBody"/>
        <w:ind w:left="490" w:hanging="331"/>
      </w:pPr>
      <w:r>
        <w:rPr>
          <w:b/>
        </w:rPr>
        <w:t xml:space="preserve">• </w:t>
      </w:r>
      <w:r>
        <w:t>Only approved strategies.</w:t>
      </w:r>
    </w:p>
    <w:p>
      <w:pPr>
        <w:pStyle w:val="ListBody"/>
        <w:ind w:left="490" w:hanging="331"/>
      </w:pPr>
      <w:r>
        <w:rPr>
          <w:b/>
        </w:rPr>
        <w:t xml:space="preserve">• </w:t>
      </w:r>
      <w:r>
        <w:t>Only approved universes.</w:t>
      </w:r>
    </w:p>
    <w:p>
      <w:pPr>
        <w:pStyle w:val="ListBody"/>
        <w:ind w:left="490" w:hanging="331"/>
      </w:pPr>
      <w:r>
        <w:rPr>
          <w:b/>
        </w:rPr>
        <w:t xml:space="preserve">• </w:t>
      </w:r>
      <w:r>
        <w:t>Only approved brokers.</w:t>
      </w:r>
    </w:p>
    <w:p>
      <w:pPr>
        <w:pStyle w:val="ListBody"/>
        <w:ind w:left="490" w:hanging="331"/>
      </w:pPr>
      <w:r>
        <w:rPr>
          <w:b/>
        </w:rPr>
        <w:t xml:space="preserve">• </w:t>
      </w:r>
      <w:r>
        <w:t>Mandatory position and risk limits.</w:t>
      </w:r>
    </w:p>
    <w:p>
      <w:pPr>
        <w:pStyle w:val="ListBody"/>
        <w:ind w:left="490" w:hanging="331"/>
      </w:pPr>
      <w:r>
        <w:rPr>
          <w:b/>
        </w:rPr>
        <w:t xml:space="preserve">• </w:t>
      </w:r>
      <w:r>
        <w:t>Broker and exchange classification required.</w:t>
      </w:r>
    </w:p>
    <w:p>
      <w:pPr>
        <w:pStyle w:val="Heading2"/>
        <w:keepNext/>
      </w:pPr>
      <w:r>
        <w:t>8.6 Automatic</w:t>
      </w:r>
    </w:p>
    <w:p>
      <w:pPr/>
      <w:r>
        <w:t>Requires:</w:t>
      </w:r>
    </w:p>
    <w:p>
      <w:pPr>
        <w:pStyle w:val="ListBody"/>
        <w:ind w:left="490" w:hanging="331"/>
      </w:pPr>
      <w:r>
        <w:rPr>
          <w:b/>
        </w:rPr>
        <w:t xml:space="preserve">1. </w:t>
      </w:r>
      <w:r>
        <w:t>Valid broker support.</w:t>
      </w:r>
    </w:p>
    <w:p>
      <w:pPr>
        <w:pStyle w:val="ListBody"/>
        <w:ind w:left="490" w:hanging="331"/>
      </w:pPr>
      <w:r>
        <w:rPr>
          <w:b/>
        </w:rPr>
        <w:t xml:space="preserve">2. </w:t>
      </w:r>
      <w:r>
        <w:t>Valid strategy classification.</w:t>
      </w:r>
    </w:p>
    <w:p>
      <w:pPr>
        <w:pStyle w:val="ListBody"/>
        <w:ind w:left="490" w:hanging="331"/>
      </w:pPr>
      <w:r>
        <w:rPr>
          <w:b/>
        </w:rPr>
        <w:t xml:space="preserve">3. </w:t>
      </w:r>
      <w:r>
        <w:t>Required exchange or broker registration.</w:t>
      </w:r>
    </w:p>
    <w:p>
      <w:pPr>
        <w:pStyle w:val="ListBody"/>
        <w:ind w:left="490" w:hanging="331"/>
      </w:pPr>
      <w:r>
        <w:rPr>
          <w:b/>
        </w:rPr>
        <w:t xml:space="preserve">4. </w:t>
      </w:r>
      <w:r>
        <w:t>Required algo identification.</w:t>
      </w:r>
    </w:p>
    <w:p>
      <w:pPr>
        <w:pStyle w:val="ListBody"/>
        <w:ind w:left="490" w:hanging="331"/>
      </w:pPr>
      <w:r>
        <w:rPr>
          <w:b/>
        </w:rPr>
        <w:t xml:space="preserve">5. </w:t>
      </w:r>
      <w:r>
        <w:t>Static-IP or similar controls where required.</w:t>
      </w:r>
    </w:p>
    <w:p>
      <w:pPr>
        <w:pStyle w:val="ListBody"/>
        <w:ind w:left="490" w:hanging="331"/>
      </w:pPr>
      <w:r>
        <w:rPr>
          <w:b/>
        </w:rPr>
        <w:t xml:space="preserve">6. </w:t>
      </w:r>
      <w:r>
        <w:t>Point-in-time backtest approval.</w:t>
      </w:r>
    </w:p>
    <w:p>
      <w:pPr>
        <w:pStyle w:val="ListBody"/>
        <w:ind w:left="490" w:hanging="331"/>
      </w:pPr>
      <w:r>
        <w:rPr>
          <w:b/>
        </w:rPr>
        <w:t xml:space="preserve">7. </w:t>
      </w:r>
      <w:r>
        <w:t>Paper-trading approval.</w:t>
      </w:r>
    </w:p>
    <w:p>
      <w:pPr>
        <w:pStyle w:val="ListBody"/>
        <w:ind w:left="490" w:hanging="331"/>
      </w:pPr>
      <w:r>
        <w:rPr>
          <w:b/>
        </w:rPr>
        <w:t xml:space="preserve">8. </w:t>
      </w:r>
      <w:r>
        <w:t>Kill-switch approval.</w:t>
      </w:r>
    </w:p>
    <w:p>
      <w:pPr>
        <w:pStyle w:val="ListBody"/>
        <w:ind w:left="490" w:hanging="331"/>
      </w:pPr>
      <w:r>
        <w:rPr>
          <w:b/>
        </w:rPr>
        <w:t xml:space="preserve">9. </w:t>
      </w:r>
      <w:r>
        <w:t>Duplicate-order approval.</w:t>
      </w:r>
    </w:p>
    <w:p>
      <w:pPr>
        <w:pStyle w:val="ListBody"/>
        <w:ind w:left="490" w:hanging="331"/>
      </w:pPr>
      <w:r>
        <w:rPr>
          <w:b/>
        </w:rPr>
        <w:t xml:space="preserve">10. </w:t>
      </w:r>
      <w:r>
        <w:t>Broker reconciliation approval.</w:t>
      </w:r>
    </w:p>
    <w:p>
      <w:pPr/>
      <w:r>
        <w:t>Default mode:</w:t>
      </w:r>
    </w:p>
    <w:p>
      <w:pPr>
        <w:pStyle w:val="CodeLine"/>
      </w:pPr>
      <w:r>
        <w:t>ALERT_ONLY</w:t>
      </w:r>
    </w:p>
    <w:p>
      <w:pPr>
        <w:spacing w:after="0"/>
      </w:pPr>
      <w:r/>
    </w:p>
    <w:p>
      <w:pPr>
        <w:pStyle w:val="Heading1"/>
        <w:pBdr>
          <w:bottom w:val="single" w:sz="4" w:space="5" w:color="7A9AAA"/>
        </w:pBdr>
        <w:keepNext/>
      </w:pPr>
      <w:r>
        <w:t>9. Retail-algo regulatory control</w:t>
      </w:r>
    </w:p>
    <w:p>
      <w:pPr/>
      <w:r>
        <w:t>SEBI introduced its safer retail-algo framework in February 2025, and the extended implementation schedule made the framework applicable to all stock brokers from April 1, 2026. NSE now publishes procedures for Client Direct API and retail-algo registration under its current exchange framework.</w:t>
      </w:r>
    </w:p>
    <w:p>
      <w:pPr>
        <w:pStyle w:val="Heading2"/>
        <w:keepNext/>
      </w:pPr>
      <w:r>
        <w:t>9.1 Classification rule</w:t>
      </w:r>
    </w:p>
    <w:p>
      <w:pPr/>
      <w:r>
        <w:t>The application must not assume that:</w:t>
      </w:r>
    </w:p>
    <w:p>
      <w:pPr/>
      <w:r>
        <w:t>API order = always algorithmic</w:t>
      </w:r>
    </w:p>
    <w:p>
      <w:pPr/>
      <w:r>
        <w:t>NSE’s current identification structure distinguishes algorithmic from non-algorithmic Client Direct API orders. Upstox states that its X-Algo-Name header is required when an exchange-approved algo strategy applies.</w:t>
      </w:r>
    </w:p>
    <w:p>
      <w:pPr>
        <w:pStyle w:val="Heading2"/>
        <w:keepNext/>
      </w:pPr>
      <w:r>
        <w:t>9.2 Required order classification fields</w:t>
      </w:r>
    </w:p>
    <w:p>
      <w:pPr/>
      <w:r>
        <w:t>order_origin</w:t>
        <w:br/>
        <w:t>order_generation_mode</w:t>
        <w:br/>
        <w:t>human_confirmed</w:t>
        <w:br/>
        <w:t>algorithmic_flag</w:t>
        <w:br/>
        <w:t>strategy_registration_required</w:t>
        <w:br/>
        <w:t>exchange_algo_id</w:t>
        <w:br/>
        <w:t>broker_algo_name</w:t>
        <w:br/>
        <w:t>static_ip_required</w:t>
        <w:br/>
        <w:t>broker_confirmation_reference</w:t>
      </w:r>
    </w:p>
    <w:p>
      <w:pPr>
        <w:pStyle w:val="Heading2"/>
        <w:keepNext/>
      </w:pPr>
      <w:r>
        <w:t>9.3 Mode treatment</w:t>
      </w:r>
    </w:p>
    <w:p>
      <w:pPr>
        <w:pStyle w:val="Heading3"/>
        <w:keepNext/>
      </w:pPr>
      <w:r>
        <w:t>Research, Alert, and Paper modes</w:t>
      </w:r>
    </w:p>
    <w:p>
      <w:pPr/>
      <w:r>
        <w:t>No exchange order is submitted.</w:t>
      </w:r>
    </w:p>
    <w:p>
      <w:pPr>
        <w:pStyle w:val="Heading3"/>
        <w:keepNext/>
      </w:pPr>
      <w:r>
        <w:t>Manual Confirmation mode</w:t>
      </w:r>
    </w:p>
    <w:p>
      <w:pPr/>
      <w:r>
        <w:t>The broker’s current API and exchange classification determines whether the order is treated as non-algorithmic Client Direct API or another category.</w:t>
      </w:r>
    </w:p>
    <w:p>
      <w:pPr/>
      <w:r>
        <w:t>The system must not hard-code an exemption.</w:t>
      </w:r>
    </w:p>
    <w:p>
      <w:pPr>
        <w:pStyle w:val="Heading3"/>
        <w:keepNext/>
      </w:pPr>
      <w:r>
        <w:t>Semi-Automatic and Automatic modes</w:t>
      </w:r>
    </w:p>
    <w:p>
      <w:pPr/>
      <w:r>
        <w:t>Automated strategy orders require:</w:t>
      </w:r>
    </w:p>
    <w:p>
      <w:pPr>
        <w:pStyle w:val="ListBody"/>
        <w:ind w:left="490" w:hanging="331"/>
      </w:pPr>
      <w:r>
        <w:rPr>
          <w:b/>
        </w:rPr>
        <w:t xml:space="preserve">• </w:t>
      </w:r>
      <w:r>
        <w:t>Applicable strategy registration.</w:t>
      </w:r>
    </w:p>
    <w:p>
      <w:pPr>
        <w:pStyle w:val="ListBody"/>
        <w:ind w:left="490" w:hanging="331"/>
      </w:pPr>
      <w:r>
        <w:rPr>
          <w:b/>
        </w:rPr>
        <w:t xml:space="preserve">• </w:t>
      </w:r>
      <w:r>
        <w:t>Applicable exchange identification.</w:t>
      </w:r>
    </w:p>
    <w:p>
      <w:pPr>
        <w:pStyle w:val="ListBody"/>
        <w:ind w:left="490" w:hanging="331"/>
      </w:pPr>
      <w:r>
        <w:rPr>
          <w:b/>
        </w:rPr>
        <w:t xml:space="preserve">• </w:t>
      </w:r>
      <w:r>
        <w:t>Broker-supported algo configuration.</w:t>
      </w:r>
    </w:p>
    <w:p>
      <w:pPr>
        <w:pStyle w:val="ListBody"/>
        <w:ind w:left="490" w:hanging="331"/>
      </w:pPr>
      <w:r>
        <w:rPr>
          <w:b/>
        </w:rPr>
        <w:t xml:space="preserve">• </w:t>
      </w:r>
      <w:r>
        <w:t>Required headers or fields.</w:t>
      </w:r>
    </w:p>
    <w:p>
      <w:pPr>
        <w:pStyle w:val="ListBody"/>
        <w:ind w:left="490" w:hanging="331"/>
      </w:pPr>
      <w:r>
        <w:rPr>
          <w:b/>
        </w:rPr>
        <w:t xml:space="preserve">• </w:t>
      </w:r>
      <w:r>
        <w:t>Required infrastructure controls.</w:t>
      </w:r>
    </w:p>
    <w:p>
      <w:pPr>
        <w:pStyle w:val="ListBody"/>
        <w:ind w:left="490" w:hanging="331"/>
      </w:pPr>
      <w:r>
        <w:rPr>
          <w:b/>
        </w:rPr>
        <w:t xml:space="preserve">• </w:t>
      </w:r>
      <w:r>
        <w:t>Current broker confirmation.</w:t>
      </w:r>
    </w:p>
    <w:p>
      <w:pPr>
        <w:pStyle w:val="Heading2"/>
        <w:keepNext/>
      </w:pPr>
      <w:r>
        <w:t>9.4 Broker-specific compliance</w:t>
      </w:r>
    </w:p>
    <w:p>
      <w:pPr/>
      <w:r>
        <w:t>Upstox order requests support a strategy identifier when an approved algo applies. Angel One documentation indicates static-IP validation for order-related API operations under its current API controls.</w:t>
      </w:r>
    </w:p>
    <w:p>
      <w:pPr/>
      <w:r>
        <w:t>Broker requirements must be configuration-driven and updated without rebuilding the entire system.</w:t>
      </w:r>
    </w:p>
    <w:p>
      <w:pPr>
        <w:pStyle w:val="Heading2"/>
        <w:keepNext/>
      </w:pPr>
      <w:r>
        <w:t>9.5 Distribution restriction</w:t>
      </w:r>
    </w:p>
    <w:p>
      <w:pPr/>
      <w:r>
        <w:t>A personal system used only by the account holder is different from:</w:t>
      </w:r>
    </w:p>
    <w:p>
      <w:pPr>
        <w:pStyle w:val="ListBody"/>
        <w:ind w:left="490" w:hanging="331"/>
      </w:pPr>
      <w:r>
        <w:rPr>
          <w:b/>
        </w:rPr>
        <w:t xml:space="preserve">• </w:t>
      </w:r>
      <w:r>
        <w:t>Selling signals.</w:t>
      </w:r>
    </w:p>
    <w:p>
      <w:pPr>
        <w:pStyle w:val="ListBody"/>
        <w:ind w:left="490" w:hanging="331"/>
      </w:pPr>
      <w:r>
        <w:rPr>
          <w:b/>
        </w:rPr>
        <w:t xml:space="preserve">• </w:t>
      </w:r>
      <w:r>
        <w:t>Providing algo access to other users.</w:t>
      </w:r>
    </w:p>
    <w:p>
      <w:pPr>
        <w:pStyle w:val="ListBody"/>
        <w:ind w:left="490" w:hanging="331"/>
      </w:pPr>
      <w:r>
        <w:rPr>
          <w:b/>
        </w:rPr>
        <w:t xml:space="preserve">• </w:t>
      </w:r>
      <w:r>
        <w:t>Publishing black-box recommendations.</w:t>
      </w:r>
    </w:p>
    <w:p>
      <w:pPr>
        <w:pStyle w:val="ListBody"/>
        <w:ind w:left="490" w:hanging="331"/>
      </w:pPr>
      <w:r>
        <w:rPr>
          <w:b/>
        </w:rPr>
        <w:t xml:space="preserve">• </w:t>
      </w:r>
      <w:r>
        <w:t>Managing client money.</w:t>
      </w:r>
    </w:p>
    <w:p>
      <w:pPr>
        <w:pStyle w:val="ListBody"/>
        <w:ind w:left="490" w:hanging="331"/>
      </w:pPr>
      <w:r>
        <w:rPr>
          <w:b/>
        </w:rPr>
        <w:t xml:space="preserve">• </w:t>
      </w:r>
      <w:r>
        <w:t>Redistributing exchange data.</w:t>
      </w:r>
    </w:p>
    <w:p>
      <w:pPr/>
      <w:r>
        <w:t>Commercial or third-party use requires separate legal, broker, exchange, research, advisory, licensing, and data-rights review.</w:t>
      </w:r>
    </w:p>
    <w:p>
      <w:pPr>
        <w:spacing w:after="0"/>
      </w:pPr>
      <w:r/>
    </w:p>
    <w:p>
      <w:pPr>
        <w:pStyle w:val="Heading1"/>
        <w:pBdr>
          <w:bottom w:val="single" w:sz="4" w:space="5" w:color="7A9AAA"/>
        </w:pBdr>
        <w:keepNext/>
      </w:pPr>
      <w:r>
        <w:t>10. Complete architecture</w:t>
      </w:r>
    </w:p>
    <w:p>
      <w:pPr/>
      <w:r>
        <w:t>Permitted Data Sources</w:t>
        <w:br/>
        <w:t xml:space="preserve">    -&gt;</w:t>
        <w:br/>
        <w:t>Data License and Access Registry</w:t>
        <w:br/>
        <w:t xml:space="preserve">    -&gt;</w:t>
        <w:br/>
        <w:t>Source Connectors</w:t>
        <w:br/>
        <w:t xml:space="preserve">    -&gt;</w:t>
        <w:br/>
        <w:t>Canonical Company and Security Master</w:t>
        <w:br/>
        <w:t xml:space="preserve">    -&gt;</w:t>
        <w:br/>
        <w:t>Immutable Raw Data Store</w:t>
        <w:br/>
        <w:t xml:space="preserve">    -&gt;</w:t>
        <w:br/>
        <w:t>Point-in-Time Data Warehouse</w:t>
        <w:br/>
        <w:t xml:space="preserve">    -&gt;</w:t>
        <w:br/>
        <w:t>Validation and Reconciliation</w:t>
        <w:br/>
        <w:t xml:space="preserve">    -&gt;</w:t>
        <w:br/>
        <w:t>Financial and Corporate-Action Normalization</w:t>
        <w:br/>
        <w:t xml:space="preserve">    -&gt;</w:t>
        <w:br/>
        <w:t>Discovery Universe</w:t>
        <w:br/>
        <w:t xml:space="preserve">    -&gt;</w:t>
        <w:br/>
        <w:t>Investability and Liquidity Filters</w:t>
        <w:br/>
        <w:t xml:space="preserve">    -&gt;</w:t>
        <w:br/>
        <w:t>Accounting, Governance, Solvency, and Regulatory Gates</w:t>
        <w:br/>
        <w:t xml:space="preserve">    -&gt;</w:t>
        <w:br/>
        <w:t>Sector-Specific Feature Store</w:t>
        <w:br/>
        <w:t xml:space="preserve">    -&gt;</w:t>
        <w:br/>
        <w:t>Candidate Scores and Rankings</w:t>
        <w:br/>
        <w:t xml:space="preserve">    -&gt;</w:t>
        <w:br/>
        <w:t>Dynamic Watchlists</w:t>
        <w:br/>
        <w:t xml:space="preserve">    -&gt;</w:t>
        <w:br/>
        <w:t>Deep Research Queue</w:t>
        <w:br/>
        <w:t xml:space="preserve">    -&gt;</w:t>
        <w:br/>
        <w:t>Evidence Ledger</w:t>
        <w:br/>
        <w:t xml:space="preserve">    -&gt;</w:t>
        <w:br/>
        <w:t>Forecast and Scenario Engine</w:t>
        <w:br/>
        <w:t xml:space="preserve">    -&gt;</w:t>
        <w:br/>
        <w:t>Valuation Engine</w:t>
        <w:br/>
        <w:t xml:space="preserve">    -&gt;</w:t>
        <w:br/>
        <w:t>Daily, Weekly, Monthly, Medium, and Long Signals</w:t>
        <w:br/>
        <w:t xml:space="preserve">    -&gt;</w:t>
        <w:br/>
        <w:t>Signal State Machines</w:t>
        <w:br/>
        <w:t xml:space="preserve">    -&gt;</w:t>
        <w:br/>
        <w:t>Cross-Horizon Resolution</w:t>
        <w:br/>
        <w:t xml:space="preserve">    -&gt;</w:t>
        <w:br/>
        <w:t>Portfolio Risk and Capacity</w:t>
        <w:br/>
        <w:t xml:space="preserve">    -&gt;</w:t>
        <w:br/>
        <w:t>Paper or Broker Execution</w:t>
        <w:br/>
        <w:t xml:space="preserve">    -&gt;</w:t>
        <w:br/>
        <w:t>Dashboard, Alerts, Audit, and Attribution</w:t>
        <w:br/>
        <w:t xml:space="preserve">    -&gt;</w:t>
        <w:br/>
        <w:t>Model Governance, Security, Backup, and Resource Control</w:t>
      </w:r>
    </w:p>
    <w:p>
      <w:pPr>
        <w:spacing w:after="0"/>
      </w:pPr>
      <w:r/>
    </w:p>
    <w:p>
      <w:pPr>
        <w:pStyle w:val="Heading1"/>
        <w:pBdr>
          <w:bottom w:val="single" w:sz="4" w:space="5" w:color="7A9AAA"/>
        </w:pBdr>
        <w:keepNext/>
      </w:pPr>
      <w:r>
        <w:t>11. Data-source hierarchy</w:t>
      </w:r>
    </w:p>
    <w:p>
      <w:pPr>
        <w:pStyle w:val="Heading2"/>
        <w:keepNext/>
      </w:pPr>
      <w:r>
        <w:t>11.1 Tier A — Statutory and authoritative evidence</w:t>
      </w:r>
    </w:p>
    <w:p>
      <w:pPr/>
      <w:r>
        <w:t>Preferred sources:</w:t>
      </w:r>
    </w:p>
    <w:p>
      <w:pPr>
        <w:pStyle w:val="ListBody"/>
        <w:ind w:left="490" w:hanging="331"/>
      </w:pPr>
      <w:r>
        <w:rPr>
          <w:b/>
        </w:rPr>
        <w:t xml:space="preserve">• </w:t>
      </w:r>
      <w:r>
        <w:t>Audited annual reports.</w:t>
      </w:r>
    </w:p>
    <w:p>
      <w:pPr>
        <w:pStyle w:val="ListBody"/>
        <w:ind w:left="490" w:hanging="331"/>
      </w:pPr>
      <w:r>
        <w:rPr>
          <w:b/>
        </w:rPr>
        <w:t xml:space="preserve">• </w:t>
      </w:r>
      <w:r>
        <w:t>Quarterly and annual exchange filings.</w:t>
      </w:r>
    </w:p>
    <w:p>
      <w:pPr>
        <w:pStyle w:val="ListBody"/>
        <w:ind w:left="490" w:hanging="331"/>
      </w:pPr>
      <w:r>
        <w:rPr>
          <w:b/>
        </w:rPr>
        <w:t xml:space="preserve">• </w:t>
      </w:r>
      <w:r>
        <w:t>NSE corporate filings.</w:t>
      </w:r>
    </w:p>
    <w:p>
      <w:pPr>
        <w:pStyle w:val="ListBody"/>
        <w:ind w:left="490" w:hanging="331"/>
      </w:pPr>
      <w:r>
        <w:rPr>
          <w:b/>
        </w:rPr>
        <w:t xml:space="preserve">• </w:t>
      </w:r>
      <w:r>
        <w:t>BSE corporate filings.</w:t>
      </w:r>
    </w:p>
    <w:p>
      <w:pPr>
        <w:pStyle w:val="ListBody"/>
        <w:ind w:left="490" w:hanging="331"/>
      </w:pPr>
      <w:r>
        <w:rPr>
          <w:b/>
        </w:rPr>
        <w:t xml:space="preserve">• </w:t>
      </w:r>
      <w:r>
        <w:t>SEBI orders and circulars.</w:t>
      </w:r>
    </w:p>
    <w:p>
      <w:pPr>
        <w:pStyle w:val="ListBody"/>
        <w:ind w:left="490" w:hanging="331"/>
      </w:pPr>
      <w:r>
        <w:rPr>
          <w:b/>
        </w:rPr>
        <w:t xml:space="preserve">• </w:t>
      </w:r>
      <w:r>
        <w:t>Credit-rating rationales.</w:t>
      </w:r>
    </w:p>
    <w:p>
      <w:pPr>
        <w:pStyle w:val="ListBody"/>
        <w:ind w:left="490" w:hanging="331"/>
      </w:pPr>
      <w:r>
        <w:rPr>
          <w:b/>
        </w:rPr>
        <w:t xml:space="preserve">• </w:t>
      </w:r>
      <w:r>
        <w:t>Corporate-action notices.</w:t>
      </w:r>
    </w:p>
    <w:p>
      <w:pPr>
        <w:pStyle w:val="ListBody"/>
        <w:ind w:left="490" w:hanging="331"/>
      </w:pPr>
      <w:r>
        <w:rPr>
          <w:b/>
        </w:rPr>
        <w:t xml:space="preserve">• </w:t>
      </w:r>
      <w:r>
        <w:t>Statutory shareholding patterns.</w:t>
      </w:r>
    </w:p>
    <w:p>
      <w:pPr>
        <w:pStyle w:val="ListBody"/>
        <w:ind w:left="490" w:hanging="331"/>
      </w:pPr>
      <w:r>
        <w:rPr>
          <w:b/>
        </w:rPr>
        <w:t xml:space="preserve">• </w:t>
      </w:r>
      <w:r>
        <w:t>Auditor reports.</w:t>
      </w:r>
    </w:p>
    <w:p>
      <w:pPr>
        <w:pStyle w:val="ListBody"/>
        <w:ind w:left="490" w:hanging="331"/>
      </w:pPr>
      <w:r>
        <w:rPr>
          <w:b/>
        </w:rPr>
        <w:t xml:space="preserve">• </w:t>
      </w:r>
      <w:r>
        <w:t>Secretarial-compliance reports.</w:t>
      </w:r>
    </w:p>
    <w:p>
      <w:pPr>
        <w:pStyle w:val="ListBody"/>
        <w:ind w:left="490" w:hanging="331"/>
      </w:pPr>
      <w:r>
        <w:rPr>
          <w:b/>
        </w:rPr>
        <w:t xml:space="preserve">• </w:t>
      </w:r>
      <w:r>
        <w:t>Court, tribunal, insolvency, and liquidation records.</w:t>
      </w:r>
    </w:p>
    <w:p>
      <w:pPr>
        <w:pStyle w:val="ListBody"/>
        <w:ind w:left="490" w:hanging="331"/>
      </w:pPr>
      <w:r>
        <w:rPr>
          <w:b/>
        </w:rPr>
        <w:t xml:space="preserve">• </w:t>
      </w:r>
      <w:r>
        <w:t>Industry-regulator filings.</w:t>
      </w:r>
    </w:p>
    <w:p>
      <w:pPr>
        <w:pStyle w:val="Heading2"/>
        <w:keepNext/>
      </w:pPr>
      <w:r>
        <w:t>11.2 Tier B — Operational broker data</w:t>
      </w:r>
    </w:p>
    <w:p>
      <w:pPr/>
      <w:r>
        <w:t>Use broker APIs for:</w:t>
      </w:r>
    </w:p>
    <w:p>
      <w:pPr>
        <w:pStyle w:val="ListBody"/>
        <w:ind w:left="490" w:hanging="331"/>
      </w:pPr>
      <w:r>
        <w:rPr>
          <w:b/>
        </w:rPr>
        <w:t xml:space="preserve">• </w:t>
      </w:r>
      <w:r>
        <w:t>Current instruments.</w:t>
      </w:r>
    </w:p>
    <w:p>
      <w:pPr>
        <w:pStyle w:val="ListBody"/>
        <w:ind w:left="490" w:hanging="331"/>
      </w:pPr>
      <w:r>
        <w:rPr>
          <w:b/>
        </w:rPr>
        <w:t xml:space="preserve">• </w:t>
      </w:r>
      <w:r>
        <w:t>Market quotes.</w:t>
      </w:r>
    </w:p>
    <w:p>
      <w:pPr>
        <w:pStyle w:val="ListBody"/>
        <w:ind w:left="490" w:hanging="331"/>
      </w:pPr>
      <w:r>
        <w:rPr>
          <w:b/>
        </w:rPr>
        <w:t xml:space="preserve">• </w:t>
      </w:r>
      <w:r>
        <w:t>Historical candles.</w:t>
      </w:r>
    </w:p>
    <w:p>
      <w:pPr>
        <w:pStyle w:val="ListBody"/>
        <w:ind w:left="490" w:hanging="331"/>
      </w:pPr>
      <w:r>
        <w:rPr>
          <w:b/>
        </w:rPr>
        <w:t xml:space="preserve">• </w:t>
      </w:r>
      <w:r>
        <w:t>Live streaming.</w:t>
      </w:r>
    </w:p>
    <w:p>
      <w:pPr>
        <w:pStyle w:val="ListBody"/>
        <w:ind w:left="490" w:hanging="331"/>
      </w:pPr>
      <w:r>
        <w:rPr>
          <w:b/>
        </w:rPr>
        <w:t xml:space="preserve">• </w:t>
      </w:r>
      <w:r>
        <w:t>Market depth.</w:t>
      </w:r>
    </w:p>
    <w:p>
      <w:pPr>
        <w:pStyle w:val="ListBody"/>
        <w:ind w:left="490" w:hanging="331"/>
      </w:pPr>
      <w:r>
        <w:rPr>
          <w:b/>
        </w:rPr>
        <w:t xml:space="preserve">• </w:t>
      </w:r>
      <w:r>
        <w:t>Open interest.</w:t>
      </w:r>
    </w:p>
    <w:p>
      <w:pPr>
        <w:pStyle w:val="ListBody"/>
        <w:ind w:left="490" w:hanging="331"/>
      </w:pPr>
      <w:r>
        <w:rPr>
          <w:b/>
        </w:rPr>
        <w:t xml:space="preserve">• </w:t>
      </w:r>
      <w:r>
        <w:t>Holdings.</w:t>
      </w:r>
    </w:p>
    <w:p>
      <w:pPr>
        <w:pStyle w:val="ListBody"/>
        <w:ind w:left="490" w:hanging="331"/>
      </w:pPr>
      <w:r>
        <w:rPr>
          <w:b/>
        </w:rPr>
        <w:t xml:space="preserve">• </w:t>
      </w:r>
      <w:r>
        <w:t>Positions.</w:t>
      </w:r>
    </w:p>
    <w:p>
      <w:pPr>
        <w:pStyle w:val="ListBody"/>
        <w:ind w:left="490" w:hanging="331"/>
      </w:pPr>
      <w:r>
        <w:rPr>
          <w:b/>
        </w:rPr>
        <w:t xml:space="preserve">• </w:t>
      </w:r>
      <w:r>
        <w:t>Orders.</w:t>
      </w:r>
    </w:p>
    <w:p>
      <w:pPr>
        <w:pStyle w:val="ListBody"/>
        <w:ind w:left="490" w:hanging="331"/>
      </w:pPr>
      <w:r>
        <w:rPr>
          <w:b/>
        </w:rPr>
        <w:t xml:space="preserve">• </w:t>
      </w:r>
      <w:r>
        <w:t>Trades.</w:t>
      </w:r>
    </w:p>
    <w:p>
      <w:pPr>
        <w:pStyle w:val="ListBody"/>
        <w:ind w:left="490" w:hanging="331"/>
      </w:pPr>
      <w:r>
        <w:rPr>
          <w:b/>
        </w:rPr>
        <w:t xml:space="preserve">• </w:t>
      </w:r>
      <w:r>
        <w:t>Execution reconciliation.</w:t>
      </w:r>
    </w:p>
    <w:p>
      <w:pPr/>
      <w:r>
        <w:t>Upstox publishes beginning-of-day and suspended instrument files, recommends instrument_key as its stable API identifier, supports historical candle retrieval, and provides a Protobuf WebSocket market-data feed.</w:t>
      </w:r>
    </w:p>
    <w:p>
      <w:pPr/>
      <w:r>
        <w:t>Angel One SmartAPI provides market, portfolio, order, and live-streaming capabilities with documented API throttling and current order controls.</w:t>
      </w:r>
    </w:p>
    <w:p>
      <w:pPr>
        <w:pStyle w:val="Heading2"/>
        <w:keepNext/>
      </w:pPr>
      <w:r>
        <w:t>11.3 Tier C — Licensed standardized vendors</w:t>
      </w:r>
    </w:p>
    <w:p>
      <w:pPr/>
      <w:r>
        <w:t>Optional sources for:</w:t>
      </w:r>
    </w:p>
    <w:p>
      <w:pPr>
        <w:pStyle w:val="ListBody"/>
        <w:ind w:left="490" w:hanging="331"/>
      </w:pPr>
      <w:r>
        <w:rPr>
          <w:b/>
        </w:rPr>
        <w:t xml:space="preserve">• </w:t>
      </w:r>
      <w:r>
        <w:t>Point-in-time fundamentals.</w:t>
      </w:r>
    </w:p>
    <w:p>
      <w:pPr>
        <w:pStyle w:val="ListBody"/>
        <w:ind w:left="490" w:hanging="331"/>
      </w:pPr>
      <w:r>
        <w:rPr>
          <w:b/>
        </w:rPr>
        <w:t xml:space="preserve">• </w:t>
      </w:r>
      <w:r>
        <w:t>Historical delistings.</w:t>
      </w:r>
    </w:p>
    <w:p>
      <w:pPr>
        <w:pStyle w:val="ListBody"/>
        <w:ind w:left="490" w:hanging="331"/>
      </w:pPr>
      <w:r>
        <w:rPr>
          <w:b/>
        </w:rPr>
        <w:t xml:space="preserve">• </w:t>
      </w:r>
      <w:r>
        <w:t>Historical constituents.</w:t>
      </w:r>
    </w:p>
    <w:p>
      <w:pPr>
        <w:pStyle w:val="ListBody"/>
        <w:ind w:left="490" w:hanging="331"/>
      </w:pPr>
      <w:r>
        <w:rPr>
          <w:b/>
        </w:rPr>
        <w:t xml:space="preserve">• </w:t>
      </w:r>
      <w:r>
        <w:t>Consensus estimates.</w:t>
      </w:r>
    </w:p>
    <w:p>
      <w:pPr>
        <w:pStyle w:val="ListBody"/>
        <w:ind w:left="490" w:hanging="331"/>
      </w:pPr>
      <w:r>
        <w:rPr>
          <w:b/>
        </w:rPr>
        <w:t xml:space="preserve">• </w:t>
      </w:r>
      <w:r>
        <w:t>Ownership histories.</w:t>
      </w:r>
    </w:p>
    <w:p>
      <w:pPr>
        <w:pStyle w:val="ListBody"/>
        <w:ind w:left="490" w:hanging="331"/>
      </w:pPr>
      <w:r>
        <w:rPr>
          <w:b/>
        </w:rPr>
        <w:t xml:space="preserve">• </w:t>
      </w:r>
      <w:r>
        <w:t>Structured corporate actions.</w:t>
      </w:r>
    </w:p>
    <w:p>
      <w:pPr>
        <w:pStyle w:val="ListBody"/>
        <w:ind w:left="490" w:hanging="331"/>
      </w:pPr>
      <w:r>
        <w:rPr>
          <w:b/>
        </w:rPr>
        <w:t xml:space="preserve">• </w:t>
      </w:r>
      <w:r>
        <w:t>Sector histories.</w:t>
      </w:r>
    </w:p>
    <w:p>
      <w:pPr>
        <w:pStyle w:val="ListBody"/>
        <w:ind w:left="490" w:hanging="331"/>
      </w:pPr>
      <w:r>
        <w:rPr>
          <w:b/>
        </w:rPr>
        <w:t xml:space="preserve">• </w:t>
      </w:r>
      <w:r>
        <w:t>Transcripts.</w:t>
      </w:r>
    </w:p>
    <w:p>
      <w:pPr>
        <w:pStyle w:val="Heading2"/>
        <w:keepNext/>
      </w:pPr>
      <w:r>
        <w:t>11.4 Tier D — Research-support sources</w:t>
      </w:r>
    </w:p>
    <w:p>
      <w:pPr/>
      <w:r>
        <w:t>Screener.in may be used through user-authorized exports. Screener states that it does not provide an API and supports CSV export, while its terms describe personal, non-commercial use and warn that automated data may contain errors or omissions.</w:t>
      </w:r>
    </w:p>
    <w:p>
      <w:pPr/>
      <w:r>
        <w:t>Permitted role:</w:t>
      </w:r>
    </w:p>
    <w:p>
      <w:pPr>
        <w:pStyle w:val="ListBody"/>
        <w:ind w:left="490" w:hanging="331"/>
      </w:pPr>
      <w:r>
        <w:rPr>
          <w:b/>
        </w:rPr>
        <w:t xml:space="preserve">• </w:t>
      </w:r>
      <w:r>
        <w:t>Research cross-check.</w:t>
      </w:r>
    </w:p>
    <w:p>
      <w:pPr>
        <w:pStyle w:val="ListBody"/>
        <w:ind w:left="490" w:hanging="331"/>
      </w:pPr>
      <w:r>
        <w:rPr>
          <w:b/>
        </w:rPr>
        <w:t xml:space="preserve">• </w:t>
      </w:r>
      <w:r>
        <w:t>User-imported financial data.</w:t>
      </w:r>
    </w:p>
    <w:p>
      <w:pPr>
        <w:pStyle w:val="ListBody"/>
        <w:ind w:left="490" w:hanging="331"/>
      </w:pPr>
      <w:r>
        <w:rPr>
          <w:b/>
        </w:rPr>
        <w:t xml:space="preserve">• </w:t>
      </w:r>
      <w:r>
        <w:t>Prototype screening.</w:t>
      </w:r>
    </w:p>
    <w:p>
      <w:pPr>
        <w:pStyle w:val="ListBody"/>
        <w:ind w:left="490" w:hanging="331"/>
      </w:pPr>
      <w:r>
        <w:rPr>
          <w:b/>
        </w:rPr>
        <w:t xml:space="preserve">• </w:t>
      </w:r>
      <w:r>
        <w:t>Data-gap detection.</w:t>
      </w:r>
    </w:p>
    <w:p>
      <w:pPr/>
      <w:r>
        <w:t>Not permitted role:</w:t>
      </w:r>
    </w:p>
    <w:p>
      <w:pPr>
        <w:pStyle w:val="ListBody"/>
        <w:ind w:left="490" w:hanging="331"/>
      </w:pPr>
      <w:r>
        <w:rPr>
          <w:b/>
        </w:rPr>
        <w:t xml:space="preserve">• </w:t>
      </w:r>
      <w:r>
        <w:t>Sole statutory source.</w:t>
      </w:r>
    </w:p>
    <w:p>
      <w:pPr>
        <w:pStyle w:val="ListBody"/>
        <w:ind w:left="490" w:hanging="331"/>
      </w:pPr>
      <w:r>
        <w:rPr>
          <w:b/>
        </w:rPr>
        <w:t xml:space="preserve">• </w:t>
      </w:r>
      <w:r>
        <w:t>Sole audit-opinion source.</w:t>
      </w:r>
    </w:p>
    <w:p>
      <w:pPr>
        <w:pStyle w:val="ListBody"/>
        <w:ind w:left="490" w:hanging="331"/>
      </w:pPr>
      <w:r>
        <w:rPr>
          <w:b/>
        </w:rPr>
        <w:t xml:space="preserve">• </w:t>
      </w:r>
      <w:r>
        <w:t>Sole corporate-action source.</w:t>
      </w:r>
    </w:p>
    <w:p>
      <w:pPr>
        <w:pStyle w:val="ListBody"/>
        <w:ind w:left="490" w:hanging="331"/>
      </w:pPr>
      <w:r>
        <w:rPr>
          <w:b/>
        </w:rPr>
        <w:t xml:space="preserve">• </w:t>
      </w:r>
      <w:r>
        <w:t>Unrestricted production API assumption.</w:t>
      </w:r>
    </w:p>
    <w:p>
      <w:pPr>
        <w:pStyle w:val="Heading2"/>
        <w:keepNext/>
      </w:pPr>
      <w:r>
        <w:t>11.5 Tier E — Diagnostic fallback</w:t>
      </w:r>
    </w:p>
    <w:p>
      <w:pPr/>
      <w:r>
        <w:t>Yahoo’s terms restrict automated data collection without permission and creation of substitute databases or feeds. Yahoo-derived data must therefore remain diagnostic unless explicit rights exist.</w:t>
      </w:r>
    </w:p>
    <w:p>
      <w:pPr>
        <w:spacing w:after="0"/>
      </w:pPr>
      <w:r/>
    </w:p>
    <w:p>
      <w:pPr>
        <w:pStyle w:val="Heading1"/>
        <w:pBdr>
          <w:bottom w:val="single" w:sz="4" w:space="5" w:color="7A9AAA"/>
        </w:pBdr>
        <w:keepNext/>
      </w:pPr>
      <w:r>
        <w:t>12. Accessible-source operating model</w:t>
      </w:r>
    </w:p>
    <w:p>
      <w:pPr/>
      <w:r>
        <w:t>The system must remain usable when institutional data products are unavailable.</w:t>
      </w:r>
    </w:p>
    <w:p>
      <w:pPr>
        <w:pStyle w:val="Heading2"/>
        <w:keepNext/>
      </w:pPr>
      <w:r>
        <w:t>12.1 Accessible Core Sources</w:t>
      </w:r>
    </w:p>
    <w:p>
      <w:pPr>
        <w:pStyle w:val="ListBody"/>
        <w:ind w:left="490" w:hanging="331"/>
      </w:pPr>
      <w:r>
        <w:rPr>
          <w:b/>
        </w:rPr>
        <w:t xml:space="preserve">• </w:t>
      </w:r>
      <w:r>
        <w:t>Broker BOD instruments.</w:t>
      </w:r>
    </w:p>
    <w:p>
      <w:pPr>
        <w:pStyle w:val="ListBody"/>
        <w:ind w:left="490" w:hanging="331"/>
      </w:pPr>
      <w:r>
        <w:rPr>
          <w:b/>
        </w:rPr>
        <w:t xml:space="preserve">• </w:t>
      </w:r>
      <w:r>
        <w:t>Broker historical candles.</w:t>
      </w:r>
    </w:p>
    <w:p>
      <w:pPr>
        <w:pStyle w:val="ListBody"/>
        <w:ind w:left="490" w:hanging="331"/>
      </w:pPr>
      <w:r>
        <w:rPr>
          <w:b/>
        </w:rPr>
        <w:t xml:space="preserve">• </w:t>
      </w:r>
      <w:r>
        <w:t>Broker live quotes.</w:t>
      </w:r>
    </w:p>
    <w:p>
      <w:pPr>
        <w:pStyle w:val="ListBody"/>
        <w:ind w:left="490" w:hanging="331"/>
      </w:pPr>
      <w:r>
        <w:rPr>
          <w:b/>
        </w:rPr>
        <w:t xml:space="preserve">• </w:t>
      </w:r>
      <w:r>
        <w:t>Broker holdings and orders.</w:t>
      </w:r>
    </w:p>
    <w:p>
      <w:pPr>
        <w:pStyle w:val="ListBody"/>
        <w:ind w:left="490" w:hanging="331"/>
      </w:pPr>
      <w:r>
        <w:rPr>
          <w:b/>
        </w:rPr>
        <w:t xml:space="preserve">• </w:t>
      </w:r>
      <w:r>
        <w:t>User-imported Screener CSV or Excel.</w:t>
      </w:r>
    </w:p>
    <w:p>
      <w:pPr>
        <w:pStyle w:val="ListBody"/>
        <w:ind w:left="490" w:hanging="331"/>
      </w:pPr>
      <w:r>
        <w:rPr>
          <w:b/>
        </w:rPr>
        <w:t xml:space="preserve">• </w:t>
      </w:r>
      <w:r>
        <w:t>Manually imported annual reports.</w:t>
      </w:r>
    </w:p>
    <w:p>
      <w:pPr>
        <w:pStyle w:val="ListBody"/>
        <w:ind w:left="490" w:hanging="331"/>
      </w:pPr>
      <w:r>
        <w:rPr>
          <w:b/>
        </w:rPr>
        <w:t xml:space="preserve">• </w:t>
      </w:r>
      <w:r>
        <w:t>Manually imported exchange filings.</w:t>
      </w:r>
    </w:p>
    <w:p>
      <w:pPr>
        <w:pStyle w:val="ListBody"/>
        <w:ind w:left="490" w:hanging="331"/>
      </w:pPr>
      <w:r>
        <w:rPr>
          <w:b/>
        </w:rPr>
        <w:t xml:space="preserve">• </w:t>
      </w:r>
      <w:r>
        <w:t>SEBI orders.</w:t>
      </w:r>
    </w:p>
    <w:p>
      <w:pPr>
        <w:pStyle w:val="ListBody"/>
        <w:ind w:left="490" w:hanging="331"/>
      </w:pPr>
      <w:r>
        <w:rPr>
          <w:b/>
        </w:rPr>
        <w:t xml:space="preserve">• </w:t>
      </w:r>
      <w:r>
        <w:t>Rating reports.</w:t>
      </w:r>
    </w:p>
    <w:p>
      <w:pPr>
        <w:pStyle w:val="ListBody"/>
        <w:ind w:left="490" w:hanging="331"/>
      </w:pPr>
      <w:r>
        <w:rPr>
          <w:b/>
        </w:rPr>
        <w:t xml:space="preserve">• </w:t>
      </w:r>
      <w:r>
        <w:t>Company presentations.</w:t>
      </w:r>
    </w:p>
    <w:p>
      <w:pPr>
        <w:pStyle w:val="Heading2"/>
        <w:keepNext/>
      </w:pPr>
      <w:r>
        <w:t>12.2 Optional Licensed Sources</w:t>
      </w:r>
    </w:p>
    <w:p>
      <w:pPr/>
      <w:r>
        <w:t>NSE offers paid corporate data and related market-data products under agreements governing intended use, handling, storage, and dissemination. Automated scraping of the NSE website is prohibited by its terms.</w:t>
      </w:r>
    </w:p>
    <w:p>
      <w:pPr/>
      <w:r>
        <w:t>Optional licensed sources enhance:</w:t>
      </w:r>
    </w:p>
    <w:p>
      <w:pPr>
        <w:pStyle w:val="ListBody"/>
        <w:ind w:left="490" w:hanging="331"/>
      </w:pPr>
      <w:r>
        <w:rPr>
          <w:b/>
        </w:rPr>
        <w:t xml:space="preserve">• </w:t>
      </w:r>
      <w:r>
        <w:t>Coverage.</w:t>
      </w:r>
    </w:p>
    <w:p>
      <w:pPr>
        <w:pStyle w:val="ListBody"/>
        <w:ind w:left="490" w:hanging="331"/>
      </w:pPr>
      <w:r>
        <w:rPr>
          <w:b/>
        </w:rPr>
        <w:t xml:space="preserve">• </w:t>
      </w:r>
      <w:r>
        <w:t>Timeliness.</w:t>
      </w:r>
    </w:p>
    <w:p>
      <w:pPr>
        <w:pStyle w:val="ListBody"/>
        <w:ind w:left="490" w:hanging="331"/>
      </w:pPr>
      <w:r>
        <w:rPr>
          <w:b/>
        </w:rPr>
        <w:t xml:space="preserve">• </w:t>
      </w:r>
      <w:r>
        <w:t>Historical accuracy.</w:t>
      </w:r>
    </w:p>
    <w:p>
      <w:pPr>
        <w:pStyle w:val="ListBody"/>
        <w:ind w:left="490" w:hanging="331"/>
      </w:pPr>
      <w:r>
        <w:rPr>
          <w:b/>
        </w:rPr>
        <w:t xml:space="preserve">• </w:t>
      </w:r>
      <w:r>
        <w:t>Revision tracking.</w:t>
      </w:r>
    </w:p>
    <w:p>
      <w:pPr>
        <w:pStyle w:val="ListBody"/>
        <w:ind w:left="490" w:hanging="331"/>
      </w:pPr>
      <w:r>
        <w:rPr>
          <w:b/>
        </w:rPr>
        <w:t xml:space="preserve">• </w:t>
      </w:r>
      <w:r>
        <w:t>Backtest quality.</w:t>
      </w:r>
    </w:p>
    <w:p>
      <w:pPr/>
      <w:r>
        <w:t>They are not mandatory for Personal Core mode.</w:t>
      </w:r>
    </w:p>
    <w:p>
      <w:pPr>
        <w:pStyle w:val="Heading2"/>
        <w:keepNext/>
      </w:pPr>
      <w:r>
        <w:t>12.3 Graceful degradation</w:t>
      </w:r>
    </w:p>
    <w:p>
      <w:pPr/>
      <w:r>
        <w:t>When a licensed source is absent:</w:t>
      </w:r>
    </w:p>
    <w:p>
      <w:pPr>
        <w:pStyle w:val="ListBody"/>
        <w:ind w:left="490" w:hanging="331"/>
      </w:pPr>
      <w:r>
        <w:rPr>
          <w:b/>
        </w:rPr>
        <w:t xml:space="preserve">• </w:t>
      </w:r>
      <w:r>
        <w:t>Do not fabricate data.</w:t>
      </w:r>
    </w:p>
    <w:p>
      <w:pPr>
        <w:pStyle w:val="ListBody"/>
        <w:ind w:left="490" w:hanging="331"/>
      </w:pPr>
      <w:r>
        <w:rPr>
          <w:b/>
        </w:rPr>
        <w:t xml:space="preserve">• </w:t>
      </w:r>
      <w:r>
        <w:t>Reduce Data Confidence.</w:t>
      </w:r>
    </w:p>
    <w:p>
      <w:pPr>
        <w:pStyle w:val="ListBody"/>
        <w:ind w:left="490" w:hanging="331"/>
      </w:pPr>
      <w:r>
        <w:rPr>
          <w:b/>
        </w:rPr>
        <w:t xml:space="preserve">• </w:t>
      </w:r>
      <w:r>
        <w:t>Mark affected features unavailable.</w:t>
      </w:r>
    </w:p>
    <w:p>
      <w:pPr>
        <w:pStyle w:val="ListBody"/>
        <w:ind w:left="490" w:hanging="331"/>
      </w:pPr>
      <w:r>
        <w:rPr>
          <w:b/>
        </w:rPr>
        <w:t xml:space="preserve">• </w:t>
      </w:r>
      <w:r>
        <w:t>Shrink scores toward neutral.</w:t>
      </w:r>
    </w:p>
    <w:p>
      <w:pPr>
        <w:pStyle w:val="ListBody"/>
        <w:ind w:left="490" w:hanging="331"/>
      </w:pPr>
      <w:r>
        <w:rPr>
          <w:b/>
        </w:rPr>
        <w:t xml:space="preserve">• </w:t>
      </w:r>
      <w:r>
        <w:t>Restrict recommendation strength.</w:t>
      </w:r>
    </w:p>
    <w:p>
      <w:pPr>
        <w:pStyle w:val="ListBody"/>
        <w:ind w:left="490" w:hanging="331"/>
      </w:pPr>
      <w:r>
        <w:rPr>
          <w:b/>
        </w:rPr>
        <w:t xml:space="preserve">• </w:t>
      </w:r>
      <w:r>
        <w:t>Add manual-review tasks.</w:t>
      </w:r>
    </w:p>
    <w:p>
      <w:pPr>
        <w:pStyle w:val="ListBody"/>
        <w:ind w:left="490" w:hanging="331"/>
      </w:pPr>
      <w:r>
        <w:rPr>
          <w:b/>
        </w:rPr>
        <w:t xml:space="preserve">• </w:t>
      </w:r>
      <w:r>
        <w:t>Block deep-research claims that require missing evidence.</w:t>
      </w:r>
    </w:p>
    <w:p>
      <w:pPr>
        <w:spacing w:after="0"/>
      </w:pPr>
      <w:r/>
    </w:p>
    <w:p>
      <w:pPr>
        <w:pStyle w:val="Heading1"/>
        <w:pBdr>
          <w:bottom w:val="single" w:sz="4" w:space="5" w:color="7A9AAA"/>
        </w:pBdr>
        <w:keepNext/>
      </w:pPr>
      <w:r>
        <w:t>13. Data-license registry</w:t>
      </w:r>
    </w:p>
    <w:p>
      <w:pPr/>
      <w:r>
        <w:t>data_licenses</w:t>
        <w:br/>
        <w:t>-------------</w:t>
        <w:br/>
        <w:t>license_id</w:t>
        <w:br/>
        <w:t>provider</w:t>
        <w:br/>
        <w:t>product_name</w:t>
        <w:br/>
        <w:t>data_category</w:t>
        <w:br/>
        <w:t>permitted_use</w:t>
        <w:br/>
        <w:t>personal_use_allowed</w:t>
        <w:br/>
        <w:t>commercial_use_allowed</w:t>
        <w:br/>
        <w:t>non_display_use_allowed</w:t>
        <w:br/>
        <w:t>derived_data_allowed</w:t>
        <w:br/>
        <w:t>redistribution_allowed</w:t>
        <w:br/>
        <w:t>storage_allowed</w:t>
        <w:br/>
        <w:t>retention_period</w:t>
        <w:br/>
        <w:t>effective_date</w:t>
        <w:br/>
        <w:t>expiry_date</w:t>
        <w:br/>
        <w:t>agreement_reference</w:t>
        <w:br/>
        <w:t>review_status</w:t>
      </w:r>
    </w:p>
    <w:p>
      <w:pPr/>
      <w:r>
        <w:t>Connectors must check the registry before ingestion.</w:t>
      </w:r>
    </w:p>
    <w:p>
      <w:pPr/>
      <w:r>
        <w:t>Automatic disable conditions:</w:t>
      </w:r>
    </w:p>
    <w:p>
      <w:pPr>
        <w:pStyle w:val="ListBody"/>
        <w:ind w:left="490" w:hanging="331"/>
      </w:pPr>
      <w:r>
        <w:rPr>
          <w:b/>
        </w:rPr>
        <w:t xml:space="preserve">• </w:t>
      </w:r>
      <w:r>
        <w:t>License expired.</w:t>
      </w:r>
    </w:p>
    <w:p>
      <w:pPr>
        <w:pStyle w:val="ListBody"/>
        <w:ind w:left="490" w:hanging="331"/>
      </w:pPr>
      <w:r>
        <w:rPr>
          <w:b/>
        </w:rPr>
        <w:t xml:space="preserve">• </w:t>
      </w:r>
      <w:r>
        <w:t>Intended use not permitted.</w:t>
      </w:r>
    </w:p>
    <w:p>
      <w:pPr>
        <w:pStyle w:val="ListBody"/>
        <w:ind w:left="490" w:hanging="331"/>
      </w:pPr>
      <w:r>
        <w:rPr>
          <w:b/>
        </w:rPr>
        <w:t xml:space="preserve">• </w:t>
      </w:r>
      <w:r>
        <w:t>Retention expired.</w:t>
      </w:r>
    </w:p>
    <w:p>
      <w:pPr>
        <w:pStyle w:val="ListBody"/>
        <w:ind w:left="490" w:hanging="331"/>
      </w:pPr>
      <w:r>
        <w:rPr>
          <w:b/>
        </w:rPr>
        <w:t xml:space="preserve">• </w:t>
      </w:r>
      <w:r>
        <w:t>Redistribution prohibited for requested output.</w:t>
      </w:r>
    </w:p>
    <w:p>
      <w:pPr>
        <w:pStyle w:val="ListBody"/>
        <w:ind w:left="490" w:hanging="331"/>
      </w:pPr>
      <w:r>
        <w:rPr>
          <w:b/>
        </w:rPr>
        <w:t xml:space="preserve">• </w:t>
      </w:r>
      <w:r>
        <w:t>Provider terms materially changed.</w:t>
      </w:r>
    </w:p>
    <w:p>
      <w:pPr>
        <w:pStyle w:val="ListBody"/>
        <w:ind w:left="490" w:hanging="331"/>
      </w:pPr>
      <w:r>
        <w:rPr>
          <w:b/>
        </w:rPr>
        <w:t xml:space="preserve">• </w:t>
      </w:r>
      <w:r>
        <w:t>Agreement pending review.</w:t>
      </w:r>
    </w:p>
    <w:p>
      <w:pPr>
        <w:spacing w:after="0"/>
      </w:pPr>
      <w:r/>
    </w:p>
    <w:p>
      <w:pPr>
        <w:pStyle w:val="Heading1"/>
        <w:pBdr>
          <w:bottom w:val="single" w:sz="4" w:space="5" w:color="7A9AAA"/>
        </w:pBdr>
        <w:keepNext/>
      </w:pPr>
      <w:r>
        <w:t>14. Source-adapter contract</w:t>
      </w:r>
    </w:p>
    <w:p>
      <w:pPr/>
      <w:r>
        <w:t>provider_id</w:t>
        <w:br/>
        <w:t>adapter_version</w:t>
        <w:br/>
        <w:t>authentication_method</w:t>
        <w:br/>
        <w:t>license_id</w:t>
        <w:br/>
        <w:t>supported_data_types</w:t>
        <w:br/>
        <w:t>supported_exchanges</w:t>
        <w:br/>
        <w:t>rate_limits</w:t>
        <w:br/>
        <w:t>request_batch_size</w:t>
        <w:br/>
        <w:t>request_timeout_seconds</w:t>
        <w:br/>
        <w:t>retry_policy</w:t>
        <w:br/>
        <w:t>backoff_policy</w:t>
        <w:br/>
        <w:t>schema_version</w:t>
        <w:br/>
        <w:t>timezone</w:t>
        <w:br/>
        <w:t>timestamp_semantics</w:t>
        <w:br/>
        <w:t>adjusted_price_semantics</w:t>
        <w:br/>
        <w:t>corporate_action_semantics</w:t>
        <w:br/>
        <w:t>retention_permission</w:t>
        <w:br/>
        <w:t>commercial_use_permission</w:t>
      </w:r>
    </w:p>
    <w:p>
      <w:pPr/>
      <w:r>
        <w:t>Every request stores:</w:t>
      </w:r>
    </w:p>
    <w:p>
      <w:pPr/>
      <w:r>
        <w:t>request_id</w:t>
        <w:br/>
        <w:t>provider</w:t>
        <w:br/>
        <w:t>endpoint</w:t>
        <w:br/>
        <w:t>request_timestamp</w:t>
        <w:br/>
        <w:t>response_timestamp</w:t>
        <w:br/>
        <w:t>status_code</w:t>
        <w:br/>
        <w:t>records_received</w:t>
        <w:br/>
        <w:t>checksum</w:t>
        <w:br/>
        <w:t>schema_version</w:t>
        <w:br/>
        <w:t>latency_ms</w:t>
        <w:br/>
        <w:t>retry_count</w:t>
        <w:br/>
        <w:t>error_code</w:t>
        <w:br/>
        <w:t>raw_payload_location</w:t>
      </w:r>
    </w:p>
    <w:p>
      <w:pPr/>
      <w:r>
        <w:t>Mandatory connector behavior:</w:t>
      </w:r>
    </w:p>
    <w:p>
      <w:pPr>
        <w:pStyle w:val="ListBody"/>
        <w:ind w:left="490" w:hanging="331"/>
      </w:pPr>
      <w:r>
        <w:rPr>
          <w:b/>
        </w:rPr>
        <w:t xml:space="preserve">• </w:t>
      </w:r>
      <w:r>
        <w:t>Authentication refresh.</w:t>
      </w:r>
    </w:p>
    <w:p>
      <w:pPr>
        <w:pStyle w:val="ListBody"/>
        <w:ind w:left="490" w:hanging="331"/>
      </w:pPr>
      <w:r>
        <w:rPr>
          <w:b/>
        </w:rPr>
        <w:t xml:space="preserve">• </w:t>
      </w:r>
      <w:r>
        <w:t>Token-expiry handling.</w:t>
      </w:r>
    </w:p>
    <w:p>
      <w:pPr>
        <w:pStyle w:val="ListBody"/>
        <w:ind w:left="490" w:hanging="331"/>
      </w:pPr>
      <w:r>
        <w:rPr>
          <w:b/>
        </w:rPr>
        <w:t xml:space="preserve">• </w:t>
      </w:r>
      <w:r>
        <w:t>Rate limiting.</w:t>
      </w:r>
    </w:p>
    <w:p>
      <w:pPr>
        <w:pStyle w:val="ListBody"/>
        <w:ind w:left="490" w:hanging="331"/>
      </w:pPr>
      <w:r>
        <w:rPr>
          <w:b/>
        </w:rPr>
        <w:t xml:space="preserve">• </w:t>
      </w:r>
      <w:r>
        <w:t>Exponential backoff.</w:t>
      </w:r>
    </w:p>
    <w:p>
      <w:pPr>
        <w:pStyle w:val="ListBody"/>
        <w:ind w:left="490" w:hanging="331"/>
      </w:pPr>
      <w:r>
        <w:rPr>
          <w:b/>
        </w:rPr>
        <w:t xml:space="preserve">• </w:t>
      </w:r>
      <w:r>
        <w:t>Circuit breaker.</w:t>
      </w:r>
    </w:p>
    <w:p>
      <w:pPr>
        <w:pStyle w:val="ListBody"/>
        <w:ind w:left="490" w:hanging="331"/>
      </w:pPr>
      <w:r>
        <w:rPr>
          <w:b/>
        </w:rPr>
        <w:t xml:space="preserve">• </w:t>
      </w:r>
      <w:r>
        <w:t>Schema validation.</w:t>
      </w:r>
    </w:p>
    <w:p>
      <w:pPr>
        <w:pStyle w:val="ListBody"/>
        <w:ind w:left="490" w:hanging="331"/>
      </w:pPr>
      <w:r>
        <w:rPr>
          <w:b/>
        </w:rPr>
        <w:t xml:space="preserve">• </w:t>
      </w:r>
      <w:r>
        <w:t>Duplicate detection.</w:t>
      </w:r>
    </w:p>
    <w:p>
      <w:pPr>
        <w:pStyle w:val="ListBody"/>
        <w:ind w:left="490" w:hanging="331"/>
      </w:pPr>
      <w:r>
        <w:rPr>
          <w:b/>
        </w:rPr>
        <w:t xml:space="preserve">• </w:t>
      </w:r>
      <w:r>
        <w:t>Gap detection.</w:t>
      </w:r>
    </w:p>
    <w:p>
      <w:pPr>
        <w:pStyle w:val="ListBody"/>
        <w:ind w:left="490" w:hanging="331"/>
      </w:pPr>
      <w:r>
        <w:rPr>
          <w:b/>
        </w:rPr>
        <w:t xml:space="preserve">• </w:t>
      </w:r>
      <w:r>
        <w:t>Checksum verification.</w:t>
      </w:r>
    </w:p>
    <w:p>
      <w:pPr>
        <w:pStyle w:val="ListBody"/>
        <w:ind w:left="490" w:hanging="331"/>
      </w:pPr>
      <w:r>
        <w:rPr>
          <w:b/>
        </w:rPr>
        <w:t xml:space="preserve">• </w:t>
      </w:r>
      <w:r>
        <w:t>Timestamp normalization.</w:t>
      </w:r>
    </w:p>
    <w:p>
      <w:pPr>
        <w:pStyle w:val="ListBody"/>
        <w:ind w:left="490" w:hanging="331"/>
      </w:pPr>
      <w:r>
        <w:rPr>
          <w:b/>
        </w:rPr>
        <w:t xml:space="preserve">• </w:t>
      </w:r>
      <w:r>
        <w:t>Exchange-calendar validation.</w:t>
      </w:r>
    </w:p>
    <w:p>
      <w:pPr>
        <w:pStyle w:val="ListBody"/>
        <w:ind w:left="490" w:hanging="331"/>
      </w:pPr>
      <w:r>
        <w:rPr>
          <w:b/>
        </w:rPr>
        <w:t xml:space="preserve">• </w:t>
      </w:r>
      <w:r>
        <w:t>Dead-letter queue.</w:t>
      </w:r>
    </w:p>
    <w:p>
      <w:pPr>
        <w:pStyle w:val="ListBody"/>
        <w:ind w:left="490" w:hanging="331"/>
      </w:pPr>
      <w:r>
        <w:rPr>
          <w:b/>
        </w:rPr>
        <w:t xml:space="preserve">• </w:t>
      </w:r>
      <w:r>
        <w:t>Health monitoring.</w:t>
      </w:r>
    </w:p>
    <w:p>
      <w:pPr>
        <w:spacing w:after="0"/>
      </w:pPr>
      <w:r/>
    </w:p>
    <w:p>
      <w:pPr>
        <w:pStyle w:val="Heading1"/>
        <w:pBdr>
          <w:bottom w:val="single" w:sz="4" w:space="5" w:color="7A9AAA"/>
        </w:pBdr>
        <w:keepNext/>
      </w:pPr>
      <w:r>
        <w:t>15. Canonical entity model</w:t>
      </w:r>
    </w:p>
    <w:p>
      <w:pPr/>
      <w:r>
        <w:t>The system distinguishes:</w:t>
      </w:r>
    </w:p>
    <w:p>
      <w:pPr>
        <w:pStyle w:val="ListBody"/>
        <w:ind w:left="490" w:hanging="331"/>
      </w:pPr>
      <w:r>
        <w:rPr>
          <w:b/>
        </w:rPr>
        <w:t xml:space="preserve">1. </w:t>
      </w:r>
      <w:r>
        <w:t>Company.</w:t>
      </w:r>
    </w:p>
    <w:p>
      <w:pPr>
        <w:pStyle w:val="ListBody"/>
        <w:ind w:left="490" w:hanging="331"/>
      </w:pPr>
      <w:r>
        <w:rPr>
          <w:b/>
        </w:rPr>
        <w:t xml:space="preserve">2. </w:t>
      </w:r>
      <w:r>
        <w:t>Security.</w:t>
      </w:r>
    </w:p>
    <w:p>
      <w:pPr>
        <w:pStyle w:val="ListBody"/>
        <w:ind w:left="490" w:hanging="331"/>
      </w:pPr>
      <w:r>
        <w:rPr>
          <w:b/>
        </w:rPr>
        <w:t xml:space="preserve">3. </w:t>
      </w:r>
      <w:r>
        <w:t>Listing.</w:t>
      </w:r>
    </w:p>
    <w:p>
      <w:pPr>
        <w:pStyle w:val="ListBody"/>
        <w:ind w:left="490" w:hanging="331"/>
      </w:pPr>
      <w:r>
        <w:rPr>
          <w:b/>
        </w:rPr>
        <w:t xml:space="preserve">4. </w:t>
      </w:r>
      <w:r>
        <w:t>Broker Instrument.</w:t>
      </w:r>
    </w:p>
    <w:p>
      <w:pPr>
        <w:pStyle w:val="ListBody"/>
        <w:ind w:left="490" w:hanging="331"/>
      </w:pPr>
      <w:r>
        <w:rPr>
          <w:b/>
        </w:rPr>
        <w:t xml:space="preserve">5. </w:t>
      </w:r>
      <w:r>
        <w:t>Derivative Contract.</w:t>
      </w:r>
    </w:p>
    <w:p>
      <w:pPr>
        <w:pStyle w:val="Heading2"/>
        <w:keepNext/>
      </w:pPr>
      <w:r>
        <w:t>15.1 Identifiers</w:t>
      </w:r>
    </w:p>
    <w:p>
      <w:pPr/>
      <w:r>
        <w:t>company_id</w:t>
        <w:br/>
        <w:t>security_id</w:t>
        <w:br/>
        <w:t>listing_id</w:t>
        <w:br/>
        <w:t>ISIN</w:t>
        <w:br/>
        <w:t>NSE_symbol</w:t>
        <w:br/>
        <w:t>BSE_scrip_code</w:t>
        <w:br/>
        <w:t>Upstox_instrument_key</w:t>
        <w:br/>
        <w:t>AngelOne_symbol_token</w:t>
        <w:br/>
        <w:t>former_symbols</w:t>
        <w:br/>
        <w:t>legal_company_name</w:t>
        <w:br/>
        <w:t>CIN_if_permitted</w:t>
        <w:br/>
        <w:t>LEI_if_available</w:t>
      </w:r>
    </w:p>
    <w:p>
      <w:pPr/>
      <w:r>
        <w:t>Ticker symbols are not permanent primary keys.</w:t>
      </w:r>
    </w:p>
    <w:p>
      <w:pPr>
        <w:spacing w:after="0"/>
      </w:pPr>
      <w:r/>
    </w:p>
    <w:p>
      <w:pPr>
        <w:pStyle w:val="Heading1"/>
        <w:pBdr>
          <w:bottom w:val="single" w:sz="4" w:space="5" w:color="7A9AAA"/>
        </w:pBdr>
        <w:keepNext/>
      </w:pPr>
      <w:r>
        <w:t>16. Entity resolution</w:t>
      </w:r>
    </w:p>
    <w:p>
      <w:pPr/>
      <w:r>
        <w:t>Must handle:</w:t>
      </w:r>
    </w:p>
    <w:p>
      <w:pPr>
        <w:pStyle w:val="ListBody"/>
        <w:ind w:left="490" w:hanging="331"/>
      </w:pPr>
      <w:r>
        <w:rPr>
          <w:b/>
        </w:rPr>
        <w:t xml:space="preserve">• </w:t>
      </w:r>
      <w:r>
        <w:t>NSE/BSE dual listings.</w:t>
      </w:r>
    </w:p>
    <w:p>
      <w:pPr>
        <w:pStyle w:val="ListBody"/>
        <w:ind w:left="490" w:hanging="331"/>
      </w:pPr>
      <w:r>
        <w:rPr>
          <w:b/>
        </w:rPr>
        <w:t xml:space="preserve">• </w:t>
      </w:r>
      <w:r>
        <w:t>Name changes.</w:t>
      </w:r>
    </w:p>
    <w:p>
      <w:pPr>
        <w:pStyle w:val="ListBody"/>
        <w:ind w:left="490" w:hanging="331"/>
      </w:pPr>
      <w:r>
        <w:rPr>
          <w:b/>
        </w:rPr>
        <w:t xml:space="preserve">• </w:t>
      </w:r>
      <w:r>
        <w:t>Symbol changes.</w:t>
      </w:r>
    </w:p>
    <w:p>
      <w:pPr>
        <w:pStyle w:val="ListBody"/>
        <w:ind w:left="490" w:hanging="331"/>
      </w:pPr>
      <w:r>
        <w:rPr>
          <w:b/>
        </w:rPr>
        <w:t xml:space="preserve">• </w:t>
      </w:r>
      <w:r>
        <w:t>ISIN changes.</w:t>
      </w:r>
    </w:p>
    <w:p>
      <w:pPr>
        <w:pStyle w:val="ListBody"/>
        <w:ind w:left="490" w:hanging="331"/>
      </w:pPr>
      <w:r>
        <w:rPr>
          <w:b/>
        </w:rPr>
        <w:t xml:space="preserve">• </w:t>
      </w:r>
      <w:r>
        <w:t>Mergers.</w:t>
      </w:r>
    </w:p>
    <w:p>
      <w:pPr>
        <w:pStyle w:val="ListBody"/>
        <w:ind w:left="490" w:hanging="331"/>
      </w:pPr>
      <w:r>
        <w:rPr>
          <w:b/>
        </w:rPr>
        <w:t xml:space="preserve">• </w:t>
      </w:r>
      <w:r>
        <w:t>Demergers.</w:t>
      </w:r>
    </w:p>
    <w:p>
      <w:pPr>
        <w:pStyle w:val="ListBody"/>
        <w:ind w:left="490" w:hanging="331"/>
      </w:pPr>
      <w:r>
        <w:rPr>
          <w:b/>
        </w:rPr>
        <w:t xml:space="preserve">• </w:t>
      </w:r>
      <w:r>
        <w:t>Spin-offs.</w:t>
      </w:r>
    </w:p>
    <w:p>
      <w:pPr>
        <w:pStyle w:val="ListBody"/>
        <w:ind w:left="490" w:hanging="331"/>
      </w:pPr>
      <w:r>
        <w:rPr>
          <w:b/>
        </w:rPr>
        <w:t xml:space="preserve">• </w:t>
      </w:r>
      <w:r>
        <w:t>Reverse mergers.</w:t>
      </w:r>
    </w:p>
    <w:p>
      <w:pPr>
        <w:pStyle w:val="ListBody"/>
        <w:ind w:left="490" w:hanging="331"/>
      </w:pPr>
      <w:r>
        <w:rPr>
          <w:b/>
        </w:rPr>
        <w:t xml:space="preserve">• </w:t>
      </w:r>
      <w:r>
        <w:t>Relistings.</w:t>
      </w:r>
    </w:p>
    <w:p>
      <w:pPr>
        <w:pStyle w:val="ListBody"/>
        <w:ind w:left="490" w:hanging="331"/>
      </w:pPr>
      <w:r>
        <w:rPr>
          <w:b/>
        </w:rPr>
        <w:t xml:space="preserve">• </w:t>
      </w:r>
      <w:r>
        <w:t>Suspensions.</w:t>
      </w:r>
    </w:p>
    <w:p>
      <w:pPr>
        <w:pStyle w:val="ListBody"/>
        <w:ind w:left="490" w:hanging="331"/>
      </w:pPr>
      <w:r>
        <w:rPr>
          <w:b/>
        </w:rPr>
        <w:t xml:space="preserve">• </w:t>
      </w:r>
      <w:r>
        <w:t>Delistings.</w:t>
      </w:r>
    </w:p>
    <w:p>
      <w:pPr>
        <w:pStyle w:val="ListBody"/>
        <w:ind w:left="490" w:hanging="331"/>
      </w:pPr>
      <w:r>
        <w:rPr>
          <w:b/>
        </w:rPr>
        <w:t xml:space="preserve">• </w:t>
      </w:r>
      <w:r>
        <w:t>Multiple share classes.</w:t>
      </w:r>
    </w:p>
    <w:p>
      <w:pPr>
        <w:pStyle w:val="ListBody"/>
        <w:ind w:left="490" w:hanging="331"/>
      </w:pPr>
      <w:r>
        <w:rPr>
          <w:b/>
        </w:rPr>
        <w:t xml:space="preserve">• </w:t>
      </w:r>
      <w:r>
        <w:t>Partly paid shares.</w:t>
      </w:r>
    </w:p>
    <w:p>
      <w:pPr>
        <w:pStyle w:val="ListBody"/>
        <w:ind w:left="490" w:hanging="331"/>
      </w:pPr>
      <w:r>
        <w:rPr>
          <w:b/>
        </w:rPr>
        <w:t xml:space="preserve">• </w:t>
      </w:r>
      <w:r>
        <w:t>Rights entitlements.</w:t>
      </w:r>
    </w:p>
    <w:p>
      <w:pPr>
        <w:pStyle w:val="ListBody"/>
        <w:ind w:left="490" w:hanging="331"/>
      </w:pPr>
      <w:r>
        <w:rPr>
          <w:b/>
        </w:rPr>
        <w:t xml:space="preserve">• </w:t>
      </w:r>
      <w:r>
        <w:t>Parent/subsidiary relationships.</w:t>
      </w:r>
    </w:p>
    <w:p>
      <w:pPr/>
      <w:r>
        <w:t>Matching hierarchy:</w:t>
      </w:r>
    </w:p>
    <w:p>
      <w:pPr>
        <w:pStyle w:val="ListBody"/>
        <w:ind w:left="490" w:hanging="331"/>
      </w:pPr>
      <w:r>
        <w:rPr>
          <w:b/>
        </w:rPr>
        <w:t xml:space="preserve">1. </w:t>
      </w:r>
      <w:r>
        <w:t>Exact ISIN.</w:t>
      </w:r>
    </w:p>
    <w:p>
      <w:pPr>
        <w:pStyle w:val="ListBody"/>
        <w:ind w:left="490" w:hanging="331"/>
      </w:pPr>
      <w:r>
        <w:rPr>
          <w:b/>
        </w:rPr>
        <w:t xml:space="preserve">2. </w:t>
      </w:r>
      <w:r>
        <w:t>Exchange security identifier.</w:t>
      </w:r>
    </w:p>
    <w:p>
      <w:pPr>
        <w:pStyle w:val="ListBody"/>
        <w:ind w:left="490" w:hanging="331"/>
      </w:pPr>
      <w:r>
        <w:rPr>
          <w:b/>
        </w:rPr>
        <w:t xml:space="preserve">3. </w:t>
      </w:r>
      <w:r>
        <w:t>Legal entity identifier.</w:t>
      </w:r>
    </w:p>
    <w:p>
      <w:pPr>
        <w:pStyle w:val="ListBody"/>
        <w:ind w:left="490" w:hanging="331"/>
      </w:pPr>
      <w:r>
        <w:rPr>
          <w:b/>
        </w:rPr>
        <w:t xml:space="preserve">4. </w:t>
      </w:r>
      <w:r>
        <w:t>Historical identifier link.</w:t>
      </w:r>
    </w:p>
    <w:p>
      <w:pPr>
        <w:pStyle w:val="ListBody"/>
        <w:ind w:left="490" w:hanging="331"/>
      </w:pPr>
      <w:r>
        <w:rPr>
          <w:b/>
        </w:rPr>
        <w:t xml:space="preserve">5. </w:t>
      </w:r>
      <w:r>
        <w:t>Corporate-action evidence.</w:t>
      </w:r>
    </w:p>
    <w:p>
      <w:pPr>
        <w:pStyle w:val="ListBody"/>
        <w:ind w:left="490" w:hanging="331"/>
      </w:pPr>
      <w:r>
        <w:rPr>
          <w:b/>
        </w:rPr>
        <w:t xml:space="preserve">6. </w:t>
      </w:r>
      <w:r>
        <w:t>Name and address evidence.</w:t>
      </w:r>
    </w:p>
    <w:p>
      <w:pPr>
        <w:pStyle w:val="ListBody"/>
        <w:ind w:left="490" w:hanging="331"/>
      </w:pPr>
      <w:r>
        <w:rPr>
          <w:b/>
        </w:rPr>
        <w:t xml:space="preserve">7. </w:t>
      </w:r>
      <w:r>
        <w:t>Manual review.</w:t>
      </w:r>
    </w:p>
    <w:p>
      <w:pPr/>
      <w:r>
        <w:t>Fuzzy matching cannot automatically merge entities.</w:t>
      </w:r>
    </w:p>
    <w:p>
      <w:pPr>
        <w:spacing w:after="0"/>
      </w:pPr>
      <w:r/>
    </w:p>
    <w:p>
      <w:pPr>
        <w:pStyle w:val="Heading1"/>
        <w:pBdr>
          <w:bottom w:val="single" w:sz="4" w:space="5" w:color="7A9AAA"/>
        </w:pBdr>
        <w:keepNext/>
      </w:pPr>
      <w:r>
        <w:t>17. Historical security master</w:t>
      </w:r>
    </w:p>
    <w:p>
      <w:pPr/>
      <w:r>
        <w:t>The system must answer for every historical date:</w:t>
      </w:r>
    </w:p>
    <w:p>
      <w:pPr>
        <w:pStyle w:val="ListBody"/>
        <w:ind w:left="490" w:hanging="331"/>
      </w:pPr>
      <w:r>
        <w:rPr>
          <w:b/>
        </w:rPr>
        <w:t xml:space="preserve">• </w:t>
      </w:r>
      <w:r>
        <w:t>Which companies legally existed?</w:t>
      </w:r>
    </w:p>
    <w:p>
      <w:pPr>
        <w:pStyle w:val="ListBody"/>
        <w:ind w:left="490" w:hanging="331"/>
      </w:pPr>
      <w:r>
        <w:rPr>
          <w:b/>
        </w:rPr>
        <w:t xml:space="preserve">• </w:t>
      </w:r>
      <w:r>
        <w:t>Which securities existed?</w:t>
      </w:r>
    </w:p>
    <w:p>
      <w:pPr>
        <w:pStyle w:val="ListBody"/>
        <w:ind w:left="490" w:hanging="331"/>
      </w:pPr>
      <w:r>
        <w:rPr>
          <w:b/>
        </w:rPr>
        <w:t xml:space="preserve">• </w:t>
      </w:r>
      <w:r>
        <w:t>Which listings were active?</w:t>
      </w:r>
    </w:p>
    <w:p>
      <w:pPr>
        <w:pStyle w:val="ListBody"/>
        <w:ind w:left="490" w:hanging="331"/>
      </w:pPr>
      <w:r>
        <w:rPr>
          <w:b/>
        </w:rPr>
        <w:t xml:space="preserve">• </w:t>
      </w:r>
      <w:r>
        <w:t>Which securities were suspended?</w:t>
      </w:r>
    </w:p>
    <w:p>
      <w:pPr>
        <w:pStyle w:val="ListBody"/>
        <w:ind w:left="490" w:hanging="331"/>
      </w:pPr>
      <w:r>
        <w:rPr>
          <w:b/>
        </w:rPr>
        <w:t xml:space="preserve">• </w:t>
      </w:r>
      <w:r>
        <w:t>Which symbols were valid?</w:t>
      </w:r>
    </w:p>
    <w:p>
      <w:pPr>
        <w:pStyle w:val="ListBody"/>
        <w:ind w:left="490" w:hanging="331"/>
      </w:pPr>
      <w:r>
        <w:rPr>
          <w:b/>
        </w:rPr>
        <w:t xml:space="preserve">• </w:t>
      </w:r>
      <w:r>
        <w:t>Which sector classification applied?</w:t>
      </w:r>
    </w:p>
    <w:p>
      <w:pPr>
        <w:pStyle w:val="ListBody"/>
        <w:ind w:left="490" w:hanging="331"/>
      </w:pPr>
      <w:r>
        <w:rPr>
          <w:b/>
        </w:rPr>
        <w:t xml:space="preserve">• </w:t>
      </w:r>
      <w:r>
        <w:t>Which index membership applied?</w:t>
      </w:r>
    </w:p>
    <w:p>
      <w:pPr>
        <w:pStyle w:val="ListBody"/>
        <w:ind w:left="490" w:hanging="331"/>
      </w:pPr>
      <w:r>
        <w:rPr>
          <w:b/>
        </w:rPr>
        <w:t xml:space="preserve">• </w:t>
      </w:r>
      <w:r>
        <w:t>Which data was public?</w:t>
      </w:r>
    </w:p>
    <w:p>
      <w:pPr/>
      <w:r>
        <w:t>A broker’s current instrument file cannot reconstruct historical delisted securities by itself.</w:t>
      </w:r>
    </w:p>
    <w:p>
      <w:pPr/>
      <w:r>
        <w:t>The system must archive every daily instrument-master version used.</w:t>
      </w:r>
    </w:p>
    <w:p>
      <w:pPr>
        <w:spacing w:after="0"/>
      </w:pPr>
      <w:r/>
    </w:p>
    <w:p>
      <w:pPr>
        <w:pStyle w:val="Heading1"/>
        <w:pBdr>
          <w:bottom w:val="single" w:sz="4" w:space="5" w:color="7A9AAA"/>
        </w:pBdr>
        <w:keepNext/>
      </w:pPr>
      <w:r>
        <w:t>18. Point-in-time model</w:t>
      </w:r>
    </w:p>
    <w:p>
      <w:pPr/>
      <w:r>
        <w:t>Each material record stores:</w:t>
      </w:r>
    </w:p>
    <w:p>
      <w:pPr/>
      <w:r>
        <w:t>economic_period_start</w:t>
        <w:br/>
        <w:t>economic_period_end</w:t>
        <w:br/>
        <w:t>filing_date</w:t>
        <w:br/>
        <w:t>exchange_received_at</w:t>
        <w:br/>
        <w:t>exchange_broadcast_at</w:t>
        <w:br/>
        <w:t>first_public_at</w:t>
        <w:br/>
        <w:t>system_received_at</w:t>
        <w:br/>
        <w:t>processed_at</w:t>
        <w:br/>
        <w:t>revision_at</w:t>
        <w:br/>
        <w:t>revision_of_record_id</w:t>
        <w:br/>
        <w:t>valid_from</w:t>
        <w:br/>
        <w:t>valid_to</w:t>
        <w:br/>
        <w:t>source_id</w:t>
        <w:br/>
        <w:t>source_grade</w:t>
        <w:br/>
        <w:t>document_hash</w:t>
        <w:br/>
        <w:t>parser_version</w:t>
      </w:r>
    </w:p>
    <w:p>
      <w:pPr/>
      <w:r>
        <w:t>Historical analysis uses the first valid version available at decision time.</w:t>
      </w:r>
    </w:p>
    <w:p>
      <w:pPr/>
      <w:r>
        <w:t>Current research may use the latest effective version.</w:t>
      </w:r>
    </w:p>
    <w:p>
      <w:pPr/>
      <w:r>
        <w:t>Both versions remain visible.</w:t>
      </w:r>
    </w:p>
    <w:p>
      <w:pPr>
        <w:spacing w:after="0"/>
      </w:pPr>
      <w:r/>
    </w:p>
    <w:p>
      <w:pPr>
        <w:pStyle w:val="Heading1"/>
        <w:pBdr>
          <w:bottom w:val="single" w:sz="4" w:space="5" w:color="7A9AAA"/>
        </w:pBdr>
        <w:keepNext/>
      </w:pPr>
      <w:r>
        <w:t>19. Immutable raw store</w:t>
      </w:r>
    </w:p>
    <w:p>
      <w:pPr/>
      <w:r>
        <w:t>Store unchanged:</w:t>
      </w:r>
    </w:p>
    <w:p>
      <w:pPr>
        <w:pStyle w:val="ListBody"/>
        <w:ind w:left="490" w:hanging="331"/>
      </w:pPr>
      <w:r>
        <w:rPr>
          <w:b/>
        </w:rPr>
        <w:t xml:space="preserve">• </w:t>
      </w:r>
      <w:r>
        <w:t>JSON.</w:t>
      </w:r>
    </w:p>
    <w:p>
      <w:pPr>
        <w:pStyle w:val="ListBody"/>
        <w:ind w:left="490" w:hanging="331"/>
      </w:pPr>
      <w:r>
        <w:rPr>
          <w:b/>
        </w:rPr>
        <w:t xml:space="preserve">• </w:t>
      </w:r>
      <w:r>
        <w:t>XML.</w:t>
      </w:r>
    </w:p>
    <w:p>
      <w:pPr>
        <w:pStyle w:val="ListBody"/>
        <w:ind w:left="490" w:hanging="331"/>
      </w:pPr>
      <w:r>
        <w:rPr>
          <w:b/>
        </w:rPr>
        <w:t xml:space="preserve">• </w:t>
      </w:r>
      <w:r>
        <w:t>CSV.</w:t>
      </w:r>
    </w:p>
    <w:p>
      <w:pPr>
        <w:pStyle w:val="ListBody"/>
        <w:ind w:left="490" w:hanging="331"/>
      </w:pPr>
      <w:r>
        <w:rPr>
          <w:b/>
        </w:rPr>
        <w:t xml:space="preserve">• </w:t>
      </w:r>
      <w:r>
        <w:t>PDF.</w:t>
      </w:r>
    </w:p>
    <w:p>
      <w:pPr>
        <w:pStyle w:val="ListBody"/>
        <w:ind w:left="490" w:hanging="331"/>
      </w:pPr>
      <w:r>
        <w:rPr>
          <w:b/>
        </w:rPr>
        <w:t xml:space="preserve">• </w:t>
      </w:r>
      <w:r>
        <w:t>API response.</w:t>
      </w:r>
    </w:p>
    <w:p>
      <w:pPr>
        <w:pStyle w:val="ListBody"/>
        <w:ind w:left="490" w:hanging="331"/>
      </w:pPr>
      <w:r>
        <w:rPr>
          <w:b/>
        </w:rPr>
        <w:t xml:space="preserve">• </w:t>
      </w:r>
      <w:r>
        <w:t>Request metadata.</w:t>
      </w:r>
    </w:p>
    <w:p>
      <w:pPr>
        <w:pStyle w:val="ListBody"/>
        <w:ind w:left="490" w:hanging="331"/>
      </w:pPr>
      <w:r>
        <w:rPr>
          <w:b/>
        </w:rPr>
        <w:t xml:space="preserve">• </w:t>
      </w:r>
      <w:r>
        <w:t>Provider.</w:t>
      </w:r>
    </w:p>
    <w:p>
      <w:pPr>
        <w:pStyle w:val="ListBody"/>
        <w:ind w:left="490" w:hanging="331"/>
      </w:pPr>
      <w:r>
        <w:rPr>
          <w:b/>
        </w:rPr>
        <w:t xml:space="preserve">• </w:t>
      </w:r>
      <w:r>
        <w:t>Timestamp.</w:t>
      </w:r>
    </w:p>
    <w:p>
      <w:pPr>
        <w:pStyle w:val="ListBody"/>
        <w:ind w:left="490" w:hanging="331"/>
      </w:pPr>
      <w:r>
        <w:rPr>
          <w:b/>
        </w:rPr>
        <w:t xml:space="preserve">• </w:t>
      </w:r>
      <w:r>
        <w:t>File checksum.</w:t>
      </w:r>
    </w:p>
    <w:p>
      <w:pPr>
        <w:pStyle w:val="ListBody"/>
        <w:ind w:left="490" w:hanging="331"/>
      </w:pPr>
      <w:r>
        <w:rPr>
          <w:b/>
        </w:rPr>
        <w:t xml:space="preserve">• </w:t>
      </w:r>
      <w:r>
        <w:t>Schema version.</w:t>
      </w:r>
    </w:p>
    <w:p>
      <w:pPr>
        <w:pStyle w:val="ListBody"/>
        <w:ind w:left="490" w:hanging="331"/>
      </w:pPr>
      <w:r>
        <w:rPr>
          <w:b/>
        </w:rPr>
        <w:t xml:space="preserve">• </w:t>
      </w:r>
      <w:r>
        <w:t>License reference.</w:t>
      </w:r>
    </w:p>
    <w:p>
      <w:pPr>
        <w:pStyle w:val="ListBody"/>
        <w:ind w:left="490" w:hanging="331"/>
      </w:pPr>
      <w:r>
        <w:rPr>
          <w:b/>
        </w:rPr>
        <w:t xml:space="preserve">• </w:t>
      </w:r>
      <w:r>
        <w:t>Parsing status.</w:t>
      </w:r>
    </w:p>
    <w:p>
      <w:pPr/>
      <w:r>
        <w:t>Revisions create linked versions.</w:t>
      </w:r>
    </w:p>
    <w:p>
      <w:pPr/>
      <w:r>
        <w:t>No raw record is overwritten.</w:t>
      </w:r>
    </w:p>
    <w:p>
      <w:pPr>
        <w:spacing w:after="0"/>
      </w:pPr>
      <w:r/>
    </w:p>
    <w:p>
      <w:pPr>
        <w:pStyle w:val="Heading1"/>
        <w:pBdr>
          <w:bottom w:val="single" w:sz="4" w:space="5" w:color="7A9AAA"/>
        </w:pBdr>
        <w:keepNext/>
      </w:pPr>
      <w:r>
        <w:t>20. Reconciliation engine</w:t>
      </w:r>
    </w:p>
    <w:p>
      <w:pPr/>
      <w:r>
        <w:t>Reconciliation states:</w:t>
      </w:r>
    </w:p>
    <w:p>
      <w:pPr/>
      <w:r>
        <w:t>MATCHED</w:t>
        <w:br/>
        <w:t>MATCHED_WITH_TOLERANCE</w:t>
        <w:br/>
        <w:t>SOURCE_DELAY</w:t>
        <w:br/>
        <w:t>SCOPE_DIFFERENCE</w:t>
        <w:br/>
        <w:t>UNIT_DIFFERENCE</w:t>
        <w:br/>
        <w:t>REVISION_DIFFERENCE</w:t>
        <w:br/>
        <w:t>CORPORATE_ACTION_DIFFERENCE</w:t>
        <w:br/>
        <w:t>TIMESTAMP_DIFFERENCE</w:t>
        <w:br/>
        <w:t>MATERIAL_CONFLICT</w:t>
        <w:br/>
        <w:t>MISSING_PRIMARY</w:t>
        <w:br/>
        <w:t>QUARANTINED</w:t>
        <w:br/>
        <w:t>MANUAL_REVIEW</w:t>
      </w:r>
    </w:p>
    <w:p>
      <w:pPr>
        <w:pStyle w:val="Heading2"/>
        <w:keepNext/>
      </w:pPr>
      <w:r>
        <w:t>20.1 Relative difference formula</w:t>
      </w:r>
    </w:p>
    <w:p>
      <w:pPr>
        <w:pStyle w:val="FormulaBlock"/>
        <w:shd w:fill="F5F8FA"/>
      </w:pPr>
      <w:r>
        <w:t>RelativeDifference =</w:t>
        <w:br/>
        <w:t xml:space="preserve">    abs(x1 - x2)</w:t>
        <w:br/>
        <w:t xml:space="preserve">    / max(abs(x1), abs(x2), epsilon)</w:t>
      </w:r>
    </w:p>
    <w:p>
      <w:pPr/>
      <w:r>
        <w:t>Variables:</w:t>
      </w:r>
    </w:p>
    <w:p>
      <w:pPr>
        <w:pStyle w:val="ListBody"/>
        <w:ind w:left="490" w:hanging="331"/>
      </w:pPr>
      <w:r>
        <w:rPr>
          <w:b/>
        </w:rPr>
        <w:t xml:space="preserve">• </w:t>
      </w:r>
      <w:r>
        <w:t>x1 = first source value.</w:t>
      </w:r>
    </w:p>
    <w:p>
      <w:pPr>
        <w:pStyle w:val="ListBody"/>
        <w:ind w:left="490" w:hanging="331"/>
      </w:pPr>
      <w:r>
        <w:rPr>
          <w:b/>
        </w:rPr>
        <w:t xml:space="preserve">• </w:t>
      </w:r>
      <w:r>
        <w:t>x2 = second source value.</w:t>
      </w:r>
    </w:p>
    <w:p>
      <w:pPr>
        <w:pStyle w:val="ListBody"/>
        <w:ind w:left="490" w:hanging="331"/>
      </w:pPr>
      <w:r>
        <w:rPr>
          <w:b/>
        </w:rPr>
        <w:t xml:space="preserve">• </w:t>
      </w:r>
      <w:r>
        <w:t>epsilon = configured positive denominator floor.</w:t>
      </w:r>
    </w:p>
    <w:p>
      <w:pPr>
        <w:pStyle w:val="Heading2"/>
        <w:keepNext/>
      </w:pPr>
      <w:r>
        <w:t>20.2 Reconciliation process</w:t>
      </w:r>
    </w:p>
    <w:p>
      <w:pPr>
        <w:pStyle w:val="ListBody"/>
        <w:ind w:left="490" w:hanging="331"/>
      </w:pPr>
      <w:r>
        <w:rPr>
          <w:b/>
        </w:rPr>
        <w:t xml:space="preserve">1. </w:t>
      </w:r>
      <w:r>
        <w:t>Match company.</w:t>
      </w:r>
    </w:p>
    <w:p>
      <w:pPr>
        <w:pStyle w:val="ListBody"/>
        <w:ind w:left="490" w:hanging="331"/>
      </w:pPr>
      <w:r>
        <w:rPr>
          <w:b/>
        </w:rPr>
        <w:t xml:space="preserve">2. </w:t>
      </w:r>
      <w:r>
        <w:t>Match security.</w:t>
      </w:r>
    </w:p>
    <w:p>
      <w:pPr>
        <w:pStyle w:val="ListBody"/>
        <w:ind w:left="490" w:hanging="331"/>
      </w:pPr>
      <w:r>
        <w:rPr>
          <w:b/>
        </w:rPr>
        <w:t xml:space="preserve">3. </w:t>
      </w:r>
      <w:r>
        <w:t>Match period.</w:t>
      </w:r>
    </w:p>
    <w:p>
      <w:pPr>
        <w:pStyle w:val="ListBody"/>
        <w:ind w:left="490" w:hanging="331"/>
      </w:pPr>
      <w:r>
        <w:rPr>
          <w:b/>
        </w:rPr>
        <w:t xml:space="preserve">4. </w:t>
      </w:r>
      <w:r>
        <w:t>Match scope.</w:t>
      </w:r>
    </w:p>
    <w:p>
      <w:pPr>
        <w:pStyle w:val="ListBody"/>
        <w:ind w:left="490" w:hanging="331"/>
      </w:pPr>
      <w:r>
        <w:rPr>
          <w:b/>
        </w:rPr>
        <w:t xml:space="preserve">5. </w:t>
      </w:r>
      <w:r>
        <w:t>Normalize unit.</w:t>
      </w:r>
    </w:p>
    <w:p>
      <w:pPr>
        <w:pStyle w:val="ListBody"/>
        <w:ind w:left="490" w:hanging="331"/>
      </w:pPr>
      <w:r>
        <w:rPr>
          <w:b/>
        </w:rPr>
        <w:t xml:space="preserve">6. </w:t>
      </w:r>
      <w:r>
        <w:t>Normalize currency.</w:t>
      </w:r>
    </w:p>
    <w:p>
      <w:pPr>
        <w:pStyle w:val="ListBody"/>
        <w:ind w:left="490" w:hanging="331"/>
      </w:pPr>
      <w:r>
        <w:rPr>
          <w:b/>
        </w:rPr>
        <w:t xml:space="preserve">7. </w:t>
      </w:r>
      <w:r>
        <w:t>Check revision status.</w:t>
      </w:r>
    </w:p>
    <w:p>
      <w:pPr>
        <w:pStyle w:val="ListBody"/>
        <w:ind w:left="490" w:hanging="331"/>
      </w:pPr>
      <w:r>
        <w:rPr>
          <w:b/>
        </w:rPr>
        <w:t xml:space="preserve">8. </w:t>
      </w:r>
      <w:r>
        <w:t>Apply corporate actions.</w:t>
      </w:r>
    </w:p>
    <w:p>
      <w:pPr>
        <w:pStyle w:val="ListBody"/>
        <w:ind w:left="490" w:hanging="331"/>
      </w:pPr>
      <w:r>
        <w:rPr>
          <w:b/>
        </w:rPr>
        <w:t xml:space="preserve">9. </w:t>
      </w:r>
      <w:r>
        <w:t>Apply source precedence.</w:t>
      </w:r>
    </w:p>
    <w:p>
      <w:pPr>
        <w:pStyle w:val="ListBody"/>
        <w:ind w:left="490" w:hanging="331"/>
      </w:pPr>
      <w:r>
        <w:rPr>
          <w:b/>
        </w:rPr>
        <w:t xml:space="preserve">10. </w:t>
      </w:r>
      <w:r>
        <w:t>Quarantine unresolved conflicts.</w:t>
      </w:r>
    </w:p>
    <w:p>
      <w:pPr>
        <w:pStyle w:val="ListBody"/>
        <w:ind w:left="490" w:hanging="331"/>
      </w:pPr>
      <w:r>
        <w:rPr>
          <w:b/>
        </w:rPr>
        <w:t xml:space="preserve">11. </w:t>
      </w:r>
      <w:r>
        <w:t>Reduce Data Confidence.</w:t>
      </w:r>
    </w:p>
    <w:p>
      <w:pPr>
        <w:pStyle w:val="ListBody"/>
        <w:ind w:left="490" w:hanging="331"/>
      </w:pPr>
      <w:r>
        <w:rPr>
          <w:b/>
        </w:rPr>
        <w:t xml:space="preserve">12. </w:t>
      </w:r>
      <w:r>
        <w:t>Block critical downstream features.</w:t>
      </w:r>
    </w:p>
    <w:p>
      <w:pPr/>
      <w:r>
        <w:t>Never average conflicting statutory values.</w:t>
      </w:r>
    </w:p>
    <w:p>
      <w:pPr>
        <w:spacing w:after="0"/>
      </w:pPr>
      <w:r/>
    </w:p>
    <w:p>
      <w:pPr>
        <w:pStyle w:val="Heading1"/>
        <w:pBdr>
          <w:bottom w:val="single" w:sz="4" w:space="5" w:color="7A9AAA"/>
        </w:pBdr>
        <w:keepNext/>
      </w:pPr>
      <w:r>
        <w:t>21. Data Confidence</w:t>
      </w:r>
    </w:p>
    <w:p>
      <w:pPr/>
      <w:r>
        <w:t>Weights: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blHeader w:val="true"/>
        </w:trPr>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Component</w:t>
            </w:r>
          </w:p>
        </w:tc>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Weight</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Primary-source coverage</w:t>
            </w:r>
          </w:p>
        </w:tc>
        <w:tc>
          <w:tcPr>
            <w:tcW w:type="dxa" w:w="4997"/>
            <w:vAlign w:val="center"/>
            <w:tcMar>
              <w:top w:w="55" w:type="dxa"/>
              <w:start w:w="65" w:type="dxa"/>
              <w:bottom w:w="55" w:type="dxa"/>
              <w:end w:w="65" w:type="dxa"/>
            </w:tcMar>
          </w:tcPr>
          <w:p>
            <w:pPr>
              <w:spacing w:after="0"/>
            </w:pPr>
            <w:r>
              <w:rPr>
                <w:rFonts w:ascii="Cambria" w:hAnsi="Cambria"/>
                <w:sz w:val="18"/>
              </w:rPr>
              <w:t>25</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Financial reconciliation</w:t>
            </w:r>
          </w:p>
        </w:tc>
        <w:tc>
          <w:tcPr>
            <w:tcW w:type="dxa" w:w="4997"/>
            <w:vAlign w:val="center"/>
            <w:tcMar>
              <w:top w:w="55" w:type="dxa"/>
              <w:start w:w="65" w:type="dxa"/>
              <w:bottom w:w="55" w:type="dxa"/>
              <w:end w:w="65" w:type="dxa"/>
            </w:tcMar>
            <w:shd w:fill="F8FAFB"/>
          </w:tcPr>
          <w:p>
            <w:pPr>
              <w:spacing w:after="0"/>
            </w:pPr>
            <w:r>
              <w:rPr>
                <w:rFonts w:ascii="Cambria" w:hAnsi="Cambria"/>
                <w:sz w:val="18"/>
              </w:rPr>
              <w:t>20</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Data freshness</w:t>
            </w:r>
          </w:p>
        </w:tc>
        <w:tc>
          <w:tcPr>
            <w:tcW w:type="dxa" w:w="4997"/>
            <w:vAlign w:val="center"/>
            <w:tcMar>
              <w:top w:w="55" w:type="dxa"/>
              <w:start w:w="65" w:type="dxa"/>
              <w:bottom w:w="55" w:type="dxa"/>
              <w:end w:w="65" w:type="dxa"/>
            </w:tcMar>
          </w:tcPr>
          <w:p>
            <w:pPr>
              <w:spacing w:after="0"/>
            </w:pPr>
            <w:r>
              <w:rPr>
                <w:rFonts w:ascii="Cambria" w:hAnsi="Cambria"/>
                <w:sz w:val="18"/>
              </w:rPr>
              <w:t>15</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Historical coverage</w:t>
            </w:r>
          </w:p>
        </w:tc>
        <w:tc>
          <w:tcPr>
            <w:tcW w:type="dxa" w:w="4997"/>
            <w:vAlign w:val="center"/>
            <w:tcMar>
              <w:top w:w="55" w:type="dxa"/>
              <w:start w:w="65" w:type="dxa"/>
              <w:bottom w:w="55" w:type="dxa"/>
              <w:end w:w="65" w:type="dxa"/>
            </w:tcMar>
            <w:shd w:fill="F8FAFB"/>
          </w:tcPr>
          <w:p>
            <w:pPr>
              <w:spacing w:after="0"/>
            </w:pPr>
            <w:r>
              <w:rPr>
                <w:rFonts w:ascii="Cambria" w:hAnsi="Cambria"/>
                <w:sz w:val="18"/>
              </w:rPr>
              <w:t>10</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Source agreement</w:t>
            </w:r>
          </w:p>
        </w:tc>
        <w:tc>
          <w:tcPr>
            <w:tcW w:type="dxa" w:w="4997"/>
            <w:vAlign w:val="center"/>
            <w:tcMar>
              <w:top w:w="55" w:type="dxa"/>
              <w:start w:w="65" w:type="dxa"/>
              <w:bottom w:w="55" w:type="dxa"/>
              <w:end w:w="65" w:type="dxa"/>
            </w:tcMar>
          </w:tcPr>
          <w:p>
            <w:pPr>
              <w:spacing w:after="0"/>
            </w:pPr>
            <w:r>
              <w:rPr>
                <w:rFonts w:ascii="Cambria" w:hAnsi="Cambria"/>
                <w:sz w:val="18"/>
              </w:rPr>
              <w:t>10</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Parsing confidence</w:t>
            </w:r>
          </w:p>
        </w:tc>
        <w:tc>
          <w:tcPr>
            <w:tcW w:type="dxa" w:w="4997"/>
            <w:vAlign w:val="center"/>
            <w:tcMar>
              <w:top w:w="55" w:type="dxa"/>
              <w:start w:w="65" w:type="dxa"/>
              <w:bottom w:w="55" w:type="dxa"/>
              <w:end w:w="65" w:type="dxa"/>
            </w:tcMar>
            <w:shd w:fill="F8FAFB"/>
          </w:tcPr>
          <w:p>
            <w:pPr>
              <w:spacing w:after="0"/>
            </w:pPr>
            <w:r>
              <w:rPr>
                <w:rFonts w:ascii="Cambria" w:hAnsi="Cambria"/>
                <w:sz w:val="18"/>
              </w:rPr>
              <w:t>10</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Sector-model completeness</w:t>
            </w:r>
          </w:p>
        </w:tc>
        <w:tc>
          <w:tcPr>
            <w:tcW w:type="dxa" w:w="4997"/>
            <w:vAlign w:val="center"/>
            <w:tcMar>
              <w:top w:w="55" w:type="dxa"/>
              <w:start w:w="65" w:type="dxa"/>
              <w:bottom w:w="55" w:type="dxa"/>
              <w:end w:w="65" w:type="dxa"/>
            </w:tcMar>
          </w:tcPr>
          <w:p>
            <w:pPr>
              <w:spacing w:after="0"/>
            </w:pPr>
            <w:r>
              <w:rPr>
                <w:rFonts w:ascii="Cambria" w:hAnsi="Cambria"/>
                <w:sz w:val="18"/>
              </w:rPr>
              <w:t>5</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Corporate-action completeness</w:t>
            </w:r>
          </w:p>
        </w:tc>
        <w:tc>
          <w:tcPr>
            <w:tcW w:type="dxa" w:w="4997"/>
            <w:vAlign w:val="center"/>
            <w:tcMar>
              <w:top w:w="55" w:type="dxa"/>
              <w:start w:w="65" w:type="dxa"/>
              <w:bottom w:w="55" w:type="dxa"/>
              <w:end w:w="65" w:type="dxa"/>
            </w:tcMar>
            <w:shd w:fill="F8FAFB"/>
          </w:tcPr>
          <w:p>
            <w:pPr>
              <w:spacing w:after="0"/>
            </w:pPr>
            <w:r>
              <w:rPr>
                <w:rFonts w:ascii="Cambria" w:hAnsi="Cambria"/>
                <w:sz w:val="18"/>
              </w:rPr>
              <w:t>5</w:t>
            </w:r>
          </w:p>
        </w:tc>
      </w:tr>
    </w:tbl>
    <w:p>
      <w:pPr>
        <w:spacing w:after="20"/>
      </w:pPr>
    </w:p>
    <w:p>
      <w:pPr>
        <w:pStyle w:val="Heading2"/>
        <w:keepNext/>
      </w:pPr>
      <w:r>
        <w:t>Formula</w:t>
      </w:r>
    </w:p>
    <w:p>
      <w:pPr>
        <w:pStyle w:val="FormulaBlock"/>
        <w:shd w:fill="F5F8FA"/>
      </w:pPr>
      <w:r>
        <w:t>DataConfidence =</w:t>
        <w:br/>
        <w:t xml:space="preserve">    sum(weight[k] * component_score[k])</w:t>
        <w:br/>
        <w:t xml:space="preserve">    / sum(weight[k])</w:t>
      </w:r>
    </w:p>
    <w:p>
      <w:pPr/>
      <w:r>
        <w:t>All component scores range from 0 to 100.</w:t>
      </w:r>
    </w:p>
    <w:p>
      <w:pPr/>
      <w:r>
        <w:t>Output is clipped to 0–100.</w:t>
      </w:r>
    </w:p>
    <w:p>
      <w:pPr>
        <w:pStyle w:val="Heading2"/>
        <w:keepNext/>
      </w:pPr>
      <w:r>
        <w:t>Classes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blHeader w:val="true"/>
        </w:trPr>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Score</w:t>
            </w:r>
          </w:p>
        </w:tc>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Class</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90–100</w:t>
            </w:r>
          </w:p>
        </w:tc>
        <w:tc>
          <w:tcPr>
            <w:tcW w:type="dxa" w:w="4997"/>
            <w:vAlign w:val="center"/>
            <w:tcMar>
              <w:top w:w="55" w:type="dxa"/>
              <w:start w:w="65" w:type="dxa"/>
              <w:bottom w:w="55" w:type="dxa"/>
              <w:end w:w="65" w:type="dxa"/>
            </w:tcMar>
          </w:tcPr>
          <w:p>
            <w:pPr>
              <w:spacing w:after="0"/>
            </w:pPr>
            <w:r>
              <w:rPr>
                <w:rFonts w:ascii="Cambria" w:hAnsi="Cambria"/>
                <w:sz w:val="18"/>
              </w:rPr>
              <w:t>High</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80–89.99</w:t>
            </w:r>
          </w:p>
        </w:tc>
        <w:tc>
          <w:tcPr>
            <w:tcW w:type="dxa" w:w="4997"/>
            <w:vAlign w:val="center"/>
            <w:tcMar>
              <w:top w:w="55" w:type="dxa"/>
              <w:start w:w="65" w:type="dxa"/>
              <w:bottom w:w="55" w:type="dxa"/>
              <w:end w:w="65" w:type="dxa"/>
            </w:tcMar>
            <w:shd w:fill="F8FAFB"/>
          </w:tcPr>
          <w:p>
            <w:pPr>
              <w:spacing w:after="0"/>
            </w:pPr>
            <w:r>
              <w:rPr>
                <w:rFonts w:ascii="Cambria" w:hAnsi="Cambria"/>
                <w:sz w:val="18"/>
              </w:rPr>
              <w:t>Acceptable</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70–79.99</w:t>
            </w:r>
          </w:p>
        </w:tc>
        <w:tc>
          <w:tcPr>
            <w:tcW w:type="dxa" w:w="4997"/>
            <w:vAlign w:val="center"/>
            <w:tcMar>
              <w:top w:w="55" w:type="dxa"/>
              <w:start w:w="65" w:type="dxa"/>
              <w:bottom w:w="55" w:type="dxa"/>
              <w:end w:w="65" w:type="dxa"/>
            </w:tcMar>
          </w:tcPr>
          <w:p>
            <w:pPr>
              <w:spacing w:after="0"/>
            </w:pPr>
            <w:r>
              <w:rPr>
                <w:rFonts w:ascii="Cambria" w:hAnsi="Cambria"/>
                <w:sz w:val="18"/>
              </w:rPr>
              <w:t>Restricted</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50–69.99</w:t>
            </w:r>
          </w:p>
        </w:tc>
        <w:tc>
          <w:tcPr>
            <w:tcW w:type="dxa" w:w="4997"/>
            <w:vAlign w:val="center"/>
            <w:tcMar>
              <w:top w:w="55" w:type="dxa"/>
              <w:start w:w="65" w:type="dxa"/>
              <w:bottom w:w="55" w:type="dxa"/>
              <w:end w:w="65" w:type="dxa"/>
            </w:tcMar>
            <w:shd w:fill="F8FAFB"/>
          </w:tcPr>
          <w:p>
            <w:pPr>
              <w:spacing w:after="0"/>
            </w:pPr>
            <w:r>
              <w:rPr>
                <w:rFonts w:ascii="Cambria" w:hAnsi="Cambria"/>
                <w:sz w:val="18"/>
              </w:rPr>
              <w:t>Limited</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Below 50</w:t>
            </w:r>
          </w:p>
        </w:tc>
        <w:tc>
          <w:tcPr>
            <w:tcW w:type="dxa" w:w="4997"/>
            <w:vAlign w:val="center"/>
            <w:tcMar>
              <w:top w:w="55" w:type="dxa"/>
              <w:start w:w="65" w:type="dxa"/>
              <w:bottom w:w="55" w:type="dxa"/>
              <w:end w:w="65" w:type="dxa"/>
            </w:tcMar>
          </w:tcPr>
          <w:p>
            <w:pPr>
              <w:spacing w:after="0"/>
            </w:pPr>
            <w:r>
              <w:rPr>
                <w:rFonts w:ascii="Cambria" w:hAnsi="Cambria"/>
                <w:sz w:val="18"/>
              </w:rPr>
              <w:t>Insufficient</w:t>
            </w:r>
          </w:p>
        </w:tc>
      </w:tr>
    </w:tbl>
    <w:p>
      <w:pPr>
        <w:spacing w:after="20"/>
      </w:pPr>
    </w:p>
    <w:p>
      <w:pPr>
        <w:spacing w:after="0"/>
      </w:pPr>
      <w:r/>
    </w:p>
    <w:p>
      <w:pPr>
        <w:pStyle w:val="Heading1"/>
        <w:pBdr>
          <w:bottom w:val="single" w:sz="4" w:space="5" w:color="7A9AAA"/>
        </w:pBdr>
        <w:keepNext/>
      </w:pPr>
      <w:r>
        <w:t>22. Discovery Universe</w:t>
      </w:r>
    </w:p>
    <w:p>
      <w:pPr/>
      <w:r>
        <w:t>Contains all known Indian ordinary-equity securities, including historical:</w:t>
      </w:r>
    </w:p>
    <w:p>
      <w:pPr>
        <w:pStyle w:val="ListBody"/>
        <w:ind w:left="490" w:hanging="331"/>
      </w:pPr>
      <w:r>
        <w:rPr>
          <w:b/>
        </w:rPr>
        <w:t xml:space="preserve">• </w:t>
      </w:r>
      <w:r>
        <w:t>Main-board companies.</w:t>
      </w:r>
    </w:p>
    <w:p>
      <w:pPr>
        <w:pStyle w:val="ListBody"/>
        <w:ind w:left="490" w:hanging="331"/>
      </w:pPr>
      <w:r>
        <w:rPr>
          <w:b/>
        </w:rPr>
        <w:t xml:space="preserve">• </w:t>
      </w:r>
      <w:r>
        <w:t>SME companies.</w:t>
      </w:r>
    </w:p>
    <w:p>
      <w:pPr>
        <w:pStyle w:val="ListBody"/>
        <w:ind w:left="490" w:hanging="331"/>
      </w:pPr>
      <w:r>
        <w:rPr>
          <w:b/>
        </w:rPr>
        <w:t xml:space="preserve">• </w:t>
      </w:r>
      <w:r>
        <w:t>New listings.</w:t>
      </w:r>
    </w:p>
    <w:p>
      <w:pPr>
        <w:pStyle w:val="ListBody"/>
        <w:ind w:left="490" w:hanging="331"/>
      </w:pPr>
      <w:r>
        <w:rPr>
          <w:b/>
        </w:rPr>
        <w:t xml:space="preserve">• </w:t>
      </w:r>
      <w:r>
        <w:t>Suspended securities.</w:t>
      </w:r>
    </w:p>
    <w:p>
      <w:pPr>
        <w:pStyle w:val="ListBody"/>
        <w:ind w:left="490" w:hanging="331"/>
      </w:pPr>
      <w:r>
        <w:rPr>
          <w:b/>
        </w:rPr>
        <w:t xml:space="preserve">• </w:t>
      </w:r>
      <w:r>
        <w:t>Delisted securities.</w:t>
      </w:r>
    </w:p>
    <w:p>
      <w:pPr>
        <w:pStyle w:val="ListBody"/>
        <w:ind w:left="490" w:hanging="331"/>
      </w:pPr>
      <w:r>
        <w:rPr>
          <w:b/>
        </w:rPr>
        <w:t xml:space="preserve">• </w:t>
      </w:r>
      <w:r>
        <w:t>Insolvency cases.</w:t>
      </w:r>
    </w:p>
    <w:p>
      <w:pPr>
        <w:pStyle w:val="ListBody"/>
        <w:ind w:left="490" w:hanging="331"/>
      </w:pPr>
      <w:r>
        <w:rPr>
          <w:b/>
        </w:rPr>
        <w:t xml:space="preserve">• </w:t>
      </w:r>
      <w:r>
        <w:t>Failed companies.</w:t>
      </w:r>
    </w:p>
    <w:p>
      <w:pPr>
        <w:pStyle w:val="ListBody"/>
        <w:ind w:left="490" w:hanging="331"/>
      </w:pPr>
      <w:r>
        <w:rPr>
          <w:b/>
        </w:rPr>
        <w:t xml:space="preserve">• </w:t>
      </w:r>
      <w:r>
        <w:t>Financial institutions.</w:t>
      </w:r>
    </w:p>
    <w:p>
      <w:pPr>
        <w:pStyle w:val="ListBody"/>
        <w:ind w:left="490" w:hanging="331"/>
      </w:pPr>
      <w:r>
        <w:rPr>
          <w:b/>
        </w:rPr>
        <w:t xml:space="preserve">• </w:t>
      </w:r>
      <w:r>
        <w:t>Holding companies.</w:t>
      </w:r>
    </w:p>
    <w:p>
      <w:pPr>
        <w:pStyle w:val="ListBody"/>
        <w:ind w:left="490" w:hanging="331"/>
      </w:pPr>
      <w:r>
        <w:rPr>
          <w:b/>
        </w:rPr>
        <w:t xml:space="preserve">• </w:t>
      </w:r>
      <w:r>
        <w:t>REITs.</w:t>
      </w:r>
    </w:p>
    <w:p>
      <w:pPr>
        <w:pStyle w:val="ListBody"/>
        <w:ind w:left="490" w:hanging="331"/>
      </w:pPr>
      <w:r>
        <w:rPr>
          <w:b/>
        </w:rPr>
        <w:t xml:space="preserve">• </w:t>
      </w:r>
      <w:r>
        <w:t>InvITs.</w:t>
      </w:r>
    </w:p>
    <w:p>
      <w:pPr/>
      <w:r>
        <w:t>Discovery does not mean investable.</w:t>
      </w:r>
    </w:p>
    <w:p>
      <w:pPr>
        <w:spacing w:after="0"/>
      </w:pPr>
      <w:r/>
    </w:p>
    <w:p>
      <w:pPr>
        <w:pStyle w:val="Heading1"/>
        <w:pBdr>
          <w:bottom w:val="single" w:sz="4" w:space="5" w:color="7A9AAA"/>
        </w:pBdr>
        <w:keepNext/>
      </w:pPr>
      <w:r>
        <w:t>23. Investable Universe</w:t>
      </w:r>
    </w:p>
    <w:p>
      <w:pPr/>
      <w:r>
        <w:t>Mandatory conditions:</w:t>
      </w:r>
    </w:p>
    <w:p>
      <w:pPr>
        <w:pStyle w:val="ListBody"/>
        <w:ind w:left="490" w:hanging="331"/>
      </w:pPr>
      <w:r>
        <w:rPr>
          <w:b/>
        </w:rPr>
        <w:t xml:space="preserve">1. </w:t>
      </w:r>
      <w:r>
        <w:t>Valid security mapping.</w:t>
      </w:r>
    </w:p>
    <w:p>
      <w:pPr>
        <w:pStyle w:val="ListBody"/>
        <w:ind w:left="490" w:hanging="331"/>
      </w:pPr>
      <w:r>
        <w:rPr>
          <w:b/>
        </w:rPr>
        <w:t xml:space="preserve">2. </w:t>
      </w:r>
      <w:r>
        <w:t>Valid ISIN.</w:t>
      </w:r>
    </w:p>
    <w:p>
      <w:pPr>
        <w:pStyle w:val="ListBody"/>
        <w:ind w:left="490" w:hanging="331"/>
      </w:pPr>
      <w:r>
        <w:rPr>
          <w:b/>
        </w:rPr>
        <w:t xml:space="preserve">3. </w:t>
      </w:r>
      <w:r>
        <w:t>Active listing.</w:t>
      </w:r>
    </w:p>
    <w:p>
      <w:pPr>
        <w:pStyle w:val="ListBody"/>
        <w:ind w:left="490" w:hanging="331"/>
      </w:pPr>
      <w:r>
        <w:rPr>
          <w:b/>
        </w:rPr>
        <w:t xml:space="preserve">4. </w:t>
      </w:r>
      <w:r>
        <w:t>Not suspended.</w:t>
      </w:r>
    </w:p>
    <w:p>
      <w:pPr>
        <w:pStyle w:val="ListBody"/>
        <w:ind w:left="490" w:hanging="331"/>
      </w:pPr>
      <w:r>
        <w:rPr>
          <w:b/>
        </w:rPr>
        <w:t xml:space="preserve">5. </w:t>
      </w:r>
      <w:r>
        <w:t>Valid sector model.</w:t>
      </w:r>
    </w:p>
    <w:p>
      <w:pPr>
        <w:pStyle w:val="ListBody"/>
        <w:ind w:left="490" w:hanging="331"/>
      </w:pPr>
      <w:r>
        <w:rPr>
          <w:b/>
        </w:rPr>
        <w:t xml:space="preserve">6. </w:t>
      </w:r>
      <w:r>
        <w:t>Minimum price history.</w:t>
      </w:r>
    </w:p>
    <w:p>
      <w:pPr>
        <w:pStyle w:val="ListBody"/>
        <w:ind w:left="490" w:hanging="331"/>
      </w:pPr>
      <w:r>
        <w:rPr>
          <w:b/>
        </w:rPr>
        <w:t xml:space="preserve">7. </w:t>
      </w:r>
      <w:r>
        <w:t>Minimum financial history or limited-history state.</w:t>
      </w:r>
    </w:p>
    <w:p>
      <w:pPr>
        <w:pStyle w:val="ListBody"/>
        <w:ind w:left="490" w:hanging="331"/>
      </w:pPr>
      <w:r>
        <w:rPr>
          <w:b/>
        </w:rPr>
        <w:t xml:space="preserve">8. </w:t>
      </w:r>
      <w:r>
        <w:t>Required critical filings.</w:t>
      </w:r>
    </w:p>
    <w:p>
      <w:pPr>
        <w:pStyle w:val="ListBody"/>
        <w:ind w:left="490" w:hanging="331"/>
      </w:pPr>
      <w:r>
        <w:rPr>
          <w:b/>
        </w:rPr>
        <w:t xml:space="preserve">9. </w:t>
      </w:r>
      <w:r>
        <w:t>Reconciled core financials.</w:t>
      </w:r>
    </w:p>
    <w:p>
      <w:pPr>
        <w:pStyle w:val="ListBody"/>
        <w:ind w:left="490" w:hanging="331"/>
      </w:pPr>
      <w:r>
        <w:rPr>
          <w:b/>
        </w:rPr>
        <w:t xml:space="preserve">10. </w:t>
      </w:r>
      <w:r>
        <w:t>Liquidity pass.</w:t>
      </w:r>
    </w:p>
    <w:p>
      <w:pPr>
        <w:pStyle w:val="ListBody"/>
        <w:ind w:left="490" w:hanging="331"/>
      </w:pPr>
      <w:r>
        <w:rPr>
          <w:b/>
        </w:rPr>
        <w:t xml:space="preserve">11. </w:t>
      </w:r>
      <w:r>
        <w:t>No Level-1 hard gate.</w:t>
      </w:r>
    </w:p>
    <w:p>
      <w:pPr>
        <w:pStyle w:val="ListBody"/>
        <w:ind w:left="490" w:hanging="331"/>
      </w:pPr>
      <w:r>
        <w:rPr>
          <w:b/>
        </w:rPr>
        <w:t xml:space="preserve">12. </w:t>
      </w:r>
      <w:r>
        <w:t>Data Confidence pass.</w:t>
      </w:r>
    </w:p>
    <w:p>
      <w:pPr>
        <w:pStyle w:val="ListBody"/>
        <w:ind w:left="490" w:hanging="331"/>
      </w:pPr>
      <w:r>
        <w:rPr>
          <w:b/>
        </w:rPr>
        <w:t xml:space="preserve">13. </w:t>
      </w:r>
      <w:r>
        <w:t>Corporate-action reconciliation.</w:t>
      </w:r>
    </w:p>
    <w:p>
      <w:pPr>
        <w:pStyle w:val="ListBody"/>
        <w:ind w:left="490" w:hanging="331"/>
      </w:pPr>
      <w:r>
        <w:rPr>
          <w:b/>
        </w:rPr>
        <w:t xml:space="preserve">14. </w:t>
      </w:r>
      <w:r>
        <w:t>Permitted data usage.</w:t>
      </w:r>
    </w:p>
    <w:p>
      <w:pPr>
        <w:pStyle w:val="ListBody"/>
        <w:ind w:left="490" w:hanging="331"/>
      </w:pPr>
      <w:r>
        <w:rPr>
          <w:b/>
        </w:rPr>
        <w:t xml:space="preserve">15. </w:t>
      </w:r>
      <w:r>
        <w:t>No unresolved core source conflict.</w:t>
      </w:r>
    </w:p>
    <w:p>
      <w:pPr>
        <w:spacing w:after="0"/>
      </w:pPr>
      <w:r/>
    </w:p>
    <w:p>
      <w:pPr>
        <w:pStyle w:val="Heading1"/>
        <w:pBdr>
          <w:bottom w:val="single" w:sz="4" w:space="5" w:color="7A9AAA"/>
        </w:pBdr>
        <w:keepNext/>
      </w:pPr>
      <w:r>
        <w:t>24. Universe groups</w:t>
      </w:r>
    </w:p>
    <w:p>
      <w:pPr/>
      <w:r>
        <w:t>Separate:</w:t>
      </w:r>
    </w:p>
    <w:p>
      <w:pPr>
        <w:pStyle w:val="ListBody"/>
        <w:ind w:left="490" w:hanging="331"/>
      </w:pPr>
      <w:r>
        <w:rPr>
          <w:b/>
        </w:rPr>
        <w:t xml:space="preserve">• </w:t>
      </w:r>
      <w:r>
        <w:t>Large Cap.</w:t>
      </w:r>
    </w:p>
    <w:p>
      <w:pPr>
        <w:pStyle w:val="ListBody"/>
        <w:ind w:left="490" w:hanging="331"/>
      </w:pPr>
      <w:r>
        <w:rPr>
          <w:b/>
        </w:rPr>
        <w:t xml:space="preserve">• </w:t>
      </w:r>
      <w:r>
        <w:t>Mid Cap.</w:t>
      </w:r>
    </w:p>
    <w:p>
      <w:pPr>
        <w:pStyle w:val="ListBody"/>
        <w:ind w:left="490" w:hanging="331"/>
      </w:pPr>
      <w:r>
        <w:rPr>
          <w:b/>
        </w:rPr>
        <w:t xml:space="preserve">• </w:t>
      </w:r>
      <w:r>
        <w:t>Small Cap.</w:t>
      </w:r>
    </w:p>
    <w:p>
      <w:pPr>
        <w:pStyle w:val="ListBody"/>
        <w:ind w:left="490" w:hanging="331"/>
      </w:pPr>
      <w:r>
        <w:rPr>
          <w:b/>
        </w:rPr>
        <w:t xml:space="preserve">• </w:t>
      </w:r>
      <w:r>
        <w:t>Micro Cap.</w:t>
      </w:r>
    </w:p>
    <w:p>
      <w:pPr>
        <w:pStyle w:val="ListBody"/>
        <w:ind w:left="490" w:hanging="331"/>
      </w:pPr>
      <w:r>
        <w:rPr>
          <w:b/>
        </w:rPr>
        <w:t xml:space="preserve">• </w:t>
      </w:r>
      <w:r>
        <w:t>SME.</w:t>
      </w:r>
    </w:p>
    <w:p>
      <w:pPr>
        <w:pStyle w:val="ListBody"/>
        <w:ind w:left="490" w:hanging="331"/>
      </w:pPr>
      <w:r>
        <w:rPr>
          <w:b/>
        </w:rPr>
        <w:t xml:space="preserve">• </w:t>
      </w:r>
      <w:r>
        <w:t>New Listing.</w:t>
      </w:r>
    </w:p>
    <w:p>
      <w:pPr>
        <w:pStyle w:val="ListBody"/>
        <w:ind w:left="490" w:hanging="331"/>
      </w:pPr>
      <w:r>
        <w:rPr>
          <w:b/>
        </w:rPr>
        <w:t xml:space="preserve">• </w:t>
      </w:r>
      <w:r>
        <w:t>Bank.</w:t>
      </w:r>
    </w:p>
    <w:p>
      <w:pPr>
        <w:pStyle w:val="ListBody"/>
        <w:ind w:left="490" w:hanging="331"/>
      </w:pPr>
      <w:r>
        <w:rPr>
          <w:b/>
        </w:rPr>
        <w:t xml:space="preserve">• </w:t>
      </w:r>
      <w:r>
        <w:t>NBFC/HFC.</w:t>
      </w:r>
    </w:p>
    <w:p>
      <w:pPr>
        <w:pStyle w:val="ListBody"/>
        <w:ind w:left="490" w:hanging="331"/>
      </w:pPr>
      <w:r>
        <w:rPr>
          <w:b/>
        </w:rPr>
        <w:t xml:space="preserve">• </w:t>
      </w:r>
      <w:r>
        <w:t>Life Insurance.</w:t>
      </w:r>
    </w:p>
    <w:p>
      <w:pPr>
        <w:pStyle w:val="ListBody"/>
        <w:ind w:left="490" w:hanging="331"/>
      </w:pPr>
      <w:r>
        <w:rPr>
          <w:b/>
        </w:rPr>
        <w:t xml:space="preserve">• </w:t>
      </w:r>
      <w:r>
        <w:t>General Insurance.</w:t>
      </w:r>
    </w:p>
    <w:p>
      <w:pPr>
        <w:pStyle w:val="ListBody"/>
        <w:ind w:left="490" w:hanging="331"/>
      </w:pPr>
      <w:r>
        <w:rPr>
          <w:b/>
        </w:rPr>
        <w:t xml:space="preserve">• </w:t>
      </w:r>
      <w:r>
        <w:t>REIT.</w:t>
      </w:r>
    </w:p>
    <w:p>
      <w:pPr>
        <w:pStyle w:val="ListBody"/>
        <w:ind w:left="490" w:hanging="331"/>
      </w:pPr>
      <w:r>
        <w:rPr>
          <w:b/>
        </w:rPr>
        <w:t xml:space="preserve">• </w:t>
      </w:r>
      <w:r>
        <w:t>InvIT.</w:t>
      </w:r>
    </w:p>
    <w:p>
      <w:pPr>
        <w:pStyle w:val="ListBody"/>
        <w:ind w:left="490" w:hanging="331"/>
      </w:pPr>
      <w:r>
        <w:rPr>
          <w:b/>
        </w:rPr>
        <w:t xml:space="preserve">• </w:t>
      </w:r>
      <w:r>
        <w:t>Holding Company.</w:t>
      </w:r>
    </w:p>
    <w:p>
      <w:pPr>
        <w:pStyle w:val="ListBody"/>
        <w:ind w:left="490" w:hanging="331"/>
      </w:pPr>
      <w:r>
        <w:rPr>
          <w:b/>
        </w:rPr>
        <w:t xml:space="preserve">• </w:t>
      </w:r>
      <w:r>
        <w:t>Commodity/Cyclical.</w:t>
      </w:r>
    </w:p>
    <w:p>
      <w:pPr>
        <w:pStyle w:val="ListBody"/>
        <w:ind w:left="490" w:hanging="331"/>
      </w:pPr>
      <w:r>
        <w:rPr>
          <w:b/>
        </w:rPr>
        <w:t xml:space="preserve">• </w:t>
      </w:r>
      <w:r>
        <w:t>Turnaround.</w:t>
      </w:r>
    </w:p>
    <w:p>
      <w:pPr>
        <w:pStyle w:val="ListBody"/>
        <w:ind w:left="490" w:hanging="331"/>
      </w:pPr>
      <w:r>
        <w:rPr>
          <w:b/>
        </w:rPr>
        <w:t xml:space="preserve">• </w:t>
      </w:r>
      <w:r>
        <w:t>Special Situation.</w:t>
      </w:r>
    </w:p>
    <w:p>
      <w:pPr>
        <w:pStyle w:val="ListBody"/>
        <w:ind w:left="490" w:hanging="331"/>
      </w:pPr>
      <w:r>
        <w:rPr>
          <w:b/>
        </w:rPr>
        <w:t xml:space="preserve">• </w:t>
      </w:r>
      <w:r>
        <w:t>F&amp;O Eligible.</w:t>
      </w:r>
    </w:p>
    <w:p>
      <w:pPr>
        <w:spacing w:after="0"/>
      </w:pPr>
      <w:r/>
    </w:p>
    <w:p>
      <w:pPr>
        <w:pStyle w:val="Heading1"/>
        <w:pBdr>
          <w:bottom w:val="single" w:sz="4" w:space="5" w:color="7A9AAA"/>
        </w:pBdr>
        <w:keepNext/>
      </w:pPr>
      <w:r>
        <w:t>25. Limited-history treatment</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blHeader w:val="true"/>
        </w:trPr>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History</w:t>
            </w:r>
          </w:p>
        </w:tc>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State</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Under 126 trading sessions</w:t>
            </w:r>
          </w:p>
        </w:tc>
        <w:tc>
          <w:tcPr>
            <w:tcW w:type="dxa" w:w="4997"/>
            <w:vAlign w:val="center"/>
            <w:tcMar>
              <w:top w:w="55" w:type="dxa"/>
              <w:start w:w="65" w:type="dxa"/>
              <w:bottom w:w="55" w:type="dxa"/>
              <w:end w:w="65" w:type="dxa"/>
            </w:tcMar>
          </w:tcPr>
          <w:p>
            <w:pPr>
              <w:spacing w:after="0"/>
            </w:pPr>
            <w:r>
              <w:rPr>
                <w:rFonts w:ascii="Cambria" w:hAnsi="Cambria"/>
                <w:sz w:val="18"/>
              </w:rPr>
              <w:t>New Listing</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126–251 sessions</w:t>
            </w:r>
          </w:p>
        </w:tc>
        <w:tc>
          <w:tcPr>
            <w:tcW w:type="dxa" w:w="4997"/>
            <w:vAlign w:val="center"/>
            <w:tcMar>
              <w:top w:w="55" w:type="dxa"/>
              <w:start w:w="65" w:type="dxa"/>
              <w:bottom w:w="55" w:type="dxa"/>
              <w:end w:w="65" w:type="dxa"/>
            </w:tcMar>
            <w:shd w:fill="F8FAFB"/>
          </w:tcPr>
          <w:p>
            <w:pPr>
              <w:spacing w:after="0"/>
            </w:pPr>
            <w:r>
              <w:rPr>
                <w:rFonts w:ascii="Cambria" w:hAnsi="Cambria"/>
                <w:sz w:val="18"/>
              </w:rPr>
              <w:t>Limited Technical History</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Under 3 annual periods</w:t>
            </w:r>
          </w:p>
        </w:tc>
        <w:tc>
          <w:tcPr>
            <w:tcW w:type="dxa" w:w="4997"/>
            <w:vAlign w:val="center"/>
            <w:tcMar>
              <w:top w:w="55" w:type="dxa"/>
              <w:start w:w="65" w:type="dxa"/>
              <w:bottom w:w="55" w:type="dxa"/>
              <w:end w:w="65" w:type="dxa"/>
            </w:tcMar>
          </w:tcPr>
          <w:p>
            <w:pPr>
              <w:spacing w:after="0"/>
            </w:pPr>
            <w:r>
              <w:rPr>
                <w:rFonts w:ascii="Cambria" w:hAnsi="Cambria"/>
                <w:sz w:val="18"/>
              </w:rPr>
              <w:t>Limited Fundamental History</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3 or more annual periods</w:t>
            </w:r>
          </w:p>
        </w:tc>
        <w:tc>
          <w:tcPr>
            <w:tcW w:type="dxa" w:w="4997"/>
            <w:vAlign w:val="center"/>
            <w:tcMar>
              <w:top w:w="55" w:type="dxa"/>
              <w:start w:w="65" w:type="dxa"/>
              <w:bottom w:w="55" w:type="dxa"/>
              <w:end w:w="65" w:type="dxa"/>
            </w:tcMar>
            <w:shd w:fill="F8FAFB"/>
          </w:tcPr>
          <w:p>
            <w:pPr>
              <w:spacing w:after="0"/>
            </w:pPr>
            <w:r>
              <w:rPr>
                <w:rFonts w:ascii="Cambria" w:hAnsi="Cambria"/>
                <w:sz w:val="18"/>
              </w:rPr>
              <w:t>Standard Eligibility</w:t>
            </w:r>
          </w:p>
        </w:tc>
      </w:tr>
    </w:tbl>
    <w:p>
      <w:pPr>
        <w:spacing w:after="20"/>
      </w:pPr>
    </w:p>
    <w:p>
      <w:pPr/>
      <w:r>
        <w:t>Penalties:</w:t>
      </w:r>
    </w:p>
    <w:p>
      <w:pPr>
        <w:pStyle w:val="ListBody"/>
        <w:ind w:left="490" w:hanging="331"/>
      </w:pPr>
      <w:r>
        <w:rPr>
          <w:b/>
        </w:rPr>
        <w:t xml:space="preserve">• </w:t>
      </w:r>
      <w:r>
        <w:t>Lower confidence.</w:t>
      </w:r>
    </w:p>
    <w:p>
      <w:pPr>
        <w:pStyle w:val="ListBody"/>
        <w:ind w:left="490" w:hanging="331"/>
      </w:pPr>
      <w:r>
        <w:rPr>
          <w:b/>
        </w:rPr>
        <w:t xml:space="preserve">• </w:t>
      </w:r>
      <w:r>
        <w:t>Lower maximum position.</w:t>
      </w:r>
    </w:p>
    <w:p>
      <w:pPr>
        <w:pStyle w:val="ListBody"/>
        <w:ind w:left="490" w:hanging="331"/>
      </w:pPr>
      <w:r>
        <w:rPr>
          <w:b/>
        </w:rPr>
        <w:t xml:space="preserve">• </w:t>
      </w:r>
      <w:r>
        <w:t>Higher liquidity threshold.</w:t>
      </w:r>
    </w:p>
    <w:p>
      <w:pPr>
        <w:pStyle w:val="ListBody"/>
        <w:ind w:left="490" w:hanging="331"/>
      </w:pPr>
      <w:r>
        <w:rPr>
          <w:b/>
        </w:rPr>
        <w:t xml:space="preserve">• </w:t>
      </w:r>
      <w:r>
        <w:t>Lower recommendation ceiling.</w:t>
      </w:r>
    </w:p>
    <w:p>
      <w:pPr>
        <w:pStyle w:val="ListBody"/>
        <w:ind w:left="490" w:hanging="331"/>
      </w:pPr>
      <w:r>
        <w:rPr>
          <w:b/>
        </w:rPr>
        <w:t xml:space="preserve">• </w:t>
      </w:r>
      <w:r>
        <w:t>Increased review frequency.</w:t>
      </w:r>
    </w:p>
    <w:p>
      <w:pPr>
        <w:spacing w:after="0"/>
      </w:pPr>
      <w:r/>
    </w:p>
    <w:p>
      <w:pPr>
        <w:pStyle w:val="Heading1"/>
        <w:pBdr>
          <w:bottom w:val="single" w:sz="4" w:space="5" w:color="7A9AAA"/>
        </w:pBdr>
        <w:keepNext/>
      </w:pPr>
      <w:r>
        <w:t>26. Liquidity and capacity</w:t>
      </w:r>
    </w:p>
    <w:p>
      <w:pPr>
        <w:pStyle w:val="Heading2"/>
        <w:keepNext/>
      </w:pPr>
      <w:r>
        <w:t>26.1 Required liquidity</w:t>
      </w:r>
    </w:p>
    <w:p>
      <w:pPr>
        <w:pStyle w:val="FormulaBlock"/>
        <w:shd w:fill="F5F8FA"/>
      </w:pPr>
      <w:r>
        <w:t>RequiredMedianADV =</w:t>
        <w:br/>
        <w:t xml:space="preserve">    PlannedPositionValue</w:t>
        <w:br/>
        <w:t xml:space="preserve">    / MaximumParticipationRate</w:t>
      </w:r>
    </w:p>
    <w:p>
      <w:pPr>
        <w:pStyle w:val="Heading2"/>
        <w:keepNext/>
      </w:pPr>
      <w:r>
        <w:t>26.2 Estimated exit days</w:t>
      </w:r>
    </w:p>
    <w:p>
      <w:pPr>
        <w:pStyle w:val="FormulaBlock"/>
        <w:shd w:fill="F5F8FA"/>
      </w:pPr>
      <w:r>
        <w:t>ExitDays =</w:t>
        <w:br/>
        <w:t xml:space="preserve">    PositionValue</w:t>
        <w:br/>
        <w:t xml:space="preserve">    / max(</w:t>
        <w:br/>
        <w:t xml:space="preserve">        MedianDailyTradedValue * AllowedParticipationRate,</w:t>
        <w:br/>
        <w:t xml:space="preserve">        MinimumLiquidityDenominator</w:t>
        <w:br/>
        <w:t xml:space="preserve">      )</w:t>
      </w:r>
    </w:p>
    <w:p>
      <w:pPr>
        <w:pStyle w:val="Heading2"/>
        <w:keepNext/>
      </w:pPr>
      <w:r>
        <w:t>26.3 Liquidity features</w:t>
      </w:r>
    </w:p>
    <w:p>
      <w:pPr>
        <w:pStyle w:val="ListBody"/>
        <w:ind w:left="490" w:hanging="331"/>
      </w:pPr>
      <w:r>
        <w:rPr>
          <w:b/>
        </w:rPr>
        <w:t xml:space="preserve">• </w:t>
      </w:r>
      <w:r>
        <w:t>20-day median traded value.</w:t>
      </w:r>
    </w:p>
    <w:p>
      <w:pPr>
        <w:pStyle w:val="ListBody"/>
        <w:ind w:left="490" w:hanging="331"/>
      </w:pPr>
      <w:r>
        <w:rPr>
          <w:b/>
        </w:rPr>
        <w:t xml:space="preserve">• </w:t>
      </w:r>
      <w:r>
        <w:t>60-day median traded value.</w:t>
      </w:r>
    </w:p>
    <w:p>
      <w:pPr>
        <w:pStyle w:val="ListBody"/>
        <w:ind w:left="490" w:hanging="331"/>
      </w:pPr>
      <w:r>
        <w:rPr>
          <w:b/>
        </w:rPr>
        <w:t xml:space="preserve">• </w:t>
      </w:r>
      <w:r>
        <w:t>120-day median traded value.</w:t>
      </w:r>
    </w:p>
    <w:p>
      <w:pPr>
        <w:pStyle w:val="ListBody"/>
        <w:ind w:left="490" w:hanging="331"/>
      </w:pPr>
      <w:r>
        <w:rPr>
          <w:b/>
        </w:rPr>
        <w:t xml:space="preserve">• </w:t>
      </w:r>
      <w:r>
        <w:t>Trading continuity.</w:t>
      </w:r>
    </w:p>
    <w:p>
      <w:pPr>
        <w:pStyle w:val="ListBody"/>
        <w:ind w:left="490" w:hanging="331"/>
      </w:pPr>
      <w:r>
        <w:rPr>
          <w:b/>
        </w:rPr>
        <w:t xml:space="preserve">• </w:t>
      </w:r>
      <w:r>
        <w:t>Zero-volume sessions.</w:t>
      </w:r>
    </w:p>
    <w:p>
      <w:pPr>
        <w:pStyle w:val="ListBody"/>
        <w:ind w:left="490" w:hanging="331"/>
      </w:pPr>
      <w:r>
        <w:rPr>
          <w:b/>
        </w:rPr>
        <w:t xml:space="preserve">• </w:t>
      </w:r>
      <w:r>
        <w:t>Free float.</w:t>
      </w:r>
    </w:p>
    <w:p>
      <w:pPr>
        <w:pStyle w:val="ListBody"/>
        <w:ind w:left="490" w:hanging="331"/>
      </w:pPr>
      <w:r>
        <w:rPr>
          <w:b/>
        </w:rPr>
        <w:t xml:space="preserve">• </w:t>
      </w:r>
      <w:r>
        <w:t>Bid-ask spread.</w:t>
      </w:r>
    </w:p>
    <w:p>
      <w:pPr>
        <w:pStyle w:val="ListBody"/>
        <w:ind w:left="490" w:hanging="331"/>
      </w:pPr>
      <w:r>
        <w:rPr>
          <w:b/>
        </w:rPr>
        <w:t xml:space="preserve">• </w:t>
      </w:r>
      <w:r>
        <w:t>Amihud illiquidity.</w:t>
      </w:r>
    </w:p>
    <w:p>
      <w:pPr>
        <w:pStyle w:val="ListBody"/>
        <w:ind w:left="490" w:hanging="331"/>
      </w:pPr>
      <w:r>
        <w:rPr>
          <w:b/>
        </w:rPr>
        <w:t xml:space="preserve">• </w:t>
      </w:r>
      <w:r>
        <w:t>Circuit frequency.</w:t>
      </w:r>
    </w:p>
    <w:p>
      <w:pPr>
        <w:pStyle w:val="ListBody"/>
        <w:ind w:left="490" w:hanging="331"/>
      </w:pPr>
      <w:r>
        <w:rPr>
          <w:b/>
        </w:rPr>
        <w:t xml:space="preserve">• </w:t>
      </w:r>
      <w:r>
        <w:t>Gap frequency.</w:t>
      </w:r>
    </w:p>
    <w:p>
      <w:pPr>
        <w:pStyle w:val="ListBody"/>
        <w:ind w:left="490" w:hanging="331"/>
      </w:pPr>
      <w:r>
        <w:rPr>
          <w:b/>
        </w:rPr>
        <w:t xml:space="preserve">• </w:t>
      </w:r>
      <w:r>
        <w:t>Market-impact estimate.</w:t>
      </w:r>
    </w:p>
    <w:p>
      <w:pPr>
        <w:pStyle w:val="ListBody"/>
        <w:ind w:left="490" w:hanging="331"/>
      </w:pPr>
      <w:r>
        <w:rPr>
          <w:b/>
        </w:rPr>
        <w:t xml:space="preserve">• </w:t>
      </w:r>
      <w:r>
        <w:t>Exit days.</w:t>
      </w:r>
    </w:p>
    <w:p>
      <w:pPr>
        <w:pStyle w:val="ListBody"/>
        <w:ind w:left="490" w:hanging="331"/>
      </w:pPr>
      <w:r>
        <w:rPr>
          <w:b/>
        </w:rPr>
        <w:t xml:space="preserve">• </w:t>
      </w:r>
      <w:r>
        <w:t>Delivery liquidity where reliable.</w:t>
      </w:r>
    </w:p>
    <w:p>
      <w:pPr>
        <w:pStyle w:val="Heading2"/>
        <w:keepNext/>
      </w:pPr>
      <w:r>
        <w:t>26.4 Continuity</w:t>
      </w:r>
    </w:p>
    <w:p>
      <w:pPr>
        <w:pStyle w:val="FormulaBlock"/>
        <w:shd w:fill="F5F8FA"/>
      </w:pPr>
      <w:r>
        <w:t>TradingContinuity =</w:t>
        <w:br/>
        <w:t xml:space="preserve">    DaysWithValidTrades</w:t>
        <w:br/>
        <w:t xml:space="preserve">    / ExpectedTradingDays</w:t>
      </w:r>
    </w:p>
    <w:p>
      <w:pPr>
        <w:spacing w:after="0"/>
      </w:pPr>
      <w:r/>
    </w:p>
    <w:p>
      <w:pPr>
        <w:pStyle w:val="Heading1"/>
        <w:pBdr>
          <w:bottom w:val="single" w:sz="4" w:space="5" w:color="7A9AAA"/>
        </w:pBdr>
        <w:keepNext/>
      </w:pPr>
      <w:r>
        <w:t>27. Financial-statement scope</w:t>
      </w:r>
    </w:p>
    <w:p>
      <w:pPr/>
      <w:r>
        <w:t>Store:</w:t>
      </w:r>
    </w:p>
    <w:p>
      <w:pPr/>
      <w:r>
        <w:t>scope = STANDALONE</w:t>
        <w:br/>
        <w:t>scope = CONSOLIDATED</w:t>
      </w:r>
    </w:p>
    <w:p>
      <w:pPr/>
      <w:r>
        <w:t>Default:</w:t>
      </w:r>
    </w:p>
    <w:p>
      <w:pPr>
        <w:pStyle w:val="ListBody"/>
        <w:ind w:left="490" w:hanging="331"/>
      </w:pPr>
      <w:r>
        <w:rPr>
          <w:b/>
        </w:rPr>
        <w:t xml:space="preserve">• </w:t>
      </w:r>
      <w:r>
        <w:t>Consolidated for group economics.</w:t>
      </w:r>
    </w:p>
    <w:p>
      <w:pPr>
        <w:pStyle w:val="ListBody"/>
        <w:ind w:left="490" w:hanging="331"/>
      </w:pPr>
      <w:r>
        <w:rPr>
          <w:b/>
        </w:rPr>
        <w:t xml:space="preserve">• </w:t>
      </w:r>
      <w:r>
        <w:t>Standalone for parent liquidity, guarantees, and dividend capacity.</w:t>
      </w:r>
    </w:p>
    <w:p>
      <w:pPr>
        <w:pStyle w:val="ListBody"/>
        <w:ind w:left="490" w:hanging="331"/>
      </w:pPr>
      <w:r>
        <w:rPr>
          <w:b/>
        </w:rPr>
        <w:t xml:space="preserve">• </w:t>
      </w:r>
      <w:r>
        <w:t>Both for conglomerates.</w:t>
      </w:r>
    </w:p>
    <w:p>
      <w:pPr/>
      <w:r>
        <w:t>Do not mix scopes unintentionally.</w:t>
      </w:r>
    </w:p>
    <w:p>
      <w:pPr>
        <w:spacing w:after="0"/>
      </w:pPr>
      <w:r/>
    </w:p>
    <w:p>
      <w:pPr>
        <w:pStyle w:val="Heading1"/>
        <w:pBdr>
          <w:bottom w:val="single" w:sz="4" w:space="5" w:color="7A9AAA"/>
        </w:pBdr>
        <w:keepNext/>
      </w:pPr>
      <w:r>
        <w:t>28. Units and currencies</w:t>
      </w:r>
    </w:p>
    <w:p>
      <w:pPr/>
      <w:r>
        <w:t>Store:</w:t>
      </w:r>
    </w:p>
    <w:p>
      <w:pPr/>
      <w:r>
        <w:t>reported_value</w:t>
        <w:br/>
        <w:t>reported_unit</w:t>
        <w:br/>
        <w:t>reported_currency</w:t>
        <w:br/>
        <w:t>normalized_value</w:t>
        <w:br/>
        <w:t>normalized_unit</w:t>
        <w:br/>
        <w:t>normalized_currency</w:t>
        <w:br/>
        <w:t>conversion_rate</w:t>
        <w:br/>
        <w:t>conversion_date</w:t>
      </w:r>
    </w:p>
    <w:p>
      <w:pPr/>
      <w:r>
        <w:t>Supported units:</w:t>
      </w:r>
    </w:p>
    <w:p>
      <w:pPr>
        <w:pStyle w:val="ListBody"/>
        <w:ind w:left="490" w:hanging="331"/>
      </w:pPr>
      <w:r>
        <w:rPr>
          <w:b/>
        </w:rPr>
        <w:t xml:space="preserve">• </w:t>
      </w:r>
      <w:r>
        <w:t>Rupees.</w:t>
      </w:r>
    </w:p>
    <w:p>
      <w:pPr>
        <w:pStyle w:val="ListBody"/>
        <w:ind w:left="490" w:hanging="331"/>
      </w:pPr>
      <w:r>
        <w:rPr>
          <w:b/>
        </w:rPr>
        <w:t xml:space="preserve">• </w:t>
      </w:r>
      <w:r>
        <w:t>Thousands.</w:t>
      </w:r>
    </w:p>
    <w:p>
      <w:pPr>
        <w:pStyle w:val="ListBody"/>
        <w:ind w:left="490" w:hanging="331"/>
      </w:pPr>
      <w:r>
        <w:rPr>
          <w:b/>
        </w:rPr>
        <w:t xml:space="preserve">• </w:t>
      </w:r>
      <w:r>
        <w:t>Lakhs.</w:t>
      </w:r>
    </w:p>
    <w:p>
      <w:pPr>
        <w:pStyle w:val="ListBody"/>
        <w:ind w:left="490" w:hanging="331"/>
      </w:pPr>
      <w:r>
        <w:rPr>
          <w:b/>
        </w:rPr>
        <w:t xml:space="preserve">• </w:t>
      </w:r>
      <w:r>
        <w:t>Millions.</w:t>
      </w:r>
    </w:p>
    <w:p>
      <w:pPr>
        <w:pStyle w:val="ListBody"/>
        <w:ind w:left="490" w:hanging="331"/>
      </w:pPr>
      <w:r>
        <w:rPr>
          <w:b/>
        </w:rPr>
        <w:t xml:space="preserve">• </w:t>
      </w:r>
      <w:r>
        <w:t>Crores.</w:t>
      </w:r>
    </w:p>
    <w:p>
      <w:pPr>
        <w:pStyle w:val="ListBody"/>
        <w:ind w:left="490" w:hanging="331"/>
      </w:pPr>
      <w:r>
        <w:rPr>
          <w:b/>
        </w:rPr>
        <w:t xml:space="preserve">• </w:t>
      </w:r>
      <w:r>
        <w:t>Foreign currencies.</w:t>
      </w:r>
    </w:p>
    <w:p>
      <w:pPr>
        <w:spacing w:after="0"/>
      </w:pPr>
      <w:r/>
    </w:p>
    <w:p>
      <w:pPr>
        <w:pStyle w:val="Heading1"/>
        <w:pBdr>
          <w:bottom w:val="single" w:sz="4" w:space="5" w:color="7A9AAA"/>
        </w:pBdr>
        <w:keepNext/>
      </w:pPr>
      <w:r>
        <w:t>29. Fiscal-period controls</w:t>
      </w:r>
    </w:p>
    <w:p>
      <w:pPr/>
      <w:r>
        <w:t>Support:</w:t>
      </w:r>
    </w:p>
    <w:p>
      <w:pPr>
        <w:pStyle w:val="ListBody"/>
        <w:ind w:left="490" w:hanging="331"/>
      </w:pPr>
      <w:r>
        <w:rPr>
          <w:b/>
        </w:rPr>
        <w:t xml:space="preserve">• </w:t>
      </w:r>
      <w:r>
        <w:t>March year-end.</w:t>
      </w:r>
    </w:p>
    <w:p>
      <w:pPr>
        <w:pStyle w:val="ListBody"/>
        <w:ind w:left="490" w:hanging="331"/>
      </w:pPr>
      <w:r>
        <w:rPr>
          <w:b/>
        </w:rPr>
        <w:t xml:space="preserve">• </w:t>
      </w:r>
      <w:r>
        <w:t>December year-end.</w:t>
      </w:r>
    </w:p>
    <w:p>
      <w:pPr>
        <w:pStyle w:val="ListBody"/>
        <w:ind w:left="490" w:hanging="331"/>
      </w:pPr>
      <w:r>
        <w:rPr>
          <w:b/>
        </w:rPr>
        <w:t xml:space="preserve">• </w:t>
      </w:r>
      <w:r>
        <w:t>Changed year-end.</w:t>
      </w:r>
    </w:p>
    <w:p>
      <w:pPr>
        <w:pStyle w:val="ListBody"/>
        <w:ind w:left="490" w:hanging="331"/>
      </w:pPr>
      <w:r>
        <w:rPr>
          <w:b/>
        </w:rPr>
        <w:t xml:space="preserve">• </w:t>
      </w:r>
      <w:r>
        <w:t>Stub periods.</w:t>
      </w:r>
    </w:p>
    <w:p>
      <w:pPr>
        <w:pStyle w:val="ListBody"/>
        <w:ind w:left="490" w:hanging="331"/>
      </w:pPr>
      <w:r>
        <w:rPr>
          <w:b/>
        </w:rPr>
        <w:t xml:space="preserve">• </w:t>
      </w:r>
      <w:r>
        <w:t>Extended periods.</w:t>
      </w:r>
    </w:p>
    <w:p>
      <w:pPr>
        <w:pStyle w:val="ListBody"/>
        <w:ind w:left="490" w:hanging="331"/>
      </w:pPr>
      <w:r>
        <w:rPr>
          <w:b/>
        </w:rPr>
        <w:t xml:space="preserve">• </w:t>
      </w:r>
      <w:r>
        <w:t>Restated comparatives.</w:t>
      </w:r>
    </w:p>
    <w:p>
      <w:pPr>
        <w:pStyle w:val="ListBody"/>
        <w:ind w:left="490" w:hanging="331"/>
      </w:pPr>
      <w:r>
        <w:rPr>
          <w:b/>
        </w:rPr>
        <w:t xml:space="preserve">• </w:t>
      </w:r>
      <w:r>
        <w:t>Overlapping periods.</w:t>
      </w:r>
    </w:p>
    <w:p>
      <w:pPr>
        <w:pStyle w:val="ListBody"/>
        <w:ind w:left="490" w:hanging="331"/>
      </w:pPr>
      <w:r>
        <w:rPr>
          <w:b/>
        </w:rPr>
        <w:t xml:space="preserve">• </w:t>
      </w:r>
      <w:r>
        <w:t>Duplicate quarters.</w:t>
      </w:r>
    </w:p>
    <w:p>
      <w:pPr>
        <w:pStyle w:val="Heading2"/>
        <w:keepNext/>
      </w:pPr>
      <w:r>
        <w:t>29.1 TTM</w:t>
      </w:r>
    </w:p>
    <w:p>
      <w:pPr>
        <w:pStyle w:val="FormulaBlock"/>
        <w:shd w:fill="F5F8FA"/>
      </w:pPr>
      <w:r>
        <w:t>TTM =</w:t>
        <w:br/>
        <w:t xml:space="preserve">    quarter_t</w:t>
        <w:br/>
        <w:t xml:space="preserve">    + quarter_t_minus_1</w:t>
        <w:br/>
        <w:t xml:space="preserve">    + quarter_t_minus_2</w:t>
        <w:br/>
        <w:t xml:space="preserve">    + quarter_t_minus_3</w:t>
      </w:r>
    </w:p>
    <w:p>
      <w:pPr/>
      <w:r>
        <w:t>Preconditions:</w:t>
      </w:r>
    </w:p>
    <w:p>
      <w:pPr>
        <w:pStyle w:val="ListBody"/>
        <w:ind w:left="490" w:hanging="331"/>
      </w:pPr>
      <w:r>
        <w:rPr>
          <w:b/>
        </w:rPr>
        <w:t xml:space="preserve">• </w:t>
      </w:r>
      <w:r>
        <w:t>Same scope.</w:t>
      </w:r>
    </w:p>
    <w:p>
      <w:pPr>
        <w:pStyle w:val="ListBody"/>
        <w:ind w:left="490" w:hanging="331"/>
      </w:pPr>
      <w:r>
        <w:rPr>
          <w:b/>
        </w:rPr>
        <w:t xml:space="preserve">• </w:t>
      </w:r>
      <w:r>
        <w:t>Same unit.</w:t>
      </w:r>
    </w:p>
    <w:p>
      <w:pPr>
        <w:pStyle w:val="ListBody"/>
        <w:ind w:left="490" w:hanging="331"/>
      </w:pPr>
      <w:r>
        <w:rPr>
          <w:b/>
        </w:rPr>
        <w:t xml:space="preserve">• </w:t>
      </w:r>
      <w:r>
        <w:t>No overlap.</w:t>
      </w:r>
    </w:p>
    <w:p>
      <w:pPr>
        <w:pStyle w:val="ListBody"/>
        <w:ind w:left="490" w:hanging="331"/>
      </w:pPr>
      <w:r>
        <w:rPr>
          <w:b/>
        </w:rPr>
        <w:t xml:space="preserve">• </w:t>
      </w:r>
      <w:r>
        <w:t>No duplicate transition quarter.</w:t>
      </w:r>
    </w:p>
    <w:p>
      <w:pPr>
        <w:pStyle w:val="ListBody"/>
        <w:ind w:left="490" w:hanging="331"/>
      </w:pPr>
      <w:r>
        <w:rPr>
          <w:b/>
        </w:rPr>
        <w:t xml:space="preserve">• </w:t>
      </w:r>
      <w:r>
        <w:t>Comparable accounting policies.</w:t>
      </w:r>
    </w:p>
    <w:p>
      <w:pPr>
        <w:spacing w:after="0"/>
      </w:pPr>
      <w:r/>
    </w:p>
    <w:p>
      <w:pPr>
        <w:pStyle w:val="Heading1"/>
        <w:pBdr>
          <w:bottom w:val="single" w:sz="4" w:space="5" w:color="7A9AAA"/>
        </w:pBdr>
        <w:keepNext/>
      </w:pPr>
      <w:r>
        <w:t>30. Statement reconciliation</w:t>
      </w:r>
    </w:p>
    <w:p>
      <w:pPr/>
      <w:r>
        <w:t>BalanceSheetDifference =</w:t>
        <w:br/>
        <w:t xml:space="preserve">    Assets - (Liabilities + Equity)</w:t>
      </w:r>
    </w:p>
    <w:p>
      <w:pPr/>
      <w:r>
        <w:t>Pass condition:</w:t>
      </w:r>
    </w:p>
    <w:p>
      <w:pPr/>
      <w:r>
        <w:t>abs(BalanceSheetDifference) &lt;= configured_tolerance</w:t>
      </w:r>
    </w:p>
    <w:p>
      <w:pPr/>
      <w:r>
        <w:t>Cash reconciliation:</w:t>
      </w:r>
    </w:p>
    <w:p>
      <w:pPr>
        <w:pStyle w:val="FormulaBlock"/>
        <w:shd w:fill="F5F8FA"/>
      </w:pPr>
      <w:r>
        <w:t>ExpectedClosingCash =</w:t>
        <w:br/>
        <w:t xml:space="preserve">    OpeningCash + NetCashFlow</w:t>
        <w:br/>
        <w:br/>
        <w:t>CashDifference =</w:t>
        <w:br/>
        <w:t xml:space="preserve">    ReportedClosingCash - ExpectedClosingCash</w:t>
      </w:r>
    </w:p>
    <w:p>
      <w:pPr/>
      <w:r>
        <w:t>Also reconcile:</w:t>
      </w:r>
    </w:p>
    <w:p>
      <w:pPr>
        <w:pStyle w:val="ListBody"/>
        <w:ind w:left="490" w:hanging="331"/>
      </w:pPr>
      <w:r>
        <w:rPr>
          <w:b/>
        </w:rPr>
        <w:t xml:space="preserve">• </w:t>
      </w:r>
      <w:r>
        <w:t>Segment revenue.</w:t>
      </w:r>
    </w:p>
    <w:p>
      <w:pPr>
        <w:pStyle w:val="ListBody"/>
        <w:ind w:left="490" w:hanging="331"/>
      </w:pPr>
      <w:r>
        <w:rPr>
          <w:b/>
        </w:rPr>
        <w:t xml:space="preserve">• </w:t>
      </w:r>
      <w:r>
        <w:t>Segment profit.</w:t>
      </w:r>
    </w:p>
    <w:p>
      <w:pPr>
        <w:pStyle w:val="ListBody"/>
        <w:ind w:left="490" w:hanging="331"/>
      </w:pPr>
      <w:r>
        <w:rPr>
          <w:b/>
        </w:rPr>
        <w:t xml:space="preserve">• </w:t>
      </w:r>
      <w:r>
        <w:t>Debt notes.</w:t>
      </w:r>
    </w:p>
    <w:p>
      <w:pPr>
        <w:pStyle w:val="ListBody"/>
        <w:ind w:left="490" w:hanging="331"/>
      </w:pPr>
      <w:r>
        <w:rPr>
          <w:b/>
        </w:rPr>
        <w:t xml:space="preserve">• </w:t>
      </w:r>
      <w:r>
        <w:t>EPS.</w:t>
      </w:r>
    </w:p>
    <w:p>
      <w:pPr>
        <w:pStyle w:val="ListBody"/>
        <w:ind w:left="490" w:hanging="331"/>
      </w:pPr>
      <w:r>
        <w:rPr>
          <w:b/>
        </w:rPr>
        <w:t xml:space="preserve">• </w:t>
      </w:r>
      <w:r>
        <w:t>Share count.</w:t>
      </w:r>
    </w:p>
    <w:p>
      <w:pPr>
        <w:pStyle w:val="ListBody"/>
        <w:ind w:left="490" w:hanging="331"/>
      </w:pPr>
      <w:r>
        <w:rPr>
          <w:b/>
        </w:rPr>
        <w:t xml:space="preserve">• </w:t>
      </w:r>
      <w:r>
        <w:t>Dividends.</w:t>
      </w:r>
    </w:p>
    <w:p>
      <w:pPr>
        <w:pStyle w:val="ListBody"/>
        <w:ind w:left="490" w:hanging="331"/>
      </w:pPr>
      <w:r>
        <w:rPr>
          <w:b/>
        </w:rPr>
        <w:t xml:space="preserve">• </w:t>
      </w:r>
      <w:r>
        <w:t>Acquisitions.</w:t>
      </w:r>
    </w:p>
    <w:p>
      <w:pPr>
        <w:pStyle w:val="ListBody"/>
        <w:ind w:left="490" w:hanging="331"/>
      </w:pPr>
      <w:r>
        <w:rPr>
          <w:b/>
        </w:rPr>
        <w:t xml:space="preserve">• </w:t>
      </w:r>
      <w:r>
        <w:t>Minority interest.</w:t>
      </w:r>
    </w:p>
    <w:p>
      <w:pPr>
        <w:pStyle w:val="ListBody"/>
        <w:ind w:left="490" w:hanging="331"/>
      </w:pPr>
      <w:r>
        <w:rPr>
          <w:b/>
        </w:rPr>
        <w:t xml:space="preserve">• </w:t>
      </w:r>
      <w:r>
        <w:t>Associate income.</w:t>
      </w:r>
    </w:p>
    <w:p>
      <w:pPr>
        <w:pStyle w:val="ListBody"/>
        <w:ind w:left="490" w:hanging="331"/>
      </w:pPr>
      <w:r>
        <w:rPr>
          <w:b/>
        </w:rPr>
        <w:t xml:space="preserve">• </w:t>
      </w:r>
      <w:r>
        <w:t>Lease liabilities.</w:t>
      </w:r>
    </w:p>
    <w:p>
      <w:pPr>
        <w:spacing w:after="0"/>
      </w:pPr>
      <w:r/>
    </w:p>
    <w:p>
      <w:pPr>
        <w:pStyle w:val="Heading1"/>
        <w:pBdr>
          <w:bottom w:val="single" w:sz="4" w:space="5" w:color="7A9AAA"/>
        </w:pBdr>
        <w:keepNext/>
      </w:pPr>
      <w:r>
        <w:t>31. Normalized earnings</w:t>
      </w:r>
    </w:p>
    <w:p>
      <w:pPr/>
      <w:r>
        <w:t>Maintain:</w:t>
      </w:r>
    </w:p>
    <w:p>
      <w:pPr>
        <w:pStyle w:val="ListBody"/>
        <w:ind w:left="490" w:hanging="331"/>
      </w:pPr>
      <w:r>
        <w:rPr>
          <w:b/>
        </w:rPr>
        <w:t xml:space="preserve">• </w:t>
      </w:r>
      <w:r>
        <w:t>Reported value.</w:t>
      </w:r>
    </w:p>
    <w:p>
      <w:pPr>
        <w:pStyle w:val="ListBody"/>
        <w:ind w:left="490" w:hanging="331"/>
      </w:pPr>
      <w:r>
        <w:rPr>
          <w:b/>
        </w:rPr>
        <w:t xml:space="preserve">• </w:t>
      </w:r>
      <w:r>
        <w:t>Adjustment.</w:t>
      </w:r>
    </w:p>
    <w:p>
      <w:pPr>
        <w:pStyle w:val="ListBody"/>
        <w:ind w:left="490" w:hanging="331"/>
      </w:pPr>
      <w:r>
        <w:rPr>
          <w:b/>
        </w:rPr>
        <w:t xml:space="preserve">• </w:t>
      </w:r>
      <w:r>
        <w:t>Normalized value.</w:t>
      </w:r>
    </w:p>
    <w:p>
      <w:pPr/>
      <w:r>
        <w:t>Potential adjustments:</w:t>
      </w:r>
    </w:p>
    <w:p>
      <w:pPr>
        <w:pStyle w:val="ListBody"/>
        <w:ind w:left="490" w:hanging="331"/>
      </w:pPr>
      <w:r>
        <w:rPr>
          <w:b/>
        </w:rPr>
        <w:t xml:space="preserve">• </w:t>
      </w:r>
      <w:r>
        <w:t>Exceptional gain.</w:t>
      </w:r>
    </w:p>
    <w:p>
      <w:pPr>
        <w:pStyle w:val="ListBody"/>
        <w:ind w:left="490" w:hanging="331"/>
      </w:pPr>
      <w:r>
        <w:rPr>
          <w:b/>
        </w:rPr>
        <w:t xml:space="preserve">• </w:t>
      </w:r>
      <w:r>
        <w:t>Asset sale.</w:t>
      </w:r>
    </w:p>
    <w:p>
      <w:pPr>
        <w:pStyle w:val="ListBody"/>
        <w:ind w:left="490" w:hanging="331"/>
      </w:pPr>
      <w:r>
        <w:rPr>
          <w:b/>
        </w:rPr>
        <w:t xml:space="preserve">• </w:t>
      </w:r>
      <w:r>
        <w:t>One-time tax.</w:t>
      </w:r>
    </w:p>
    <w:p>
      <w:pPr>
        <w:pStyle w:val="ListBody"/>
        <w:ind w:left="490" w:hanging="331"/>
      </w:pPr>
      <w:r>
        <w:rPr>
          <w:b/>
        </w:rPr>
        <w:t xml:space="preserve">• </w:t>
      </w:r>
      <w:r>
        <w:t>Impairment.</w:t>
      </w:r>
    </w:p>
    <w:p>
      <w:pPr>
        <w:pStyle w:val="ListBody"/>
        <w:ind w:left="490" w:hanging="331"/>
      </w:pPr>
      <w:r>
        <w:rPr>
          <w:b/>
        </w:rPr>
        <w:t xml:space="preserve">• </w:t>
      </w:r>
      <w:r>
        <w:t>Acquisition charge.</w:t>
      </w:r>
    </w:p>
    <w:p>
      <w:pPr>
        <w:pStyle w:val="ListBody"/>
        <w:ind w:left="490" w:hanging="331"/>
      </w:pPr>
      <w:r>
        <w:rPr>
          <w:b/>
        </w:rPr>
        <w:t xml:space="preserve">• </w:t>
      </w:r>
      <w:r>
        <w:t>Discontinued operation.</w:t>
      </w:r>
    </w:p>
    <w:p>
      <w:pPr>
        <w:pStyle w:val="ListBody"/>
        <w:ind w:left="490" w:hanging="331"/>
      </w:pPr>
      <w:r>
        <w:rPr>
          <w:b/>
        </w:rPr>
        <w:t xml:space="preserve">• </w:t>
      </w:r>
      <w:r>
        <w:t>FX effect.</w:t>
      </w:r>
    </w:p>
    <w:p>
      <w:pPr>
        <w:pStyle w:val="ListBody"/>
        <w:ind w:left="490" w:hanging="331"/>
      </w:pPr>
      <w:r>
        <w:rPr>
          <w:b/>
        </w:rPr>
        <w:t xml:space="preserve">• </w:t>
      </w:r>
      <w:r>
        <w:t>Revaluation.</w:t>
      </w:r>
    </w:p>
    <w:p>
      <w:pPr>
        <w:pStyle w:val="ListBody"/>
        <w:ind w:left="490" w:hanging="331"/>
      </w:pPr>
      <w:r>
        <w:rPr>
          <w:b/>
        </w:rPr>
        <w:t xml:space="preserve">• </w:t>
      </w:r>
      <w:r>
        <w:t>Stock compensation.</w:t>
      </w:r>
    </w:p>
    <w:p>
      <w:pPr>
        <w:pStyle w:val="ListBody"/>
        <w:ind w:left="490" w:hanging="331"/>
      </w:pPr>
      <w:r>
        <w:rPr>
          <w:b/>
        </w:rPr>
        <w:t xml:space="preserve">• </w:t>
      </w:r>
      <w:r>
        <w:t>Capitalized expense.</w:t>
      </w:r>
    </w:p>
    <w:p>
      <w:pPr>
        <w:pStyle w:val="ListBody"/>
        <w:ind w:left="490" w:hanging="331"/>
      </w:pPr>
      <w:r>
        <w:rPr>
          <w:b/>
        </w:rPr>
        <w:t xml:space="preserve">• </w:t>
      </w:r>
      <w:r>
        <w:t>Lease adjustment.</w:t>
      </w:r>
    </w:p>
    <w:p>
      <w:pPr>
        <w:pStyle w:val="ListBody"/>
        <w:ind w:left="490" w:hanging="331"/>
      </w:pPr>
      <w:r>
        <w:rPr>
          <w:b/>
        </w:rPr>
        <w:t xml:space="preserve">• </w:t>
      </w:r>
      <w:r>
        <w:t>Minority interest.</w:t>
      </w:r>
    </w:p>
    <w:p>
      <w:pPr>
        <w:pStyle w:val="ListBody"/>
        <w:ind w:left="490" w:hanging="331"/>
      </w:pPr>
      <w:r>
        <w:rPr>
          <w:b/>
        </w:rPr>
        <w:t xml:space="preserve">• </w:t>
      </w:r>
      <w:r>
        <w:t>Associate income.</w:t>
      </w:r>
    </w:p>
    <w:p>
      <w:pPr>
        <w:pStyle w:val="ListBody"/>
        <w:ind w:left="490" w:hanging="331"/>
      </w:pPr>
      <w:r>
        <w:rPr>
          <w:b/>
        </w:rPr>
        <w:t xml:space="preserve">• </w:t>
      </w:r>
      <w:r>
        <w:t>One-time provision.</w:t>
      </w:r>
    </w:p>
    <w:p>
      <w:pPr>
        <w:pStyle w:val="ListBody"/>
        <w:ind w:left="490" w:hanging="331"/>
      </w:pPr>
      <w:r>
        <w:rPr>
          <w:b/>
        </w:rPr>
        <w:t xml:space="preserve">• </w:t>
      </w:r>
      <w:r>
        <w:t>Restructuring cost.</w:t>
      </w:r>
    </w:p>
    <w:p>
      <w:pPr/>
      <w:r>
        <w:t>Each adjustment stores:</w:t>
      </w:r>
    </w:p>
    <w:p>
      <w:pPr/>
      <w:r>
        <w:t>source</w:t>
        <w:br/>
        <w:t>reported_value</w:t>
        <w:br/>
        <w:t>adjustment_value</w:t>
        <w:br/>
        <w:t>normalized_value</w:t>
        <w:br/>
        <w:t>reason</w:t>
        <w:br/>
        <w:t>method</w:t>
        <w:br/>
        <w:t>owner</w:t>
        <w:br/>
        <w:t>confidence</w:t>
      </w:r>
    </w:p>
    <w:p>
      <w:pPr>
        <w:spacing w:after="0"/>
      </w:pPr>
      <w:r/>
    </w:p>
    <w:p>
      <w:pPr>
        <w:pStyle w:val="Heading1"/>
        <w:pBdr>
          <w:bottom w:val="single" w:sz="4" w:space="5" w:color="7A9AAA"/>
        </w:pBdr>
        <w:keepNext/>
      </w:pPr>
      <w:r>
        <w:t>32. Corporate actions</w:t>
      </w:r>
    </w:p>
    <w:p>
      <w:pPr/>
      <w:r>
        <w:t>Support:</w:t>
      </w:r>
    </w:p>
    <w:p>
      <w:pPr>
        <w:pStyle w:val="ListBody"/>
        <w:ind w:left="490" w:hanging="331"/>
      </w:pPr>
      <w:r>
        <w:rPr>
          <w:b/>
        </w:rPr>
        <w:t xml:space="preserve">• </w:t>
      </w:r>
      <w:r>
        <w:t>Dividend.</w:t>
      </w:r>
    </w:p>
    <w:p>
      <w:pPr>
        <w:pStyle w:val="ListBody"/>
        <w:ind w:left="490" w:hanging="331"/>
      </w:pPr>
      <w:r>
        <w:rPr>
          <w:b/>
        </w:rPr>
        <w:t xml:space="preserve">• </w:t>
      </w:r>
      <w:r>
        <w:t>Split.</w:t>
      </w:r>
    </w:p>
    <w:p>
      <w:pPr>
        <w:pStyle w:val="ListBody"/>
        <w:ind w:left="490" w:hanging="331"/>
      </w:pPr>
      <w:r>
        <w:rPr>
          <w:b/>
        </w:rPr>
        <w:t xml:space="preserve">• </w:t>
      </w:r>
      <w:r>
        <w:t>Bonus.</w:t>
      </w:r>
    </w:p>
    <w:p>
      <w:pPr>
        <w:pStyle w:val="ListBody"/>
        <w:ind w:left="490" w:hanging="331"/>
      </w:pPr>
      <w:r>
        <w:rPr>
          <w:b/>
        </w:rPr>
        <w:t xml:space="preserve">• </w:t>
      </w:r>
      <w:r>
        <w:t>Rights.</w:t>
      </w:r>
    </w:p>
    <w:p>
      <w:pPr>
        <w:pStyle w:val="ListBody"/>
        <w:ind w:left="490" w:hanging="331"/>
      </w:pPr>
      <w:r>
        <w:rPr>
          <w:b/>
        </w:rPr>
        <w:t xml:space="preserve">• </w:t>
      </w:r>
      <w:r>
        <w:t>Buyback.</w:t>
      </w:r>
    </w:p>
    <w:p>
      <w:pPr>
        <w:pStyle w:val="ListBody"/>
        <w:ind w:left="490" w:hanging="331"/>
      </w:pPr>
      <w:r>
        <w:rPr>
          <w:b/>
        </w:rPr>
        <w:t xml:space="preserve">• </w:t>
      </w:r>
      <w:r>
        <w:t>Preferential issue.</w:t>
      </w:r>
    </w:p>
    <w:p>
      <w:pPr>
        <w:pStyle w:val="ListBody"/>
        <w:ind w:left="490" w:hanging="331"/>
      </w:pPr>
      <w:r>
        <w:rPr>
          <w:b/>
        </w:rPr>
        <w:t xml:space="preserve">• </w:t>
      </w:r>
      <w:r>
        <w:t>QIP.</w:t>
      </w:r>
    </w:p>
    <w:p>
      <w:pPr>
        <w:pStyle w:val="ListBody"/>
        <w:ind w:left="490" w:hanging="331"/>
      </w:pPr>
      <w:r>
        <w:rPr>
          <w:b/>
        </w:rPr>
        <w:t xml:space="preserve">• </w:t>
      </w:r>
      <w:r>
        <w:t>ESOP dilution.</w:t>
      </w:r>
    </w:p>
    <w:p>
      <w:pPr>
        <w:pStyle w:val="ListBody"/>
        <w:ind w:left="490" w:hanging="331"/>
      </w:pPr>
      <w:r>
        <w:rPr>
          <w:b/>
        </w:rPr>
        <w:t xml:space="preserve">• </w:t>
      </w:r>
      <w:r>
        <w:t>Merger.</w:t>
      </w:r>
    </w:p>
    <w:p>
      <w:pPr>
        <w:pStyle w:val="ListBody"/>
        <w:ind w:left="490" w:hanging="331"/>
      </w:pPr>
      <w:r>
        <w:rPr>
          <w:b/>
        </w:rPr>
        <w:t xml:space="preserve">• </w:t>
      </w:r>
      <w:r>
        <w:t>Demerger.</w:t>
      </w:r>
    </w:p>
    <w:p>
      <w:pPr>
        <w:pStyle w:val="ListBody"/>
        <w:ind w:left="490" w:hanging="331"/>
      </w:pPr>
      <w:r>
        <w:rPr>
          <w:b/>
        </w:rPr>
        <w:t xml:space="preserve">• </w:t>
      </w:r>
      <w:r>
        <w:t>Spin-off.</w:t>
      </w:r>
    </w:p>
    <w:p>
      <w:pPr>
        <w:pStyle w:val="ListBody"/>
        <w:ind w:left="490" w:hanging="331"/>
      </w:pPr>
      <w:r>
        <w:rPr>
          <w:b/>
        </w:rPr>
        <w:t xml:space="preserve">• </w:t>
      </w:r>
      <w:r>
        <w:t>Scheme of arrangement.</w:t>
      </w:r>
    </w:p>
    <w:p>
      <w:pPr>
        <w:pStyle w:val="ListBody"/>
        <w:ind w:left="490" w:hanging="331"/>
      </w:pPr>
      <w:r>
        <w:rPr>
          <w:b/>
        </w:rPr>
        <w:t xml:space="preserve">• </w:t>
      </w:r>
      <w:r>
        <w:t>Capital reduction.</w:t>
      </w:r>
    </w:p>
    <w:p>
      <w:pPr>
        <w:pStyle w:val="ListBody"/>
        <w:ind w:left="490" w:hanging="331"/>
      </w:pPr>
      <w:r>
        <w:rPr>
          <w:b/>
        </w:rPr>
        <w:t xml:space="preserve">• </w:t>
      </w:r>
      <w:r>
        <w:t>Face-value change.</w:t>
      </w:r>
    </w:p>
    <w:p>
      <w:pPr/>
      <w:r>
        <w:t>Maintain:</w:t>
      </w:r>
    </w:p>
    <w:p>
      <w:pPr>
        <w:pStyle w:val="ListBody"/>
        <w:ind w:left="490" w:hanging="331"/>
      </w:pPr>
      <w:r>
        <w:rPr>
          <w:b/>
        </w:rPr>
        <w:t xml:space="preserve">• </w:t>
      </w:r>
      <w:r>
        <w:t>Raw price.</w:t>
      </w:r>
    </w:p>
    <w:p>
      <w:pPr>
        <w:pStyle w:val="ListBody"/>
        <w:ind w:left="490" w:hanging="331"/>
      </w:pPr>
      <w:r>
        <w:rPr>
          <w:b/>
        </w:rPr>
        <w:t xml:space="preserve">• </w:t>
      </w:r>
      <w:r>
        <w:t>Split-adjusted price.</w:t>
      </w:r>
    </w:p>
    <w:p>
      <w:pPr>
        <w:pStyle w:val="ListBody"/>
        <w:ind w:left="490" w:hanging="331"/>
      </w:pPr>
      <w:r>
        <w:rPr>
          <w:b/>
        </w:rPr>
        <w:t xml:space="preserve">• </w:t>
      </w:r>
      <w:r>
        <w:t>Total-return price.</w:t>
      </w:r>
    </w:p>
    <w:p>
      <w:pPr>
        <w:pStyle w:val="ListBody"/>
        <w:ind w:left="490" w:hanging="331"/>
      </w:pPr>
      <w:r>
        <w:rPr>
          <w:b/>
        </w:rPr>
        <w:t xml:space="preserve">• </w:t>
      </w:r>
      <w:r>
        <w:t>Execution price.</w:t>
      </w:r>
    </w:p>
    <w:p>
      <w:pPr>
        <w:pStyle w:val="ListBody"/>
        <w:ind w:left="490" w:hanging="331"/>
      </w:pPr>
      <w:r>
        <w:rPr>
          <w:b/>
        </w:rPr>
        <w:t xml:space="preserve">• </w:t>
      </w:r>
      <w:r>
        <w:t>Basic shares.</w:t>
      </w:r>
    </w:p>
    <w:p>
      <w:pPr>
        <w:pStyle w:val="ListBody"/>
        <w:ind w:left="490" w:hanging="331"/>
      </w:pPr>
      <w:r>
        <w:rPr>
          <w:b/>
        </w:rPr>
        <w:t xml:space="preserve">• </w:t>
      </w:r>
      <w:r>
        <w:t>Diluted shares.</w:t>
      </w:r>
    </w:p>
    <w:p>
      <w:pPr>
        <w:pStyle w:val="ListBody"/>
        <w:ind w:left="490" w:hanging="331"/>
      </w:pPr>
      <w:r>
        <w:rPr>
          <w:b/>
        </w:rPr>
        <w:t xml:space="preserve">• </w:t>
      </w:r>
      <w:r>
        <w:t>Period-end shares.</w:t>
      </w:r>
    </w:p>
    <w:p>
      <w:pPr>
        <w:pStyle w:val="ListBody"/>
        <w:ind w:left="490" w:hanging="331"/>
      </w:pPr>
      <w:r>
        <w:rPr>
          <w:b/>
        </w:rPr>
        <w:t xml:space="preserve">• </w:t>
      </w:r>
      <w:r>
        <w:t>Fully diluted potential shares.</w:t>
      </w:r>
    </w:p>
    <w:p>
      <w:pPr>
        <w:spacing w:after="0"/>
      </w:pPr>
      <w:r/>
    </w:p>
    <w:p>
      <w:pPr>
        <w:pStyle w:val="Heading1"/>
        <w:pBdr>
          <w:bottom w:val="single" w:sz="4" w:space="5" w:color="7A9AAA"/>
        </w:pBdr>
        <w:keepNext/>
      </w:pPr>
      <w:r>
        <w:t>33. Feature-store contract</w:t>
      </w:r>
    </w:p>
    <w:p>
      <w:pPr/>
      <w:r>
        <w:t>feature_id</w:t>
        <w:br/>
        <w:t>feature_version</w:t>
        <w:br/>
        <w:t>feature_name</w:t>
        <w:br/>
        <w:t>economic_definition</w:t>
        <w:br/>
        <w:t>plain_text_formula</w:t>
        <w:br/>
        <w:t>source_fields</w:t>
        <w:br/>
        <w:t>scope</w:t>
        <w:br/>
        <w:t>sector_applicability</w:t>
        <w:br/>
        <w:t>lookback</w:t>
        <w:br/>
        <w:t>minimum_history</w:t>
        <w:br/>
        <w:t>direction</w:t>
        <w:br/>
        <w:t>outlier_rule</w:t>
        <w:br/>
        <w:t>missing_rule</w:t>
        <w:br/>
        <w:t>negative_base_rule</w:t>
        <w:br/>
        <w:t>staleness_rule</w:t>
        <w:br/>
        <w:t>publication_lag</w:t>
        <w:br/>
        <w:t>input_units</w:t>
        <w:br/>
        <w:t>output_unit</w:t>
        <w:br/>
        <w:t>owner</w:t>
        <w:br/>
        <w:t>approval_status</w:t>
      </w:r>
    </w:p>
    <w:p>
      <w:pPr>
        <w:spacing w:after="0"/>
      </w:pPr>
      <w:r/>
    </w:p>
    <w:p>
      <w:pPr>
        <w:pStyle w:val="Heading1"/>
        <w:pBdr>
          <w:bottom w:val="single" w:sz="4" w:space="5" w:color="7A9AAA"/>
        </w:pBdr>
        <w:keepNext/>
      </w:pPr>
      <w:r>
        <w:t>34. Missing-data treatment</w:t>
      </w:r>
    </w:p>
    <w:p>
      <w:pPr>
        <w:pStyle w:val="Heading2"/>
        <w:keepNext/>
      </w:pPr>
      <w:r>
        <w:t>34.1 Coverage</w:t>
      </w:r>
    </w:p>
    <w:p>
      <w:pPr>
        <w:pStyle w:val="FormulaBlock"/>
        <w:shd w:fill="F5F8FA"/>
      </w:pPr>
      <w:r>
        <w:t>Coverage =</w:t>
        <w:br/>
        <w:t xml:space="preserve">    AvailableMetricWeight</w:t>
        <w:br/>
        <w:t xml:space="preserve">    / RequiredMetricWeight</w:t>
      </w:r>
    </w:p>
    <w:p>
      <w:pPr/>
      <w:r>
        <w:t>The denominator must be greater than zero.</w:t>
      </w:r>
    </w:p>
    <w:p>
      <w:pPr>
        <w:pStyle w:val="Heading2"/>
        <w:keepNext/>
      </w:pPr>
      <w:r>
        <w:t>34.2 Shrinkage</w:t>
      </w:r>
    </w:p>
    <w:p>
      <w:pPr/>
      <w:r>
        <w:t>AdjustedScore =</w:t>
        <w:br/>
        <w:t xml:space="preserve">    NeutralScore</w:t>
        <w:br/>
        <w:t xml:space="preserve">    + Coverage * (RawScore - NeutralScore)</w:t>
      </w:r>
    </w:p>
    <w:p>
      <w:pPr/>
      <w:r>
        <w:t>Defaults:</w:t>
      </w:r>
    </w:p>
    <w:p>
      <w:pPr/>
      <w:r>
        <w:t>NeutralScore = 50</w:t>
        <w:br/>
        <w:t>Coverage clipped to 0–1</w:t>
      </w:r>
    </w:p>
    <w:p>
      <w:pPr>
        <w:pStyle w:val="Heading2"/>
        <w:keepNext/>
      </w:pPr>
      <w:r>
        <w:t>34.3 Classes</w:t>
      </w:r>
    </w:p>
    <w:p>
      <w:pPr>
        <w:pStyle w:val="ListBody"/>
        <w:ind w:left="490" w:hanging="331"/>
      </w:pPr>
      <w:r>
        <w:rPr>
          <w:b/>
        </w:rPr>
        <w:t xml:space="preserve">• </w:t>
      </w:r>
      <w:r>
        <w:t>90–100%: Full.</w:t>
      </w:r>
    </w:p>
    <w:p>
      <w:pPr>
        <w:pStyle w:val="ListBody"/>
        <w:ind w:left="490" w:hanging="331"/>
      </w:pPr>
      <w:r>
        <w:rPr>
          <w:b/>
        </w:rPr>
        <w:t xml:space="preserve">• </w:t>
      </w:r>
      <w:r>
        <w:t>80–89.99%: Acceptable.</w:t>
      </w:r>
    </w:p>
    <w:p>
      <w:pPr>
        <w:pStyle w:val="ListBody"/>
        <w:ind w:left="490" w:hanging="331"/>
      </w:pPr>
      <w:r>
        <w:rPr>
          <w:b/>
        </w:rPr>
        <w:t xml:space="preserve">• </w:t>
      </w:r>
      <w:r>
        <w:t>70–79.99%: Restricted.</w:t>
      </w:r>
    </w:p>
    <w:p>
      <w:pPr>
        <w:pStyle w:val="ListBody"/>
        <w:ind w:left="490" w:hanging="331"/>
      </w:pPr>
      <w:r>
        <w:rPr>
          <w:b/>
        </w:rPr>
        <w:t xml:space="preserve">• </w:t>
      </w:r>
      <w:r>
        <w:t>50–69.99%: Limited.</w:t>
      </w:r>
    </w:p>
    <w:p>
      <w:pPr>
        <w:pStyle w:val="ListBody"/>
        <w:ind w:left="490" w:hanging="331"/>
      </w:pPr>
      <w:r>
        <w:rPr>
          <w:b/>
        </w:rPr>
        <w:t xml:space="preserve">• </w:t>
      </w:r>
      <w:r>
        <w:t>Below 50%: Insufficient.</w:t>
      </w:r>
    </w:p>
    <w:p>
      <w:pPr/>
      <w:r>
        <w:t>Missing governance data never creates a positive governance result.</w:t>
      </w:r>
    </w:p>
    <w:p>
      <w:pPr>
        <w:spacing w:after="0"/>
      </w:pPr>
      <w:r/>
    </w:p>
    <w:p>
      <w:pPr>
        <w:pStyle w:val="Heading1"/>
        <w:pBdr>
          <w:bottom w:val="single" w:sz="4" w:space="5" w:color="7A9AAA"/>
        </w:pBdr>
        <w:keepNext/>
      </w:pPr>
      <w:r>
        <w:t>35. Staleness</w:t>
      </w:r>
    </w:p>
    <w:p>
      <w:pPr>
        <w:pStyle w:val="FormulaBlock"/>
        <w:shd w:fill="F5F8FA"/>
      </w:pPr>
      <w:r>
        <w:t>ExcessAge =</w:t>
        <w:br/>
        <w:t xml:space="preserve">    max(0, ActualAge - AllowedAge)</w:t>
        <w:br/>
        <w:br/>
        <w:t>FreshnessFactor =</w:t>
        <w:br/>
        <w:t xml:space="preserve">    exp(-DecayRate * ExcessAge)</w:t>
      </w:r>
    </w:p>
    <w:p>
      <w:pPr/>
      <w:r>
        <w:t>The executable implementation must use a tested exponential function.</w:t>
      </w:r>
    </w:p>
    <w:p>
      <w:pPr/>
      <w:r>
        <w:t>Feature-specific windows are required.</w:t>
      </w:r>
    </w:p>
    <w:p>
      <w:pPr>
        <w:spacing w:after="0"/>
      </w:pPr>
      <w:r/>
    </w:p>
    <w:p>
      <w:pPr>
        <w:pStyle w:val="Heading1"/>
        <w:pBdr>
          <w:bottom w:val="single" w:sz="4" w:space="5" w:color="7A9AAA"/>
        </w:pBdr>
        <w:keepNext/>
      </w:pPr>
      <w:r>
        <w:t>36. Outlier rules</w:t>
      </w:r>
    </w:p>
    <w:p>
      <w:pPr/>
      <w:r>
        <w:t>Order:</w:t>
      </w:r>
    </w:p>
    <w:p>
      <w:pPr>
        <w:pStyle w:val="ListBody"/>
        <w:ind w:left="490" w:hanging="331"/>
      </w:pPr>
      <w:r>
        <w:rPr>
          <w:b/>
        </w:rPr>
        <w:t xml:space="preserve">1. </w:t>
      </w:r>
      <w:r>
        <w:t>Validate denominator.</w:t>
      </w:r>
    </w:p>
    <w:p>
      <w:pPr>
        <w:pStyle w:val="ListBody"/>
        <w:ind w:left="490" w:hanging="331"/>
      </w:pPr>
      <w:r>
        <w:rPr>
          <w:b/>
        </w:rPr>
        <w:t xml:space="preserve">2. </w:t>
      </w:r>
      <w:r>
        <w:t>Validate economic meaning.</w:t>
      </w:r>
    </w:p>
    <w:p>
      <w:pPr>
        <w:pStyle w:val="ListBody"/>
        <w:ind w:left="490" w:hanging="331"/>
      </w:pPr>
      <w:r>
        <w:rPr>
          <w:b/>
        </w:rPr>
        <w:t xml:space="preserve">3. </w:t>
      </w:r>
      <w:r>
        <w:t>Separate sectors.</w:t>
      </w:r>
    </w:p>
    <w:p>
      <w:pPr>
        <w:pStyle w:val="ListBody"/>
        <w:ind w:left="490" w:hanging="331"/>
      </w:pPr>
      <w:r>
        <w:rPr>
          <w:b/>
        </w:rPr>
        <w:t xml:space="preserve">4. </w:t>
      </w:r>
      <w:r>
        <w:t>Separate profitable and turnaround companies.</w:t>
      </w:r>
    </w:p>
    <w:p>
      <w:pPr>
        <w:pStyle w:val="ListBody"/>
        <w:ind w:left="490" w:hanging="331"/>
      </w:pPr>
      <w:r>
        <w:rPr>
          <w:b/>
        </w:rPr>
        <w:t xml:space="preserve">5. </w:t>
      </w:r>
      <w:r>
        <w:t>Winsorize valid continuous metrics.</w:t>
      </w:r>
    </w:p>
    <w:p>
      <w:pPr>
        <w:pStyle w:val="ListBody"/>
        <w:ind w:left="490" w:hanging="331"/>
      </w:pPr>
      <w:r>
        <w:rPr>
          <w:b/>
        </w:rPr>
        <w:t xml:space="preserve">6. </w:t>
      </w:r>
      <w:r>
        <w:t>Preserve binary risk events.</w:t>
      </w:r>
    </w:p>
    <w:p>
      <w:pPr>
        <w:pStyle w:val="ListBody"/>
        <w:ind w:left="490" w:hanging="331"/>
      </w:pPr>
      <w:r>
        <w:rPr>
          <w:b/>
        </w:rPr>
        <w:t xml:space="preserve">7. </w:t>
      </w:r>
      <w:r>
        <w:t>Preserve raw values.</w:t>
      </w:r>
    </w:p>
    <w:p>
      <w:pPr>
        <w:pStyle w:val="ListBody"/>
        <w:ind w:left="490" w:hanging="331"/>
      </w:pPr>
      <w:r>
        <w:rPr>
          <w:b/>
        </w:rPr>
        <w:t xml:space="preserve">8. </w:t>
      </w:r>
      <w:r>
        <w:t>Compute robust percentile.</w:t>
      </w:r>
    </w:p>
    <w:p>
      <w:pPr/>
      <w:r>
        <w:t>Special cases:</w:t>
      </w:r>
    </w:p>
    <w:p>
      <w:pPr>
        <w:pStyle w:val="ListBody"/>
        <w:ind w:left="490" w:hanging="331"/>
      </w:pPr>
      <w:r>
        <w:rPr>
          <w:b/>
        </w:rPr>
        <w:t xml:space="preserve">• </w:t>
      </w:r>
      <w:r>
        <w:t>Negative earnings: no normal P/E.</w:t>
      </w:r>
    </w:p>
    <w:p>
      <w:pPr>
        <w:pStyle w:val="ListBody"/>
        <w:ind w:left="490" w:hanging="331"/>
      </w:pPr>
      <w:r>
        <w:rPr>
          <w:b/>
        </w:rPr>
        <w:t xml:space="preserve">• </w:t>
      </w:r>
      <w:r>
        <w:t>Negative equity: no standard ROE interpretation.</w:t>
      </w:r>
    </w:p>
    <w:p>
      <w:pPr>
        <w:pStyle w:val="ListBody"/>
        <w:ind w:left="490" w:hanging="331"/>
      </w:pPr>
      <w:r>
        <w:rPr>
          <w:b/>
        </w:rPr>
        <w:t xml:space="preserve">• </w:t>
      </w:r>
      <w:r>
        <w:t>Near-zero capital: no extreme ROIC reward.</w:t>
      </w:r>
    </w:p>
    <w:p>
      <w:pPr>
        <w:pStyle w:val="ListBody"/>
        <w:ind w:left="490" w:hanging="331"/>
      </w:pPr>
      <w:r>
        <w:rPr>
          <w:b/>
        </w:rPr>
        <w:t xml:space="preserve">• </w:t>
      </w:r>
      <w:r>
        <w:t>Negative CFO: use cash-burn model.</w:t>
      </w:r>
    </w:p>
    <w:p>
      <w:pPr>
        <w:pStyle w:val="ListBody"/>
        <w:ind w:left="490" w:hanging="331"/>
      </w:pPr>
      <w:r>
        <w:rPr>
          <w:b/>
        </w:rPr>
        <w:t xml:space="preserve">• </w:t>
      </w:r>
      <w:r>
        <w:t>Peak cyclical earnings: normalize.</w:t>
      </w:r>
    </w:p>
    <w:p>
      <w:pPr>
        <w:pStyle w:val="ListBody"/>
        <w:ind w:left="490" w:hanging="331"/>
      </w:pPr>
      <w:r>
        <w:rPr>
          <w:b/>
        </w:rPr>
        <w:t xml:space="preserve">• </w:t>
      </w:r>
      <w:r>
        <w:t>Newly profitable company: turnaround model.</w:t>
      </w:r>
    </w:p>
    <w:p>
      <w:pPr>
        <w:spacing w:after="0"/>
      </w:pPr>
      <w:r/>
    </w:p>
    <w:p>
      <w:pPr>
        <w:pStyle w:val="Heading1"/>
        <w:pBdr>
          <w:bottom w:val="single" w:sz="4" w:space="5" w:color="7A9AAA"/>
        </w:pBdr>
        <w:keepNext/>
      </w:pPr>
      <w:r>
        <w:t>37. Cross-sectional normalization</w:t>
      </w:r>
    </w:p>
    <w:p>
      <w:pPr/>
      <w:r>
        <w:t>MetricPercentile =</w:t>
        <w:br/>
        <w:t xml:space="preserve">    0.60 * SectorPercentile</w:t>
        <w:br/>
        <w:t xml:space="preserve">    + 0.20 * SizePercentile</w:t>
        <w:br/>
        <w:t xml:space="preserve">    + 0.20 * UniversePercentile</w:t>
      </w:r>
    </w:p>
    <w:p>
      <w:pPr/>
      <w:r>
        <w:t>For lower-is-better metrics:</w:t>
      </w:r>
    </w:p>
    <w:p>
      <w:pPr/>
      <w:r>
        <w:t>DirectionalScore =</w:t>
        <w:br/>
        <w:t xml:space="preserve">    100 - MetricPercentile</w:t>
      </w:r>
    </w:p>
    <w:p>
      <w:pPr/>
      <w:r>
        <w:t>The weights are configurable and require validation.</w:t>
      </w:r>
    </w:p>
    <w:p>
      <w:pPr>
        <w:spacing w:after="0"/>
      </w:pPr>
      <w:r/>
    </w:p>
    <w:p>
      <w:pPr>
        <w:pStyle w:val="Heading1"/>
        <w:pBdr>
          <w:bottom w:val="single" w:sz="4" w:space="5" w:color="7A9AAA"/>
        </w:pBdr>
        <w:keepNext/>
      </w:pPr>
      <w:r>
        <w:t>38. Hard-gate engine</w:t>
      </w:r>
    </w:p>
    <w:p>
      <w:pPr>
        <w:pStyle w:val="Heading2"/>
        <w:keepNext/>
      </w:pPr>
      <w:r>
        <w:t>38.1 Level 1 — Block</w:t>
      </w:r>
    </w:p>
    <w:p>
      <w:pPr/>
      <w:r>
        <w:t>Potential triggers:</w:t>
      </w:r>
    </w:p>
    <w:p>
      <w:pPr>
        <w:pStyle w:val="ListBody"/>
        <w:ind w:left="490" w:hanging="331"/>
      </w:pPr>
      <w:r>
        <w:rPr>
          <w:b/>
        </w:rPr>
        <w:t xml:space="preserve">• </w:t>
      </w:r>
      <w:r>
        <w:t>Adverse audit opinion.</w:t>
      </w:r>
    </w:p>
    <w:p>
      <w:pPr>
        <w:pStyle w:val="ListBody"/>
        <w:ind w:left="490" w:hanging="331"/>
      </w:pPr>
      <w:r>
        <w:rPr>
          <w:b/>
        </w:rPr>
        <w:t xml:space="preserve">• </w:t>
      </w:r>
      <w:r>
        <w:t>Disclaimer of opinion.</w:t>
      </w:r>
    </w:p>
    <w:p>
      <w:pPr>
        <w:pStyle w:val="ListBody"/>
        <w:ind w:left="490" w:hanging="331"/>
      </w:pPr>
      <w:r>
        <w:rPr>
          <w:b/>
        </w:rPr>
        <w:t xml:space="preserve">• </w:t>
      </w:r>
      <w:r>
        <w:t>Confirmed manipulation.</w:t>
      </w:r>
    </w:p>
    <w:p>
      <w:pPr>
        <w:pStyle w:val="ListBody"/>
        <w:ind w:left="490" w:hanging="331"/>
      </w:pPr>
      <w:r>
        <w:rPr>
          <w:b/>
        </w:rPr>
        <w:t xml:space="preserve">• </w:t>
      </w:r>
      <w:r>
        <w:t>Confirmed fund diversion.</w:t>
      </w:r>
    </w:p>
    <w:p>
      <w:pPr>
        <w:pStyle w:val="ListBody"/>
        <w:ind w:left="490" w:hanging="331"/>
      </w:pPr>
      <w:r>
        <w:rPr>
          <w:b/>
        </w:rPr>
        <w:t xml:space="preserve">• </w:t>
      </w:r>
      <w:r>
        <w:t>Insolvency.</w:t>
      </w:r>
    </w:p>
    <w:p>
      <w:pPr>
        <w:pStyle w:val="ListBody"/>
        <w:ind w:left="490" w:hanging="331"/>
      </w:pPr>
      <w:r>
        <w:rPr>
          <w:b/>
        </w:rPr>
        <w:t xml:space="preserve">• </w:t>
      </w:r>
      <w:r>
        <w:t>Liquidation.</w:t>
      </w:r>
    </w:p>
    <w:p>
      <w:pPr>
        <w:pStyle w:val="ListBody"/>
        <w:ind w:left="490" w:hanging="331"/>
      </w:pPr>
      <w:r>
        <w:rPr>
          <w:b/>
        </w:rPr>
        <w:t xml:space="preserve">• </w:t>
      </w:r>
      <w:r>
        <w:t>Material default.</w:t>
      </w:r>
    </w:p>
    <w:p>
      <w:pPr>
        <w:pStyle w:val="ListBody"/>
        <w:ind w:left="490" w:hanging="331"/>
      </w:pPr>
      <w:r>
        <w:rPr>
          <w:b/>
        </w:rPr>
        <w:t xml:space="preserve">• </w:t>
      </w:r>
      <w:r>
        <w:t>Unreconciled critical accounts.</w:t>
      </w:r>
    </w:p>
    <w:p>
      <w:pPr>
        <w:pStyle w:val="ListBody"/>
        <w:ind w:left="490" w:hanging="331"/>
      </w:pPr>
      <w:r>
        <w:rPr>
          <w:b/>
        </w:rPr>
        <w:t xml:space="preserve">• </w:t>
      </w:r>
      <w:r>
        <w:t>Severe going-concern issue.</w:t>
      </w:r>
    </w:p>
    <w:p>
      <w:pPr>
        <w:pStyle w:val="ListBody"/>
        <w:ind w:left="490" w:hanging="331"/>
      </w:pPr>
      <w:r>
        <w:rPr>
          <w:b/>
        </w:rPr>
        <w:t xml:space="preserve">• </w:t>
      </w:r>
      <w:r>
        <w:t>Current suspension.</w:t>
      </w:r>
    </w:p>
    <w:p>
      <w:pPr>
        <w:pStyle w:val="ListBody"/>
        <w:ind w:left="490" w:hanging="331"/>
      </w:pPr>
      <w:r>
        <w:rPr>
          <w:b/>
        </w:rPr>
        <w:t xml:space="preserve">• </w:t>
      </w:r>
      <w:r>
        <w:t>Invalid mapping.</w:t>
      </w:r>
    </w:p>
    <w:p>
      <w:pPr>
        <w:pStyle w:val="ListBody"/>
        <w:ind w:left="490" w:hanging="331"/>
      </w:pPr>
      <w:r>
        <w:rPr>
          <w:b/>
        </w:rPr>
        <w:t xml:space="preserve">• </w:t>
      </w:r>
      <w:r>
        <w:t>Missing critical filing.</w:t>
      </w:r>
    </w:p>
    <w:p>
      <w:pPr>
        <w:pStyle w:val="ListBody"/>
        <w:ind w:left="490" w:hanging="331"/>
      </w:pPr>
      <w:r>
        <w:rPr>
          <w:b/>
        </w:rPr>
        <w:t xml:space="preserve">• </w:t>
      </w:r>
      <w:r>
        <w:t>Regulatory prohibition.</w:t>
      </w:r>
    </w:p>
    <w:p>
      <w:pPr>
        <w:pStyle w:val="ListBody"/>
        <w:ind w:left="490" w:hanging="331"/>
      </w:pPr>
      <w:r>
        <w:rPr>
          <w:b/>
        </w:rPr>
        <w:t xml:space="preserve">• </w:t>
      </w:r>
      <w:r>
        <w:t>Inadequate liquidity.</w:t>
      </w:r>
    </w:p>
    <w:p>
      <w:pPr>
        <w:pStyle w:val="ListBody"/>
        <w:ind w:left="490" w:hanging="331"/>
      </w:pPr>
      <w:r>
        <w:rPr>
          <w:b/>
        </w:rPr>
        <w:t xml:space="preserve">• </w:t>
      </w:r>
      <w:r>
        <w:t>Catastrophic unresolved liability.</w:t>
      </w:r>
    </w:p>
    <w:p>
      <w:pPr>
        <w:pStyle w:val="ListBody"/>
        <w:ind w:left="490" w:hanging="331"/>
      </w:pPr>
      <w:r>
        <w:rPr>
          <w:b/>
        </w:rPr>
        <w:t xml:space="preserve">• </w:t>
      </w:r>
      <w:r>
        <w:t>Material source conflict.</w:t>
      </w:r>
    </w:p>
    <w:p>
      <w:pPr/>
      <w:r>
        <w:t>States:</w:t>
      </w:r>
    </w:p>
    <w:p>
      <w:pPr/>
      <w:r>
        <w:t>AVOID</w:t>
        <w:br/>
        <w:t>PENDING_RESOLUTION</w:t>
        <w:br/>
        <w:t>NOT_RANKED</w:t>
      </w:r>
    </w:p>
    <w:p>
      <w:pPr>
        <w:pStyle w:val="Heading2"/>
        <w:keepNext/>
      </w:pPr>
      <w:r>
        <w:t>38.2 Level 2 — Cap</w:t>
      </w:r>
    </w:p>
    <w:p>
      <w:pPr/>
      <w:r>
        <w:t>Potential triggers:</w:t>
      </w:r>
    </w:p>
    <w:p>
      <w:pPr>
        <w:pStyle w:val="ListBody"/>
        <w:ind w:left="490" w:hanging="331"/>
      </w:pPr>
      <w:r>
        <w:rPr>
          <w:b/>
        </w:rPr>
        <w:t xml:space="preserve">• </w:t>
      </w:r>
      <w:r>
        <w:t>Qualified audit.</w:t>
      </w:r>
    </w:p>
    <w:p>
      <w:pPr>
        <w:pStyle w:val="ListBody"/>
        <w:ind w:left="490" w:hanging="331"/>
      </w:pPr>
      <w:r>
        <w:rPr>
          <w:b/>
        </w:rPr>
        <w:t xml:space="preserve">• </w:t>
      </w:r>
      <w:r>
        <w:t>Serious emphasis of matter.</w:t>
      </w:r>
    </w:p>
    <w:p>
      <w:pPr>
        <w:pStyle w:val="ListBody"/>
        <w:ind w:left="490" w:hanging="331"/>
      </w:pPr>
      <w:r>
        <w:rPr>
          <w:b/>
        </w:rPr>
        <w:t xml:space="preserve">• </w:t>
      </w:r>
      <w:r>
        <w:t>Auditor resignation concern.</w:t>
      </w:r>
    </w:p>
    <w:p>
      <w:pPr>
        <w:pStyle w:val="ListBody"/>
        <w:ind w:left="490" w:hanging="331"/>
      </w:pPr>
      <w:r>
        <w:rPr>
          <w:b/>
        </w:rPr>
        <w:t xml:space="preserve">• </w:t>
      </w:r>
      <w:r>
        <w:t>Major related-party exposure.</w:t>
      </w:r>
    </w:p>
    <w:p>
      <w:pPr>
        <w:pStyle w:val="ListBody"/>
        <w:ind w:left="490" w:hanging="331"/>
      </w:pPr>
      <w:r>
        <w:rPr>
          <w:b/>
        </w:rPr>
        <w:t xml:space="preserve">• </w:t>
      </w:r>
      <w:r>
        <w:t>Pledge increase.</w:t>
      </w:r>
    </w:p>
    <w:p>
      <w:pPr>
        <w:pStyle w:val="ListBody"/>
        <w:ind w:left="490" w:hanging="331"/>
      </w:pPr>
      <w:r>
        <w:rPr>
          <w:b/>
        </w:rPr>
        <w:t xml:space="preserve">• </w:t>
      </w:r>
      <w:r>
        <w:t>Repeated dilution.</w:t>
      </w:r>
    </w:p>
    <w:p>
      <w:pPr>
        <w:pStyle w:val="ListBody"/>
        <w:ind w:left="490" w:hanging="331"/>
      </w:pPr>
      <w:r>
        <w:rPr>
          <w:b/>
        </w:rPr>
        <w:t xml:space="preserve">• </w:t>
      </w:r>
      <w:r>
        <w:t>Rating downgrade.</w:t>
      </w:r>
    </w:p>
    <w:p>
      <w:pPr>
        <w:pStyle w:val="ListBody"/>
        <w:ind w:left="490" w:hanging="331"/>
      </w:pPr>
      <w:r>
        <w:rPr>
          <w:b/>
        </w:rPr>
        <w:t xml:space="preserve">• </w:t>
      </w:r>
      <w:r>
        <w:t>Rating-agency non-cooperation.</w:t>
      </w:r>
    </w:p>
    <w:p>
      <w:pPr>
        <w:pStyle w:val="ListBody"/>
        <w:ind w:left="490" w:hanging="331"/>
      </w:pPr>
      <w:r>
        <w:rPr>
          <w:b/>
        </w:rPr>
        <w:t xml:space="preserve">• </w:t>
      </w:r>
      <w:r>
        <w:t>Repeated revised filings.</w:t>
      </w:r>
    </w:p>
    <w:p>
      <w:pPr>
        <w:pStyle w:val="ListBody"/>
        <w:ind w:left="490" w:hanging="331"/>
      </w:pPr>
      <w:r>
        <w:rPr>
          <w:b/>
        </w:rPr>
        <w:t xml:space="preserve">• </w:t>
      </w:r>
      <w:r>
        <w:t>Large contingent liability.</w:t>
      </w:r>
    </w:p>
    <w:p>
      <w:pPr>
        <w:pStyle w:val="ListBody"/>
        <w:ind w:left="490" w:hanging="331"/>
      </w:pPr>
      <w:r>
        <w:rPr>
          <w:b/>
        </w:rPr>
        <w:t xml:space="preserve">• </w:t>
      </w:r>
      <w:r>
        <w:t>Persistent cash-profit divergence.</w:t>
      </w:r>
    </w:p>
    <w:p>
      <w:pPr/>
      <w:r>
        <w:t>Example:</w:t>
      </w:r>
    </w:p>
    <w:p>
      <w:pPr/>
      <w:r>
        <w:t>HardGateCap = 69</w:t>
      </w:r>
    </w:p>
    <w:p>
      <w:pPr>
        <w:pStyle w:val="Heading2"/>
        <w:keepNext/>
      </w:pPr>
      <w:r>
        <w:t>38.3 Level 3 — Penalty</w:t>
      </w:r>
    </w:p>
    <w:p>
      <w:pPr>
        <w:pStyle w:val="ListBody"/>
        <w:ind w:left="490" w:hanging="331"/>
      </w:pPr>
      <w:r>
        <w:rPr>
          <w:b/>
        </w:rPr>
        <w:t xml:space="preserve">• </w:t>
      </w:r>
      <w:r>
        <w:t>Short history.</w:t>
      </w:r>
    </w:p>
    <w:p>
      <w:pPr>
        <w:pStyle w:val="ListBody"/>
        <w:ind w:left="490" w:hanging="331"/>
      </w:pPr>
      <w:r>
        <w:rPr>
          <w:b/>
        </w:rPr>
        <w:t xml:space="preserve">• </w:t>
      </w:r>
      <w:r>
        <w:t>Moderate concentration.</w:t>
      </w:r>
    </w:p>
    <w:p>
      <w:pPr>
        <w:pStyle w:val="ListBody"/>
        <w:ind w:left="490" w:hanging="331"/>
      </w:pPr>
      <w:r>
        <w:rPr>
          <w:b/>
        </w:rPr>
        <w:t xml:space="preserve">• </w:t>
      </w:r>
      <w:r>
        <w:t>Temporary leverage.</w:t>
      </w:r>
    </w:p>
    <w:p>
      <w:pPr>
        <w:pStyle w:val="ListBody"/>
        <w:ind w:left="490" w:hanging="331"/>
      </w:pPr>
      <w:r>
        <w:rPr>
          <w:b/>
        </w:rPr>
        <w:t xml:space="preserve">• </w:t>
      </w:r>
      <w:r>
        <w:t>Working-capital deterioration.</w:t>
      </w:r>
    </w:p>
    <w:p>
      <w:pPr>
        <w:pStyle w:val="ListBody"/>
        <w:ind w:left="490" w:hanging="331"/>
      </w:pPr>
      <w:r>
        <w:rPr>
          <w:b/>
        </w:rPr>
        <w:t xml:space="preserve">• </w:t>
      </w:r>
      <w:r>
        <w:t>Earnings instability.</w:t>
      </w:r>
    </w:p>
    <w:p>
      <w:pPr>
        <w:pStyle w:val="ListBody"/>
        <w:ind w:left="490" w:hanging="331"/>
      </w:pPr>
      <w:r>
        <w:rPr>
          <w:b/>
        </w:rPr>
        <w:t xml:space="preserve">• </w:t>
      </w:r>
      <w:r>
        <w:t>Partial missing data.</w:t>
      </w:r>
    </w:p>
    <w:p>
      <w:pPr>
        <w:spacing w:after="0"/>
      </w:pPr>
      <w:r/>
    </w:p>
    <w:p>
      <w:pPr>
        <w:pStyle w:val="Heading1"/>
        <w:pBdr>
          <w:bottom w:val="single" w:sz="4" w:space="5" w:color="7A9AAA"/>
        </w:pBdr>
        <w:keepNext/>
      </w:pPr>
      <w:r>
        <w:t>39. Candidate Score</w:t>
      </w:r>
    </w:p>
    <w:p>
      <w:pPr/>
      <w:r>
        <w:t>Weights: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blHeader w:val="true"/>
        </w:trPr>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Component</w:t>
            </w:r>
          </w:p>
        </w:tc>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Weight</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Financial Quality</w:t>
            </w:r>
          </w:p>
        </w:tc>
        <w:tc>
          <w:tcPr>
            <w:tcW w:type="dxa" w:w="4997"/>
            <w:vAlign w:val="center"/>
            <w:tcMar>
              <w:top w:w="55" w:type="dxa"/>
              <w:start w:w="65" w:type="dxa"/>
              <w:bottom w:w="55" w:type="dxa"/>
              <w:end w:w="65" w:type="dxa"/>
            </w:tcMar>
          </w:tcPr>
          <w:p>
            <w:pPr>
              <w:spacing w:after="0"/>
            </w:pPr>
            <w:r>
              <w:rPr>
                <w:rFonts w:ascii="Cambria" w:hAnsi="Cambria"/>
                <w:sz w:val="18"/>
              </w:rPr>
              <w:t>20</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Growth Durability</w:t>
            </w:r>
          </w:p>
        </w:tc>
        <w:tc>
          <w:tcPr>
            <w:tcW w:type="dxa" w:w="4997"/>
            <w:vAlign w:val="center"/>
            <w:tcMar>
              <w:top w:w="55" w:type="dxa"/>
              <w:start w:w="65" w:type="dxa"/>
              <w:bottom w:w="55" w:type="dxa"/>
              <w:end w:w="65" w:type="dxa"/>
            </w:tcMar>
            <w:shd w:fill="F8FAFB"/>
          </w:tcPr>
          <w:p>
            <w:pPr>
              <w:spacing w:after="0"/>
            </w:pPr>
            <w:r>
              <w:rPr>
                <w:rFonts w:ascii="Cambria" w:hAnsi="Cambria"/>
                <w:sz w:val="18"/>
              </w:rPr>
              <w:t>12</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Valuation</w:t>
            </w:r>
          </w:p>
        </w:tc>
        <w:tc>
          <w:tcPr>
            <w:tcW w:type="dxa" w:w="4997"/>
            <w:vAlign w:val="center"/>
            <w:tcMar>
              <w:top w:w="55" w:type="dxa"/>
              <w:start w:w="65" w:type="dxa"/>
              <w:bottom w:w="55" w:type="dxa"/>
              <w:end w:w="65" w:type="dxa"/>
            </w:tcMar>
          </w:tcPr>
          <w:p>
            <w:pPr>
              <w:spacing w:after="0"/>
            </w:pPr>
            <w:r>
              <w:rPr>
                <w:rFonts w:ascii="Cambria" w:hAnsi="Cambria"/>
                <w:sz w:val="18"/>
              </w:rPr>
              <w:t>18</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Balance-Sheet Resilience</w:t>
            </w:r>
          </w:p>
        </w:tc>
        <w:tc>
          <w:tcPr>
            <w:tcW w:type="dxa" w:w="4997"/>
            <w:vAlign w:val="center"/>
            <w:tcMar>
              <w:top w:w="55" w:type="dxa"/>
              <w:start w:w="65" w:type="dxa"/>
              <w:bottom w:w="55" w:type="dxa"/>
              <w:end w:w="65" w:type="dxa"/>
            </w:tcMar>
            <w:shd w:fill="F8FAFB"/>
          </w:tcPr>
          <w:p>
            <w:pPr>
              <w:spacing w:after="0"/>
            </w:pPr>
            <w:r>
              <w:rPr>
                <w:rFonts w:ascii="Cambria" w:hAnsi="Cambria"/>
                <w:sz w:val="18"/>
              </w:rPr>
              <w:t>12</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Capital Allocation</w:t>
            </w:r>
          </w:p>
        </w:tc>
        <w:tc>
          <w:tcPr>
            <w:tcW w:type="dxa" w:w="4997"/>
            <w:vAlign w:val="center"/>
            <w:tcMar>
              <w:top w:w="55" w:type="dxa"/>
              <w:start w:w="65" w:type="dxa"/>
              <w:bottom w:w="55" w:type="dxa"/>
              <w:end w:w="65" w:type="dxa"/>
            </w:tcMar>
          </w:tcPr>
          <w:p>
            <w:pPr>
              <w:spacing w:after="0"/>
            </w:pPr>
            <w:r>
              <w:rPr>
                <w:rFonts w:ascii="Cambria" w:hAnsi="Cambria"/>
                <w:sz w:val="18"/>
              </w:rPr>
              <w:t>10</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Integrity and Governance</w:t>
            </w:r>
          </w:p>
        </w:tc>
        <w:tc>
          <w:tcPr>
            <w:tcW w:type="dxa" w:w="4997"/>
            <w:vAlign w:val="center"/>
            <w:tcMar>
              <w:top w:w="55" w:type="dxa"/>
              <w:start w:w="65" w:type="dxa"/>
              <w:bottom w:w="55" w:type="dxa"/>
              <w:end w:w="65" w:type="dxa"/>
            </w:tcMar>
            <w:shd w:fill="F8FAFB"/>
          </w:tcPr>
          <w:p>
            <w:pPr>
              <w:spacing w:after="0"/>
            </w:pPr>
            <w:r>
              <w:rPr>
                <w:rFonts w:ascii="Cambria" w:hAnsi="Cambria"/>
                <w:sz w:val="18"/>
              </w:rPr>
              <w:t>18</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Market Confirmation</w:t>
            </w:r>
          </w:p>
        </w:tc>
        <w:tc>
          <w:tcPr>
            <w:tcW w:type="dxa" w:w="4997"/>
            <w:vAlign w:val="center"/>
            <w:tcMar>
              <w:top w:w="55" w:type="dxa"/>
              <w:start w:w="65" w:type="dxa"/>
              <w:bottom w:w="55" w:type="dxa"/>
              <w:end w:w="65" w:type="dxa"/>
            </w:tcMar>
          </w:tcPr>
          <w:p>
            <w:pPr>
              <w:spacing w:after="0"/>
            </w:pPr>
            <w:r>
              <w:rPr>
                <w:rFonts w:ascii="Cambria" w:hAnsi="Cambria"/>
                <w:sz w:val="18"/>
              </w:rPr>
              <w:t>5</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Liquidity</w:t>
            </w:r>
          </w:p>
        </w:tc>
        <w:tc>
          <w:tcPr>
            <w:tcW w:type="dxa" w:w="4997"/>
            <w:vAlign w:val="center"/>
            <w:tcMar>
              <w:top w:w="55" w:type="dxa"/>
              <w:start w:w="65" w:type="dxa"/>
              <w:bottom w:w="55" w:type="dxa"/>
              <w:end w:w="65" w:type="dxa"/>
            </w:tcMar>
            <w:shd w:fill="F8FAFB"/>
          </w:tcPr>
          <w:p>
            <w:pPr>
              <w:spacing w:after="0"/>
            </w:pPr>
            <w:r>
              <w:rPr>
                <w:rFonts w:ascii="Cambria" w:hAnsi="Cambria"/>
                <w:sz w:val="18"/>
              </w:rPr>
              <w:t>5</w:t>
            </w:r>
          </w:p>
        </w:tc>
      </w:tr>
    </w:tbl>
    <w:p>
      <w:pPr>
        <w:spacing w:after="20"/>
      </w:pPr>
    </w:p>
    <w:p>
      <w:pPr>
        <w:pStyle w:val="Heading2"/>
        <w:keepNext/>
      </w:pPr>
      <w:r>
        <w:t>39.1 Raw score</w:t>
      </w:r>
    </w:p>
    <w:p>
      <w:pPr>
        <w:pStyle w:val="FormulaBlock"/>
        <w:shd w:fill="F5F8FA"/>
      </w:pPr>
      <w:r>
        <w:t>RawCandidateScore =</w:t>
        <w:br/>
        <w:t xml:space="preserve">    sum(component_weight[j] * component_score[j])</w:t>
        <w:br/>
        <w:t xml:space="preserve">    / sum(component_weight[j])</w:t>
      </w:r>
    </w:p>
    <w:p>
      <w:pPr>
        <w:pStyle w:val="Heading2"/>
        <w:keepNext/>
      </w:pPr>
      <w:r>
        <w:t>39.2 Confidence adjustment</w:t>
      </w:r>
    </w:p>
    <w:p>
      <w:pPr>
        <w:pStyle w:val="FormulaBlock"/>
        <w:shd w:fill="F5F8FA"/>
      </w:pPr>
      <w:r>
        <w:t>AdjustedCandidateScore =</w:t>
        <w:br/>
        <w:t xml:space="preserve">    50</w:t>
        <w:br/>
        <w:t xml:space="preserve">    + (RawCandidateScore - 50)</w:t>
        <w:br/>
        <w:t xml:space="preserve">      * (DataConfidence / 100)</w:t>
      </w:r>
    </w:p>
    <w:p>
      <w:pPr>
        <w:pStyle w:val="Heading2"/>
        <w:keepNext/>
      </w:pPr>
      <w:r>
        <w:t>39.3 Hard-gate application</w:t>
      </w:r>
    </w:p>
    <w:p>
      <w:pPr>
        <w:pStyle w:val="FormulaBlock"/>
        <w:shd w:fill="F5F8FA"/>
      </w:pPr>
      <w:r>
        <w:t>FinalCandidateScore =</w:t>
        <w:br/>
        <w:t xml:space="preserve">    min(AdjustedCandidateScore, HardGateCap)</w:t>
      </w:r>
    </w:p>
    <w:p>
      <w:pPr/>
      <w:r>
        <w:t>If no cap applies:</w:t>
      </w:r>
    </w:p>
    <w:p>
      <w:pPr/>
      <w:r>
        <w:t>HardGateCap = 100</w:t>
      </w:r>
    </w:p>
    <w:p>
      <w:pPr/>
      <w:r>
        <w:t>Final score is clipped to 0–100.</w:t>
      </w:r>
    </w:p>
    <w:p>
      <w:pPr>
        <w:spacing w:after="0"/>
      </w:pPr>
      <w:r/>
    </w:p>
    <w:p>
      <w:pPr>
        <w:pStyle w:val="Heading1"/>
        <w:pBdr>
          <w:bottom w:val="single" w:sz="4" w:space="5" w:color="7A9AAA"/>
        </w:pBdr>
        <w:keepNext/>
      </w:pPr>
      <w:r>
        <w:t>40. Financial Quality Score</w:t>
      </w:r>
    </w:p>
    <w:p>
      <w:pPr/>
      <w:r>
        <w:t>Sub-weights for ordinary non-financial companies: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blHeader w:val="true"/>
        </w:trPr>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Feature</w:t>
            </w:r>
          </w:p>
        </w:tc>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Weight</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Normalized ROIC</w:t>
            </w:r>
          </w:p>
        </w:tc>
        <w:tc>
          <w:tcPr>
            <w:tcW w:type="dxa" w:w="4997"/>
            <w:vAlign w:val="center"/>
            <w:tcMar>
              <w:top w:w="55" w:type="dxa"/>
              <w:start w:w="65" w:type="dxa"/>
              <w:bottom w:w="55" w:type="dxa"/>
              <w:end w:w="65" w:type="dxa"/>
            </w:tcMar>
          </w:tcPr>
          <w:p>
            <w:pPr>
              <w:spacing w:after="0"/>
            </w:pPr>
            <w:r>
              <w:rPr>
                <w:rFonts w:ascii="Cambria" w:hAnsi="Cambria"/>
                <w:sz w:val="18"/>
              </w:rPr>
              <w:t>18</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ROCE</w:t>
            </w:r>
          </w:p>
        </w:tc>
        <w:tc>
          <w:tcPr>
            <w:tcW w:type="dxa" w:w="4997"/>
            <w:vAlign w:val="center"/>
            <w:tcMar>
              <w:top w:w="55" w:type="dxa"/>
              <w:start w:w="65" w:type="dxa"/>
              <w:bottom w:w="55" w:type="dxa"/>
              <w:end w:w="65" w:type="dxa"/>
            </w:tcMar>
            <w:shd w:fill="F8FAFB"/>
          </w:tcPr>
          <w:p>
            <w:pPr>
              <w:spacing w:after="0"/>
            </w:pPr>
            <w:r>
              <w:rPr>
                <w:rFonts w:ascii="Cambria" w:hAnsi="Cambria"/>
                <w:sz w:val="18"/>
              </w:rPr>
              <w:t>8</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CFO/PAT</w:t>
            </w:r>
          </w:p>
        </w:tc>
        <w:tc>
          <w:tcPr>
            <w:tcW w:type="dxa" w:w="4997"/>
            <w:vAlign w:val="center"/>
            <w:tcMar>
              <w:top w:w="55" w:type="dxa"/>
              <w:start w:w="65" w:type="dxa"/>
              <w:bottom w:w="55" w:type="dxa"/>
              <w:end w:w="65" w:type="dxa"/>
            </w:tcMar>
          </w:tcPr>
          <w:p>
            <w:pPr>
              <w:spacing w:after="0"/>
            </w:pPr>
            <w:r>
              <w:rPr>
                <w:rFonts w:ascii="Cambria" w:hAnsi="Cambria"/>
                <w:sz w:val="18"/>
              </w:rPr>
              <w:t>12</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FCF Conversion</w:t>
            </w:r>
          </w:p>
        </w:tc>
        <w:tc>
          <w:tcPr>
            <w:tcW w:type="dxa" w:w="4997"/>
            <w:vAlign w:val="center"/>
            <w:tcMar>
              <w:top w:w="55" w:type="dxa"/>
              <w:start w:w="65" w:type="dxa"/>
              <w:bottom w:w="55" w:type="dxa"/>
              <w:end w:w="65" w:type="dxa"/>
            </w:tcMar>
            <w:shd w:fill="F8FAFB"/>
          </w:tcPr>
          <w:p>
            <w:pPr>
              <w:spacing w:after="0"/>
            </w:pPr>
            <w:r>
              <w:rPr>
                <w:rFonts w:ascii="Cambria" w:hAnsi="Cambria"/>
                <w:sz w:val="18"/>
              </w:rPr>
              <w:t>12</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Operating-Margin Stability</w:t>
            </w:r>
          </w:p>
        </w:tc>
        <w:tc>
          <w:tcPr>
            <w:tcW w:type="dxa" w:w="4997"/>
            <w:vAlign w:val="center"/>
            <w:tcMar>
              <w:top w:w="55" w:type="dxa"/>
              <w:start w:w="65" w:type="dxa"/>
              <w:bottom w:w="55" w:type="dxa"/>
              <w:end w:w="65" w:type="dxa"/>
            </w:tcMar>
          </w:tcPr>
          <w:p>
            <w:pPr>
              <w:spacing w:after="0"/>
            </w:pPr>
            <w:r>
              <w:rPr>
                <w:rFonts w:ascii="Cambria" w:hAnsi="Cambria"/>
                <w:sz w:val="18"/>
              </w:rPr>
              <w:t>10</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Gross-Margin Stability</w:t>
            </w:r>
          </w:p>
        </w:tc>
        <w:tc>
          <w:tcPr>
            <w:tcW w:type="dxa" w:w="4997"/>
            <w:vAlign w:val="center"/>
            <w:tcMar>
              <w:top w:w="55" w:type="dxa"/>
              <w:start w:w="65" w:type="dxa"/>
              <w:bottom w:w="55" w:type="dxa"/>
              <w:end w:w="65" w:type="dxa"/>
            </w:tcMar>
            <w:shd w:fill="F8FAFB"/>
          </w:tcPr>
          <w:p>
            <w:pPr>
              <w:spacing w:after="0"/>
            </w:pPr>
            <w:r>
              <w:rPr>
                <w:rFonts w:ascii="Cambria" w:hAnsi="Cambria"/>
                <w:sz w:val="18"/>
              </w:rPr>
              <w:t>5</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Asset Turnover</w:t>
            </w:r>
          </w:p>
        </w:tc>
        <w:tc>
          <w:tcPr>
            <w:tcW w:type="dxa" w:w="4997"/>
            <w:vAlign w:val="center"/>
            <w:tcMar>
              <w:top w:w="55" w:type="dxa"/>
              <w:start w:w="65" w:type="dxa"/>
              <w:bottom w:w="55" w:type="dxa"/>
              <w:end w:w="65" w:type="dxa"/>
            </w:tcMar>
          </w:tcPr>
          <w:p>
            <w:pPr>
              <w:spacing w:after="0"/>
            </w:pPr>
            <w:r>
              <w:rPr>
                <w:rFonts w:ascii="Cambria" w:hAnsi="Cambria"/>
                <w:sz w:val="18"/>
              </w:rPr>
              <w:t>8</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Earnings Stability</w:t>
            </w:r>
          </w:p>
        </w:tc>
        <w:tc>
          <w:tcPr>
            <w:tcW w:type="dxa" w:w="4997"/>
            <w:vAlign w:val="center"/>
            <w:tcMar>
              <w:top w:w="55" w:type="dxa"/>
              <w:start w:w="65" w:type="dxa"/>
              <w:bottom w:w="55" w:type="dxa"/>
              <w:end w:w="65" w:type="dxa"/>
            </w:tcMar>
            <w:shd w:fill="F8FAFB"/>
          </w:tcPr>
          <w:p>
            <w:pPr>
              <w:spacing w:after="0"/>
            </w:pPr>
            <w:r>
              <w:rPr>
                <w:rFonts w:ascii="Cambria" w:hAnsi="Cambria"/>
                <w:sz w:val="18"/>
              </w:rPr>
              <w:t>10</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Accrual Quality</w:t>
            </w:r>
          </w:p>
        </w:tc>
        <w:tc>
          <w:tcPr>
            <w:tcW w:type="dxa" w:w="4997"/>
            <w:vAlign w:val="center"/>
            <w:tcMar>
              <w:top w:w="55" w:type="dxa"/>
              <w:start w:w="65" w:type="dxa"/>
              <w:bottom w:w="55" w:type="dxa"/>
              <w:end w:w="65" w:type="dxa"/>
            </w:tcMar>
          </w:tcPr>
          <w:p>
            <w:pPr>
              <w:spacing w:after="0"/>
            </w:pPr>
            <w:r>
              <w:rPr>
                <w:rFonts w:ascii="Cambria" w:hAnsi="Cambria"/>
                <w:sz w:val="18"/>
              </w:rPr>
              <w:t>10</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Incremental Return</w:t>
            </w:r>
          </w:p>
        </w:tc>
        <w:tc>
          <w:tcPr>
            <w:tcW w:type="dxa" w:w="4997"/>
            <w:vAlign w:val="center"/>
            <w:tcMar>
              <w:top w:w="55" w:type="dxa"/>
              <w:start w:w="65" w:type="dxa"/>
              <w:bottom w:w="55" w:type="dxa"/>
              <w:end w:w="65" w:type="dxa"/>
            </w:tcMar>
            <w:shd w:fill="F8FAFB"/>
          </w:tcPr>
          <w:p>
            <w:pPr>
              <w:spacing w:after="0"/>
            </w:pPr>
            <w:r>
              <w:rPr>
                <w:rFonts w:ascii="Cambria" w:hAnsi="Cambria"/>
                <w:sz w:val="18"/>
              </w:rPr>
              <w:t>7</w:t>
            </w:r>
          </w:p>
        </w:tc>
      </w:tr>
    </w:tbl>
    <w:p>
      <w:pPr>
        <w:spacing w:after="20"/>
      </w:pPr>
    </w:p>
    <w:p>
      <w:pPr>
        <w:pStyle w:val="Heading2"/>
        <w:keepNext/>
      </w:pPr>
      <w:r>
        <w:t>40.1 CFO conversion</w:t>
      </w:r>
    </w:p>
    <w:p>
      <w:pPr>
        <w:pStyle w:val="FormulaBlock"/>
        <w:shd w:fill="F5F8FA"/>
      </w:pPr>
      <w:r>
        <w:t>CFOConversion =</w:t>
        <w:br/>
        <w:t xml:space="preserve">    CFO / max(abs(NormalizedPAT), PATDenominatorFloor)</w:t>
      </w:r>
    </w:p>
    <w:p>
      <w:pPr/>
      <w:r>
        <w:t>If PAT is negative, use a loss/cash-burn state rather than normal conversion scoring.</w:t>
      </w:r>
    </w:p>
    <w:p>
      <w:pPr>
        <w:pStyle w:val="Heading2"/>
        <w:keepNext/>
      </w:pPr>
      <w:r>
        <w:t>40.2 FCF conversion</w:t>
      </w:r>
    </w:p>
    <w:p>
      <w:pPr>
        <w:pStyle w:val="FormulaBlock"/>
        <w:shd w:fill="F5F8FA"/>
      </w:pPr>
      <w:r>
        <w:t>FreeCashFlow =</w:t>
        <w:br/>
        <w:t xml:space="preserve">    CFO - MaintenanceCapex</w:t>
        <w:br/>
        <w:br/>
        <w:t>FCFConversion =</w:t>
        <w:br/>
        <w:t xml:space="preserve">    FreeCashFlow</w:t>
        <w:br/>
        <w:t xml:space="preserve">    / max(abs(NormalizedPAT), PATDenominatorFloor)</w:t>
      </w:r>
    </w:p>
    <w:p>
      <w:pPr>
        <w:pStyle w:val="Heading2"/>
        <w:keepNext/>
      </w:pPr>
      <w:r>
        <w:t>40.3 Accrual ratio</w:t>
      </w:r>
    </w:p>
    <w:p>
      <w:pPr>
        <w:pStyle w:val="FormulaBlock"/>
        <w:shd w:fill="F5F8FA"/>
      </w:pPr>
      <w:r>
        <w:t>AccrualRatio =</w:t>
        <w:br/>
        <w:t xml:space="preserve">    (NormalizedPAT - CFO)</w:t>
        <w:br/>
        <w:t xml:space="preserve">    / max(abs(AverageOperatingAssets), AssetFloor)</w:t>
      </w:r>
    </w:p>
    <w:p>
      <w:pPr>
        <w:spacing w:after="0"/>
      </w:pPr>
      <w:r/>
    </w:p>
    <w:p>
      <w:pPr>
        <w:pStyle w:val="Heading1"/>
        <w:pBdr>
          <w:bottom w:val="single" w:sz="4" w:space="5" w:color="7A9AAA"/>
        </w:pBdr>
        <w:keepNext/>
      </w:pPr>
      <w:r>
        <w:t>41. Growth Durability Score</w:t>
      </w:r>
    </w:p>
    <w:p>
      <w:pPr/>
      <w:r>
        <w:t>Inputs:</w:t>
      </w:r>
    </w:p>
    <w:p>
      <w:pPr>
        <w:pStyle w:val="ListBody"/>
        <w:ind w:left="490" w:hanging="331"/>
      </w:pPr>
      <w:r>
        <w:rPr>
          <w:b/>
        </w:rPr>
        <w:t xml:space="preserve">• </w:t>
      </w:r>
      <w:r>
        <w:t>Five-year revenue growth.</w:t>
      </w:r>
    </w:p>
    <w:p>
      <w:pPr>
        <w:pStyle w:val="ListBody"/>
        <w:ind w:left="490" w:hanging="331"/>
      </w:pPr>
      <w:r>
        <w:rPr>
          <w:b/>
        </w:rPr>
        <w:t xml:space="preserve">• </w:t>
      </w:r>
      <w:r>
        <w:t>Three-year revenue growth.</w:t>
      </w:r>
    </w:p>
    <w:p>
      <w:pPr>
        <w:pStyle w:val="ListBody"/>
        <w:ind w:left="490" w:hanging="331"/>
      </w:pPr>
      <w:r>
        <w:rPr>
          <w:b/>
        </w:rPr>
        <w:t xml:space="preserve">• </w:t>
      </w:r>
      <w:r>
        <w:t>TTM growth.</w:t>
      </w:r>
    </w:p>
    <w:p>
      <w:pPr>
        <w:pStyle w:val="ListBody"/>
        <w:ind w:left="490" w:hanging="331"/>
      </w:pPr>
      <w:r>
        <w:rPr>
          <w:b/>
        </w:rPr>
        <w:t xml:space="preserve">• </w:t>
      </w:r>
      <w:r>
        <w:t>EPS growth.</w:t>
      </w:r>
    </w:p>
    <w:p>
      <w:pPr>
        <w:pStyle w:val="ListBody"/>
        <w:ind w:left="490" w:hanging="331"/>
      </w:pPr>
      <w:r>
        <w:rPr>
          <w:b/>
        </w:rPr>
        <w:t xml:space="preserve">• </w:t>
      </w:r>
      <w:r>
        <w:t>FCF growth.</w:t>
      </w:r>
    </w:p>
    <w:p>
      <w:pPr>
        <w:pStyle w:val="ListBody"/>
        <w:ind w:left="490" w:hanging="331"/>
      </w:pPr>
      <w:r>
        <w:rPr>
          <w:b/>
        </w:rPr>
        <w:t xml:space="preserve">• </w:t>
      </w:r>
      <w:r>
        <w:t>Growth consistency.</w:t>
      </w:r>
    </w:p>
    <w:p>
      <w:pPr>
        <w:pStyle w:val="ListBody"/>
        <w:ind w:left="490" w:hanging="331"/>
      </w:pPr>
      <w:r>
        <w:rPr>
          <w:b/>
        </w:rPr>
        <w:t xml:space="preserve">• </w:t>
      </w:r>
      <w:r>
        <w:t>Organic growth.</w:t>
      </w:r>
    </w:p>
    <w:p>
      <w:pPr>
        <w:pStyle w:val="ListBody"/>
        <w:ind w:left="490" w:hanging="331"/>
      </w:pPr>
      <w:r>
        <w:rPr>
          <w:b/>
        </w:rPr>
        <w:t xml:space="preserve">• </w:t>
      </w:r>
      <w:r>
        <w:t>Incremental returns.</w:t>
      </w:r>
    </w:p>
    <w:p>
      <w:pPr>
        <w:pStyle w:val="ListBody"/>
        <w:ind w:left="490" w:hanging="331"/>
      </w:pPr>
      <w:r>
        <w:rPr>
          <w:b/>
        </w:rPr>
        <w:t xml:space="preserve">• </w:t>
      </w:r>
      <w:r>
        <w:t>Per-share growth.</w:t>
      </w:r>
    </w:p>
    <w:p>
      <w:pPr>
        <w:pStyle w:val="ListBody"/>
        <w:ind w:left="490" w:hanging="331"/>
      </w:pPr>
      <w:r>
        <w:rPr>
          <w:b/>
        </w:rPr>
        <w:t xml:space="preserve">• </w:t>
      </w:r>
      <w:r>
        <w:t>Dilution.</w:t>
      </w:r>
    </w:p>
    <w:p>
      <w:pPr>
        <w:pStyle w:val="Heading2"/>
        <w:keepNext/>
      </w:pPr>
      <w:r>
        <w:t>41.1 CAGR</w:t>
      </w:r>
    </w:p>
    <w:p>
      <w:pPr/>
      <w:r>
        <w:t>For positive beginning and ending values:</w:t>
      </w:r>
    </w:p>
    <w:p>
      <w:pPr>
        <w:pStyle w:val="FormulaBlock"/>
        <w:shd w:fill="F5F8FA"/>
      </w:pPr>
      <w:r>
        <w:t>CAGR =</w:t>
        <w:br/>
        <w:t xml:space="preserve">    (EndingValue / BeginningValue) ^ (1 / Years)</w:t>
        <w:br/>
        <w:t xml:space="preserve">    - 1</w:t>
      </w:r>
    </w:p>
    <w:p>
      <w:pPr/>
      <w:r>
        <w:t>Invalid when:</w:t>
      </w:r>
    </w:p>
    <w:p>
      <w:pPr>
        <w:pStyle w:val="ListBody"/>
        <w:ind w:left="490" w:hanging="331"/>
      </w:pPr>
      <w:r>
        <w:rPr>
          <w:b/>
        </w:rPr>
        <w:t xml:space="preserve">• </w:t>
      </w:r>
      <w:r>
        <w:t>Beginning value &lt;= 0.</w:t>
      </w:r>
    </w:p>
    <w:p>
      <w:pPr>
        <w:pStyle w:val="ListBody"/>
        <w:ind w:left="490" w:hanging="331"/>
      </w:pPr>
      <w:r>
        <w:rPr>
          <w:b/>
        </w:rPr>
        <w:t xml:space="preserve">• </w:t>
      </w:r>
      <w:r>
        <w:t>Ending value &lt; 0.</w:t>
      </w:r>
    </w:p>
    <w:p>
      <w:pPr>
        <w:pStyle w:val="ListBody"/>
        <w:ind w:left="490" w:hanging="331"/>
      </w:pPr>
      <w:r>
        <w:rPr>
          <w:b/>
        </w:rPr>
        <w:t xml:space="preserve">• </w:t>
      </w:r>
      <w:r>
        <w:t>Years &lt;= 0.</w:t>
      </w:r>
    </w:p>
    <w:p>
      <w:pPr>
        <w:pStyle w:val="Heading2"/>
        <w:keepNext/>
      </w:pPr>
      <w:r>
        <w:t>41.2 Per-share growth</w:t>
      </w:r>
    </w:p>
    <w:p>
      <w:pPr/>
      <w:r>
        <w:t>BeginningPerShare =</w:t>
        <w:br/>
        <w:t xml:space="preserve">    BeginningMetric / BeginningDilutedShares</w:t>
        <w:br/>
        <w:br/>
        <w:t>EndingPerShare =</w:t>
        <w:br/>
        <w:t xml:space="preserve">    EndingMetric / EndingDilutedShares</w:t>
        <w:br/>
        <w:br/>
        <w:t>PerShareCAGR =</w:t>
        <w:br/>
        <w:t xml:space="preserve">    (EndingPerShare / BeginningPerShare) ^ (1 / Years)</w:t>
        <w:br/>
        <w:t xml:space="preserve">    - 1</w:t>
      </w:r>
    </w:p>
    <w:p>
      <w:pPr>
        <w:spacing w:after="0"/>
      </w:pPr>
      <w:r/>
    </w:p>
    <w:p>
      <w:pPr>
        <w:pStyle w:val="Heading1"/>
        <w:pBdr>
          <w:bottom w:val="single" w:sz="4" w:space="5" w:color="7A9AAA"/>
        </w:pBdr>
        <w:keepNext/>
      </w:pPr>
      <w:r>
        <w:t>42. Valuation Score</w:t>
      </w:r>
    </w:p>
    <w:p>
      <w:pPr/>
      <w:r>
        <w:t>Inputs:</w:t>
      </w:r>
    </w:p>
    <w:p>
      <w:pPr>
        <w:pStyle w:val="ListBody"/>
        <w:ind w:left="490" w:hanging="331"/>
      </w:pPr>
      <w:r>
        <w:rPr>
          <w:b/>
        </w:rPr>
        <w:t xml:space="preserve">• </w:t>
      </w:r>
      <w:r>
        <w:t>Earnings yield.</w:t>
      </w:r>
    </w:p>
    <w:p>
      <w:pPr>
        <w:pStyle w:val="ListBody"/>
        <w:ind w:left="490" w:hanging="331"/>
      </w:pPr>
      <w:r>
        <w:rPr>
          <w:b/>
        </w:rPr>
        <w:t xml:space="preserve">• </w:t>
      </w:r>
      <w:r>
        <w:t>FCF yield.</w:t>
      </w:r>
    </w:p>
    <w:p>
      <w:pPr>
        <w:pStyle w:val="ListBody"/>
        <w:ind w:left="490" w:hanging="331"/>
      </w:pPr>
      <w:r>
        <w:rPr>
          <w:b/>
        </w:rPr>
        <w:t xml:space="preserve">• </w:t>
      </w:r>
      <w:r>
        <w:t>EV/EBIT.</w:t>
      </w:r>
    </w:p>
    <w:p>
      <w:pPr>
        <w:pStyle w:val="ListBody"/>
        <w:ind w:left="490" w:hanging="331"/>
      </w:pPr>
      <w:r>
        <w:rPr>
          <w:b/>
        </w:rPr>
        <w:t xml:space="preserve">• </w:t>
      </w:r>
      <w:r>
        <w:t>EV/EBITDA.</w:t>
      </w:r>
    </w:p>
    <w:p>
      <w:pPr>
        <w:pStyle w:val="ListBody"/>
        <w:ind w:left="490" w:hanging="331"/>
      </w:pPr>
      <w:r>
        <w:rPr>
          <w:b/>
        </w:rPr>
        <w:t xml:space="preserve">• </w:t>
      </w:r>
      <w:r>
        <w:t>Price/book.</w:t>
      </w:r>
    </w:p>
    <w:p>
      <w:pPr>
        <w:pStyle w:val="ListBody"/>
        <w:ind w:left="490" w:hanging="331"/>
      </w:pPr>
      <w:r>
        <w:rPr>
          <w:b/>
        </w:rPr>
        <w:t xml:space="preserve">• </w:t>
      </w:r>
      <w:r>
        <w:t>Dividend yield.</w:t>
      </w:r>
    </w:p>
    <w:p>
      <w:pPr>
        <w:pStyle w:val="ListBody"/>
        <w:ind w:left="490" w:hanging="331"/>
      </w:pPr>
      <w:r>
        <w:rPr>
          <w:b/>
        </w:rPr>
        <w:t xml:space="preserve">• </w:t>
      </w:r>
      <w:r>
        <w:t>Historical-relative valuation.</w:t>
      </w:r>
    </w:p>
    <w:p>
      <w:pPr>
        <w:pStyle w:val="ListBody"/>
        <w:ind w:left="490" w:hanging="331"/>
      </w:pPr>
      <w:r>
        <w:rPr>
          <w:b/>
        </w:rPr>
        <w:t xml:space="preserve">• </w:t>
      </w:r>
      <w:r>
        <w:t>Sector-relative valuation.</w:t>
      </w:r>
    </w:p>
    <w:p>
      <w:pPr>
        <w:pStyle w:val="ListBody"/>
        <w:ind w:left="490" w:hanging="331"/>
      </w:pPr>
      <w:r>
        <w:rPr>
          <w:b/>
        </w:rPr>
        <w:t xml:space="preserve">• </w:t>
      </w:r>
      <w:r>
        <w:t>Universe-relative valuation.</w:t>
      </w:r>
    </w:p>
    <w:p>
      <w:pPr>
        <w:pStyle w:val="ListBody"/>
        <w:ind w:left="490" w:hanging="331"/>
      </w:pPr>
      <w:r>
        <w:rPr>
          <w:b/>
        </w:rPr>
        <w:t xml:space="preserve">• </w:t>
      </w:r>
      <w:r>
        <w:t>Reverse expectations.</w:t>
      </w:r>
    </w:p>
    <w:p>
      <w:pPr>
        <w:pStyle w:val="Heading2"/>
        <w:keepNext/>
      </w:pPr>
      <w:r>
        <w:t>42.1 Composite</w:t>
      </w:r>
    </w:p>
    <w:p>
      <w:pPr/>
      <w:r>
        <w:t>ValuationScore =</w:t>
        <w:br/>
        <w:t xml:space="preserve">    0.40 * SectorRelativeScore</w:t>
        <w:br/>
        <w:t xml:space="preserve">    + 0.25 * HistoricalRelativeScore</w:t>
        <w:br/>
        <w:t xml:space="preserve">    + 0.20 * UniverseRelativeScore</w:t>
        <w:br/>
        <w:t xml:space="preserve">    + 0.15 * CashYieldScore</w:t>
      </w:r>
    </w:p>
    <w:p>
      <w:pPr>
        <w:pStyle w:val="Heading2"/>
        <w:keepNext/>
      </w:pPr>
      <w:r>
        <w:t>42.2 Value-trap adjustment</w:t>
      </w:r>
    </w:p>
    <w:p>
      <w:pPr>
        <w:pStyle w:val="FormulaBlock"/>
        <w:shd w:fill="F5F8FA"/>
      </w:pPr>
      <w:r>
        <w:t>QualityFactor =</w:t>
        <w:br/>
        <w:t xml:space="preserve">    0.50 + 0.50 * (QualityScore / 100)</w:t>
        <w:br/>
        <w:br/>
        <w:t>AdjustedValueScore =</w:t>
        <w:br/>
        <w:t xml:space="preserve">    ValueScore * QualityFactor</w:t>
      </w:r>
    </w:p>
    <w:p>
      <w:pPr/>
      <w:r>
        <w:t>Output clipped to 0–100.</w:t>
      </w:r>
    </w:p>
    <w:p>
      <w:pPr>
        <w:spacing w:after="0"/>
      </w:pPr>
      <w:r/>
    </w:p>
    <w:p>
      <w:pPr>
        <w:pStyle w:val="Heading1"/>
        <w:pBdr>
          <w:bottom w:val="single" w:sz="4" w:space="5" w:color="7A9AAA"/>
        </w:pBdr>
        <w:keepNext/>
      </w:pPr>
      <w:r>
        <w:t>43. Balance-Sheet Resilience</w:t>
      </w:r>
    </w:p>
    <w:p>
      <w:pPr/>
      <w:r>
        <w:t>For ordinary companies:</w:t>
      </w:r>
    </w:p>
    <w:p>
      <w:pPr>
        <w:pStyle w:val="ListBody"/>
        <w:ind w:left="490" w:hanging="331"/>
      </w:pPr>
      <w:r>
        <w:rPr>
          <w:b/>
        </w:rPr>
        <w:t xml:space="preserve">• </w:t>
      </w:r>
      <w:r>
        <w:t>Net debt/EBITDA.</w:t>
      </w:r>
    </w:p>
    <w:p>
      <w:pPr>
        <w:pStyle w:val="ListBody"/>
        <w:ind w:left="490" w:hanging="331"/>
      </w:pPr>
      <w:r>
        <w:rPr>
          <w:b/>
        </w:rPr>
        <w:t xml:space="preserve">• </w:t>
      </w:r>
      <w:r>
        <w:t>Interest coverage.</w:t>
      </w:r>
    </w:p>
    <w:p>
      <w:pPr>
        <w:pStyle w:val="ListBody"/>
        <w:ind w:left="490" w:hanging="331"/>
      </w:pPr>
      <w:r>
        <w:rPr>
          <w:b/>
        </w:rPr>
        <w:t xml:space="preserve">• </w:t>
      </w:r>
      <w:r>
        <w:t>CFO/debt.</w:t>
      </w:r>
    </w:p>
    <w:p>
      <w:pPr>
        <w:pStyle w:val="ListBody"/>
        <w:ind w:left="490" w:hanging="331"/>
      </w:pPr>
      <w:r>
        <w:rPr>
          <w:b/>
        </w:rPr>
        <w:t xml:space="preserve">• </w:t>
      </w:r>
      <w:r>
        <w:t>Debt maturity.</w:t>
      </w:r>
    </w:p>
    <w:p>
      <w:pPr>
        <w:pStyle w:val="ListBody"/>
        <w:ind w:left="490" w:hanging="331"/>
      </w:pPr>
      <w:r>
        <w:rPr>
          <w:b/>
        </w:rPr>
        <w:t xml:space="preserve">• </w:t>
      </w:r>
      <w:r>
        <w:t>Cash adequacy.</w:t>
      </w:r>
    </w:p>
    <w:p>
      <w:pPr>
        <w:pStyle w:val="ListBody"/>
        <w:ind w:left="490" w:hanging="331"/>
      </w:pPr>
      <w:r>
        <w:rPr>
          <w:b/>
        </w:rPr>
        <w:t xml:space="preserve">• </w:t>
      </w:r>
      <w:r>
        <w:t>Working-capital liquidity.</w:t>
      </w:r>
    </w:p>
    <w:p>
      <w:pPr>
        <w:pStyle w:val="ListBody"/>
        <w:ind w:left="490" w:hanging="331"/>
      </w:pPr>
      <w:r>
        <w:rPr>
          <w:b/>
        </w:rPr>
        <w:t xml:space="preserve">• </w:t>
      </w:r>
      <w:r>
        <w:t>Contingent liabilities.</w:t>
      </w:r>
    </w:p>
    <w:p>
      <w:pPr>
        <w:pStyle w:val="ListBody"/>
        <w:ind w:left="490" w:hanging="331"/>
      </w:pPr>
      <w:r>
        <w:rPr>
          <w:b/>
        </w:rPr>
        <w:t xml:space="preserve">• </w:t>
      </w:r>
      <w:r>
        <w:t>FX debt.</w:t>
      </w:r>
    </w:p>
    <w:p>
      <w:pPr>
        <w:pStyle w:val="ListBody"/>
        <w:ind w:left="490" w:hanging="331"/>
      </w:pPr>
      <w:r>
        <w:rPr>
          <w:b/>
        </w:rPr>
        <w:t xml:space="preserve">• </w:t>
      </w:r>
      <w:r>
        <w:t>Off-balance-sheet exposure.</w:t>
      </w:r>
    </w:p>
    <w:p>
      <w:pPr/>
      <w:r>
        <w:t>Banks, NBFCs, and insurers use different models.</w:t>
      </w:r>
    </w:p>
    <w:p>
      <w:pPr>
        <w:spacing w:after="0"/>
      </w:pPr>
      <w:r/>
    </w:p>
    <w:p>
      <w:pPr>
        <w:pStyle w:val="Heading1"/>
        <w:pBdr>
          <w:bottom w:val="single" w:sz="4" w:space="5" w:color="7A9AAA"/>
        </w:pBdr>
        <w:keepNext/>
      </w:pPr>
      <w:r>
        <w:t>44. Capital Allocation Score</w:t>
      </w:r>
    </w:p>
    <w:p>
      <w:pPr/>
      <w:r>
        <w:t>Inputs:</w:t>
      </w:r>
    </w:p>
    <w:p>
      <w:pPr>
        <w:pStyle w:val="ListBody"/>
        <w:ind w:left="490" w:hanging="331"/>
      </w:pPr>
      <w:r>
        <w:rPr>
          <w:b/>
        </w:rPr>
        <w:t xml:space="preserve">• </w:t>
      </w:r>
      <w:r>
        <w:t>Incremental invested-capital return.</w:t>
      </w:r>
    </w:p>
    <w:p>
      <w:pPr>
        <w:pStyle w:val="ListBody"/>
        <w:ind w:left="490" w:hanging="331"/>
      </w:pPr>
      <w:r>
        <w:rPr>
          <w:b/>
        </w:rPr>
        <w:t xml:space="preserve">• </w:t>
      </w:r>
      <w:r>
        <w:t>Capex productivity.</w:t>
      </w:r>
    </w:p>
    <w:p>
      <w:pPr>
        <w:pStyle w:val="ListBody"/>
        <w:ind w:left="490" w:hanging="331"/>
      </w:pPr>
      <w:r>
        <w:rPr>
          <w:b/>
        </w:rPr>
        <w:t xml:space="preserve">• </w:t>
      </w:r>
      <w:r>
        <w:t>Acquisition outcomes.</w:t>
      </w:r>
    </w:p>
    <w:p>
      <w:pPr>
        <w:pStyle w:val="ListBody"/>
        <w:ind w:left="490" w:hanging="331"/>
      </w:pPr>
      <w:r>
        <w:rPr>
          <w:b/>
        </w:rPr>
        <w:t xml:space="preserve">• </w:t>
      </w:r>
      <w:r>
        <w:t>Debt reduction.</w:t>
      </w:r>
    </w:p>
    <w:p>
      <w:pPr>
        <w:pStyle w:val="ListBody"/>
        <w:ind w:left="490" w:hanging="331"/>
      </w:pPr>
      <w:r>
        <w:rPr>
          <w:b/>
        </w:rPr>
        <w:t xml:space="preserve">• </w:t>
      </w:r>
      <w:r>
        <w:t>Dividend coverage.</w:t>
      </w:r>
    </w:p>
    <w:p>
      <w:pPr>
        <w:pStyle w:val="ListBody"/>
        <w:ind w:left="490" w:hanging="331"/>
      </w:pPr>
      <w:r>
        <w:rPr>
          <w:b/>
        </w:rPr>
        <w:t xml:space="preserve">• </w:t>
      </w:r>
      <w:r>
        <w:t>Buyback discipline.</w:t>
      </w:r>
    </w:p>
    <w:p>
      <w:pPr>
        <w:pStyle w:val="ListBody"/>
        <w:ind w:left="490" w:hanging="331"/>
      </w:pPr>
      <w:r>
        <w:rPr>
          <w:b/>
        </w:rPr>
        <w:t xml:space="preserve">• </w:t>
      </w:r>
      <w:r>
        <w:t>Dilution.</w:t>
      </w:r>
    </w:p>
    <w:p>
      <w:pPr>
        <w:pStyle w:val="ListBody"/>
        <w:ind w:left="490" w:hanging="331"/>
      </w:pPr>
      <w:r>
        <w:rPr>
          <w:b/>
        </w:rPr>
        <w:t xml:space="preserve">• </w:t>
      </w:r>
      <w:r>
        <w:t>Related-party deployment.</w:t>
      </w:r>
    </w:p>
    <w:p>
      <w:pPr>
        <w:pStyle w:val="ListBody"/>
        <w:ind w:left="490" w:hanging="331"/>
      </w:pPr>
      <w:r>
        <w:rPr>
          <w:b/>
        </w:rPr>
        <w:t xml:space="preserve">• </w:t>
      </w:r>
      <w:r>
        <w:t>Cash deployment.</w:t>
      </w:r>
    </w:p>
    <w:p>
      <w:pPr>
        <w:pStyle w:val="ListBody"/>
        <w:ind w:left="490" w:hanging="331"/>
      </w:pPr>
      <w:r>
        <w:rPr>
          <w:b/>
        </w:rPr>
        <w:t xml:space="preserve">• </w:t>
      </w:r>
      <w:r>
        <w:t>Consistency.</w:t>
      </w:r>
    </w:p>
    <w:p>
      <w:pPr>
        <w:pStyle w:val="Heading2"/>
        <w:keepNext/>
      </w:pPr>
      <w:r>
        <w:t>ROIIC</w:t>
      </w:r>
    </w:p>
    <w:p>
      <w:pPr>
        <w:pStyle w:val="FormulaBlock"/>
        <w:shd w:fill="F5F8FA"/>
      </w:pPr>
      <w:r>
        <w:t>ROIIC =</w:t>
        <w:br/>
        <w:t xml:space="preserve">    ChangeInNOPAT</w:t>
        <w:br/>
        <w:t xml:space="preserve">    / max(abs(ChangeInInvestedCapital), CapitalChangeFloor)</w:t>
      </w:r>
    </w:p>
    <w:p>
      <w:pPr/>
      <w:r>
        <w:t>Use multi-year smoothing.</w:t>
      </w:r>
    </w:p>
    <w:p>
      <w:pPr>
        <w:spacing w:after="0"/>
      </w:pPr>
      <w:r/>
    </w:p>
    <w:p>
      <w:pPr>
        <w:pStyle w:val="Heading1"/>
        <w:pBdr>
          <w:bottom w:val="single" w:sz="4" w:space="5" w:color="7A9AAA"/>
        </w:pBdr>
        <w:keepNext/>
      </w:pPr>
      <w:r>
        <w:t>45. Integrity and Governance Score</w:t>
      </w:r>
    </w:p>
    <w:p>
      <w:pPr/>
      <w:r>
        <w:t>The score begins at 50.</w:t>
      </w:r>
    </w:p>
    <w:p>
      <w:pPr/>
      <w:r>
        <w:t>Positive evidence may raise it.</w:t>
      </w:r>
    </w:p>
    <w:p>
      <w:pPr/>
      <w:r>
        <w:t>Negative evidence may lower it, cap it, or trigger a gate.</w:t>
      </w:r>
    </w:p>
    <w:p>
      <w:pPr/>
      <w:r>
        <w:t>Inputs:</w:t>
      </w:r>
    </w:p>
    <w:p>
      <w:pPr>
        <w:pStyle w:val="ListBody"/>
        <w:ind w:left="490" w:hanging="331"/>
      </w:pPr>
      <w:r>
        <w:rPr>
          <w:b/>
        </w:rPr>
        <w:t xml:space="preserve">• </w:t>
      </w:r>
      <w:r>
        <w:t>Audit opinion.</w:t>
      </w:r>
    </w:p>
    <w:p>
      <w:pPr>
        <w:pStyle w:val="ListBody"/>
        <w:ind w:left="490" w:hanging="331"/>
      </w:pPr>
      <w:r>
        <w:rPr>
          <w:b/>
        </w:rPr>
        <w:t xml:space="preserve">• </w:t>
      </w:r>
      <w:r>
        <w:t>Key audit matters.</w:t>
      </w:r>
    </w:p>
    <w:p>
      <w:pPr>
        <w:pStyle w:val="ListBody"/>
        <w:ind w:left="490" w:hanging="331"/>
      </w:pPr>
      <w:r>
        <w:rPr>
          <w:b/>
        </w:rPr>
        <w:t xml:space="preserve">• </w:t>
      </w:r>
      <w:r>
        <w:t>Auditor change.</w:t>
      </w:r>
    </w:p>
    <w:p>
      <w:pPr>
        <w:pStyle w:val="ListBody"/>
        <w:ind w:left="490" w:hanging="331"/>
      </w:pPr>
      <w:r>
        <w:rPr>
          <w:b/>
        </w:rPr>
        <w:t xml:space="preserve">• </w:t>
      </w:r>
      <w:r>
        <w:t>Auditor resignation.</w:t>
      </w:r>
    </w:p>
    <w:p>
      <w:pPr>
        <w:pStyle w:val="ListBody"/>
        <w:ind w:left="490" w:hanging="331"/>
      </w:pPr>
      <w:r>
        <w:rPr>
          <w:b/>
        </w:rPr>
        <w:t xml:space="preserve">• </w:t>
      </w:r>
      <w:r>
        <w:t>Restatement.</w:t>
      </w:r>
    </w:p>
    <w:p>
      <w:pPr>
        <w:pStyle w:val="ListBody"/>
        <w:ind w:left="490" w:hanging="331"/>
      </w:pPr>
      <w:r>
        <w:rPr>
          <w:b/>
        </w:rPr>
        <w:t xml:space="preserve">• </w:t>
      </w:r>
      <w:r>
        <w:t>Revised filing.</w:t>
      </w:r>
    </w:p>
    <w:p>
      <w:pPr>
        <w:pStyle w:val="ListBody"/>
        <w:ind w:left="490" w:hanging="331"/>
      </w:pPr>
      <w:r>
        <w:rPr>
          <w:b/>
        </w:rPr>
        <w:t xml:space="preserve">• </w:t>
      </w:r>
      <w:r>
        <w:t>Related-party transactions.</w:t>
      </w:r>
    </w:p>
    <w:p>
      <w:pPr>
        <w:pStyle w:val="ListBody"/>
        <w:ind w:left="490" w:hanging="331"/>
      </w:pPr>
      <w:r>
        <w:rPr>
          <w:b/>
        </w:rPr>
        <w:t xml:space="preserve">• </w:t>
      </w:r>
      <w:r>
        <w:t>Promoter pledge.</w:t>
      </w:r>
    </w:p>
    <w:p>
      <w:pPr>
        <w:pStyle w:val="ListBody"/>
        <w:ind w:left="490" w:hanging="331"/>
      </w:pPr>
      <w:r>
        <w:rPr>
          <w:b/>
        </w:rPr>
        <w:t xml:space="preserve">• </w:t>
      </w:r>
      <w:r>
        <w:t>Encumbrance.</w:t>
      </w:r>
    </w:p>
    <w:p>
      <w:pPr>
        <w:pStyle w:val="ListBody"/>
        <w:ind w:left="490" w:hanging="331"/>
      </w:pPr>
      <w:r>
        <w:rPr>
          <w:b/>
        </w:rPr>
        <w:t xml:space="preserve">• </w:t>
      </w:r>
      <w:r>
        <w:t>Dilution.</w:t>
      </w:r>
    </w:p>
    <w:p>
      <w:pPr>
        <w:pStyle w:val="ListBody"/>
        <w:ind w:left="490" w:hanging="331"/>
      </w:pPr>
      <w:r>
        <w:rPr>
          <w:b/>
        </w:rPr>
        <w:t xml:space="preserve">• </w:t>
      </w:r>
      <w:r>
        <w:t>CFO/PAT divergence.</w:t>
      </w:r>
    </w:p>
    <w:p>
      <w:pPr>
        <w:pStyle w:val="ListBody"/>
        <w:ind w:left="490" w:hanging="331"/>
      </w:pPr>
      <w:r>
        <w:rPr>
          <w:b/>
        </w:rPr>
        <w:t xml:space="preserve">• </w:t>
      </w:r>
      <w:r>
        <w:t>Default.</w:t>
      </w:r>
    </w:p>
    <w:p>
      <w:pPr>
        <w:pStyle w:val="ListBody"/>
        <w:ind w:left="490" w:hanging="331"/>
      </w:pPr>
      <w:r>
        <w:rPr>
          <w:b/>
        </w:rPr>
        <w:t xml:space="preserve">• </w:t>
      </w:r>
      <w:r>
        <w:t>Rating change.</w:t>
      </w:r>
    </w:p>
    <w:p>
      <w:pPr>
        <w:pStyle w:val="ListBody"/>
        <w:ind w:left="490" w:hanging="331"/>
      </w:pPr>
      <w:r>
        <w:rPr>
          <w:b/>
        </w:rPr>
        <w:t xml:space="preserve">• </w:t>
      </w:r>
      <w:r>
        <w:t>Regulatory action.</w:t>
      </w:r>
    </w:p>
    <w:p>
      <w:pPr>
        <w:pStyle w:val="ListBody"/>
        <w:ind w:left="490" w:hanging="331"/>
      </w:pPr>
      <w:r>
        <w:rPr>
          <w:b/>
        </w:rPr>
        <w:t xml:space="preserve">• </w:t>
      </w:r>
      <w:r>
        <w:t>Board independence.</w:t>
      </w:r>
    </w:p>
    <w:p>
      <w:pPr>
        <w:pStyle w:val="ListBody"/>
        <w:ind w:left="490" w:hanging="331"/>
      </w:pPr>
      <w:r>
        <w:rPr>
          <w:b/>
        </w:rPr>
        <w:t xml:space="preserve">• </w:t>
      </w:r>
      <w:r>
        <w:t>Remuneration alignment.</w:t>
      </w:r>
    </w:p>
    <w:p>
      <w:pPr>
        <w:pStyle w:val="ListBody"/>
        <w:ind w:left="490" w:hanging="331"/>
      </w:pPr>
      <w:r>
        <w:rPr>
          <w:b/>
        </w:rPr>
        <w:t xml:space="preserve">• </w:t>
      </w:r>
      <w:r>
        <w:t>Minority treatment.</w:t>
      </w:r>
    </w:p>
    <w:p>
      <w:pPr>
        <w:pStyle w:val="ListBody"/>
        <w:ind w:left="490" w:hanging="331"/>
      </w:pPr>
      <w:r>
        <w:rPr>
          <w:b/>
        </w:rPr>
        <w:t xml:space="preserve">• </w:t>
      </w:r>
      <w:r>
        <w:t>Subsidiary governance.</w:t>
      </w:r>
    </w:p>
    <w:p>
      <w:pPr/>
      <w:r>
        <w:t>The system detects risk indicators.</w:t>
      </w:r>
    </w:p>
    <w:p>
      <w:pPr/>
      <w:r>
        <w:t>It does not independently declare fraud.</w:t>
      </w:r>
    </w:p>
    <w:p>
      <w:pPr>
        <w:spacing w:after="0"/>
      </w:pPr>
      <w:r/>
    </w:p>
    <w:p>
      <w:pPr>
        <w:pStyle w:val="Heading1"/>
        <w:pBdr>
          <w:bottom w:val="single" w:sz="4" w:space="5" w:color="7A9AAA"/>
        </w:pBdr>
        <w:keepNext/>
      </w:pPr>
      <w:r>
        <w:t>46. Market Confirmation Score</w:t>
      </w:r>
    </w:p>
    <w:p>
      <w:pPr/>
      <w:r>
        <w:t>Weights: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blHeader w:val="true"/>
        </w:trPr>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Feature</w:t>
            </w:r>
          </w:p>
        </w:tc>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Weight</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12–1 Month Momentum</w:t>
            </w:r>
          </w:p>
        </w:tc>
        <w:tc>
          <w:tcPr>
            <w:tcW w:type="dxa" w:w="4997"/>
            <w:vAlign w:val="center"/>
            <w:tcMar>
              <w:top w:w="55" w:type="dxa"/>
              <w:start w:w="65" w:type="dxa"/>
              <w:bottom w:w="55" w:type="dxa"/>
              <w:end w:w="65" w:type="dxa"/>
            </w:tcMar>
          </w:tcPr>
          <w:p>
            <w:pPr>
              <w:spacing w:after="0"/>
            </w:pPr>
            <w:r>
              <w:rPr>
                <w:rFonts w:ascii="Cambria" w:hAnsi="Cambria"/>
                <w:sz w:val="18"/>
              </w:rPr>
              <w:t>25</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Six-Month Momentum</w:t>
            </w:r>
          </w:p>
        </w:tc>
        <w:tc>
          <w:tcPr>
            <w:tcW w:type="dxa" w:w="4997"/>
            <w:vAlign w:val="center"/>
            <w:tcMar>
              <w:top w:w="55" w:type="dxa"/>
              <w:start w:w="65" w:type="dxa"/>
              <w:bottom w:w="55" w:type="dxa"/>
              <w:end w:w="65" w:type="dxa"/>
            </w:tcMar>
            <w:shd w:fill="F8FAFB"/>
          </w:tcPr>
          <w:p>
            <w:pPr>
              <w:spacing w:after="0"/>
            </w:pPr>
            <w:r>
              <w:rPr>
                <w:rFonts w:ascii="Cambria" w:hAnsi="Cambria"/>
                <w:sz w:val="18"/>
              </w:rPr>
              <w:t>20</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Sector Relative Strength</w:t>
            </w:r>
          </w:p>
        </w:tc>
        <w:tc>
          <w:tcPr>
            <w:tcW w:type="dxa" w:w="4997"/>
            <w:vAlign w:val="center"/>
            <w:tcMar>
              <w:top w:w="55" w:type="dxa"/>
              <w:start w:w="65" w:type="dxa"/>
              <w:bottom w:w="55" w:type="dxa"/>
              <w:end w:w="65" w:type="dxa"/>
            </w:tcMar>
          </w:tcPr>
          <w:p>
            <w:pPr>
              <w:spacing w:after="0"/>
            </w:pPr>
            <w:r>
              <w:rPr>
                <w:rFonts w:ascii="Cambria" w:hAnsi="Cambria"/>
                <w:sz w:val="18"/>
              </w:rPr>
              <w:t>20</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Risk-Adjusted Momentum</w:t>
            </w:r>
          </w:p>
        </w:tc>
        <w:tc>
          <w:tcPr>
            <w:tcW w:type="dxa" w:w="4997"/>
            <w:vAlign w:val="center"/>
            <w:tcMar>
              <w:top w:w="55" w:type="dxa"/>
              <w:start w:w="65" w:type="dxa"/>
              <w:bottom w:w="55" w:type="dxa"/>
              <w:end w:w="65" w:type="dxa"/>
            </w:tcMar>
            <w:shd w:fill="F8FAFB"/>
          </w:tcPr>
          <w:p>
            <w:pPr>
              <w:spacing w:after="0"/>
            </w:pPr>
            <w:r>
              <w:rPr>
                <w:rFonts w:ascii="Cambria" w:hAnsi="Cambria"/>
                <w:sz w:val="18"/>
              </w:rPr>
              <w:t>15</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Trend Persistence</w:t>
            </w:r>
          </w:p>
        </w:tc>
        <w:tc>
          <w:tcPr>
            <w:tcW w:type="dxa" w:w="4997"/>
            <w:vAlign w:val="center"/>
            <w:tcMar>
              <w:top w:w="55" w:type="dxa"/>
              <w:start w:w="65" w:type="dxa"/>
              <w:bottom w:w="55" w:type="dxa"/>
              <w:end w:w="65" w:type="dxa"/>
            </w:tcMar>
          </w:tcPr>
          <w:p>
            <w:pPr>
              <w:spacing w:after="0"/>
            </w:pPr>
            <w:r>
              <w:rPr>
                <w:rFonts w:ascii="Cambria" w:hAnsi="Cambria"/>
                <w:sz w:val="18"/>
              </w:rPr>
              <w:t>10</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Volume Confirmation</w:t>
            </w:r>
          </w:p>
        </w:tc>
        <w:tc>
          <w:tcPr>
            <w:tcW w:type="dxa" w:w="4997"/>
            <w:vAlign w:val="center"/>
            <w:tcMar>
              <w:top w:w="55" w:type="dxa"/>
              <w:start w:w="65" w:type="dxa"/>
              <w:bottom w:w="55" w:type="dxa"/>
              <w:end w:w="65" w:type="dxa"/>
            </w:tcMar>
            <w:shd w:fill="F8FAFB"/>
          </w:tcPr>
          <w:p>
            <w:pPr>
              <w:spacing w:after="0"/>
            </w:pPr>
            <w:r>
              <w:rPr>
                <w:rFonts w:ascii="Cambria" w:hAnsi="Cambria"/>
                <w:sz w:val="18"/>
              </w:rPr>
              <w:t>10</w:t>
            </w:r>
          </w:p>
        </w:tc>
      </w:tr>
    </w:tbl>
    <w:p>
      <w:pPr>
        <w:spacing w:after="20"/>
      </w:pPr>
    </w:p>
    <w:p>
      <w:pPr>
        <w:spacing w:after="0"/>
      </w:pPr>
      <w:r/>
    </w:p>
    <w:p>
      <w:pPr>
        <w:pStyle w:val="Heading1"/>
        <w:pBdr>
          <w:bottom w:val="single" w:sz="4" w:space="5" w:color="7A9AAA"/>
        </w:pBdr>
        <w:keepNext/>
      </w:pPr>
      <w:r>
        <w:t>47. Sector router</w:t>
      </w:r>
    </w:p>
    <w:p>
      <w:pPr/>
      <w:r>
        <w:t>def assign_sector_model(company):</w:t>
        <w:br/>
        <w:t xml:space="preserve">    if company.is_bank:</w:t>
        <w:br/>
        <w:t xml:space="preserve">        return "BANK"</w:t>
        <w:br/>
        <w:t xml:space="preserve">    if company.is_nbfc_or_hfc:</w:t>
        <w:br/>
        <w:t xml:space="preserve">        return "NBFC"</w:t>
        <w:br/>
        <w:t xml:space="preserve">    if company.is_life_insurer:</w:t>
        <w:br/>
        <w:t xml:space="preserve">        return "LIFE_INSURANCE"</w:t>
        <w:br/>
        <w:t xml:space="preserve">    if company.is_general_insurer:</w:t>
        <w:br/>
        <w:t xml:space="preserve">        return "GENERAL_INSURANCE"</w:t>
        <w:br/>
        <w:t xml:space="preserve">    if company.is_reit:</w:t>
        <w:br/>
        <w:t xml:space="preserve">        return "REIT"</w:t>
        <w:br/>
        <w:t xml:space="preserve">    if company.is_invit:</w:t>
        <w:br/>
        <w:t xml:space="preserve">        return "INVIT"</w:t>
        <w:br/>
        <w:t xml:space="preserve">    if company.is_holding_company:</w:t>
        <w:br/>
        <w:t xml:space="preserve">        return "HOLDING_COMPANY"</w:t>
        <w:br/>
        <w:t xml:space="preserve">    if company.is_cyclical:</w:t>
        <w:br/>
        <w:t xml:space="preserve">        return "CYCLICAL"</w:t>
        <w:br/>
        <w:t xml:space="preserve">    return company.operating_sector_model</w:t>
      </w:r>
    </w:p>
    <w:p>
      <w:pPr/>
      <w:r>
        <w:t>Manual override required for ambiguous cases.</w:t>
      </w:r>
    </w:p>
    <w:p>
      <w:pPr>
        <w:spacing w:after="0"/>
      </w:pPr>
      <w:r/>
    </w:p>
    <w:p>
      <w:pPr>
        <w:pStyle w:val="Heading1"/>
        <w:pBdr>
          <w:bottom w:val="single" w:sz="4" w:space="5" w:color="7A9AAA"/>
        </w:pBdr>
        <w:keepNext/>
      </w:pPr>
      <w:r>
        <w:t>48. Sector models</w:t>
      </w:r>
    </w:p>
    <w:p>
      <w:pPr>
        <w:pStyle w:val="Heading2"/>
        <w:keepNext/>
      </w:pPr>
      <w:r>
        <w:t>48.1 Banks</w:t>
      </w:r>
    </w:p>
    <w:p>
      <w:pPr>
        <w:pStyle w:val="ListBody"/>
        <w:ind w:left="490" w:hanging="331"/>
      </w:pPr>
      <w:r>
        <w:rPr>
          <w:b/>
        </w:rPr>
        <w:t xml:space="preserve">• </w:t>
      </w:r>
      <w:r>
        <w:t>RoA.</w:t>
      </w:r>
    </w:p>
    <w:p>
      <w:pPr>
        <w:pStyle w:val="ListBody"/>
        <w:ind w:left="490" w:hanging="331"/>
      </w:pPr>
      <w:r>
        <w:rPr>
          <w:b/>
        </w:rPr>
        <w:t xml:space="preserve">• </w:t>
      </w:r>
      <w:r>
        <w:t>Sustainable RoE.</w:t>
      </w:r>
    </w:p>
    <w:p>
      <w:pPr>
        <w:pStyle w:val="ListBody"/>
        <w:ind w:left="490" w:hanging="331"/>
      </w:pPr>
      <w:r>
        <w:rPr>
          <w:b/>
        </w:rPr>
        <w:t xml:space="preserve">• </w:t>
      </w:r>
      <w:r>
        <w:t>NIM.</w:t>
      </w:r>
    </w:p>
    <w:p>
      <w:pPr>
        <w:pStyle w:val="ListBody"/>
        <w:ind w:left="490" w:hanging="331"/>
      </w:pPr>
      <w:r>
        <w:rPr>
          <w:b/>
        </w:rPr>
        <w:t xml:space="preserve">• </w:t>
      </w:r>
      <w:r>
        <w:t>Cost-to-income.</w:t>
      </w:r>
    </w:p>
    <w:p>
      <w:pPr>
        <w:pStyle w:val="ListBody"/>
        <w:ind w:left="490" w:hanging="331"/>
      </w:pPr>
      <w:r>
        <w:rPr>
          <w:b/>
        </w:rPr>
        <w:t xml:space="preserve">• </w:t>
      </w:r>
      <w:r>
        <w:t>Deposit growth.</w:t>
      </w:r>
    </w:p>
    <w:p>
      <w:pPr>
        <w:pStyle w:val="ListBody"/>
        <w:ind w:left="490" w:hanging="331"/>
      </w:pPr>
      <w:r>
        <w:rPr>
          <w:b/>
        </w:rPr>
        <w:t xml:space="preserve">• </w:t>
      </w:r>
      <w:r>
        <w:t>CASA.</w:t>
      </w:r>
    </w:p>
    <w:p>
      <w:pPr>
        <w:pStyle w:val="ListBody"/>
        <w:ind w:left="490" w:hanging="331"/>
      </w:pPr>
      <w:r>
        <w:rPr>
          <w:b/>
        </w:rPr>
        <w:t xml:space="preserve">• </w:t>
      </w:r>
      <w:r>
        <w:t>Loan growth.</w:t>
      </w:r>
    </w:p>
    <w:p>
      <w:pPr>
        <w:pStyle w:val="ListBody"/>
        <w:ind w:left="490" w:hanging="331"/>
      </w:pPr>
      <w:r>
        <w:rPr>
          <w:b/>
        </w:rPr>
        <w:t xml:space="preserve">• </w:t>
      </w:r>
      <w:r>
        <w:t>GNPA.</w:t>
      </w:r>
    </w:p>
    <w:p>
      <w:pPr>
        <w:pStyle w:val="ListBody"/>
        <w:ind w:left="490" w:hanging="331"/>
      </w:pPr>
      <w:r>
        <w:rPr>
          <w:b/>
        </w:rPr>
        <w:t xml:space="preserve">• </w:t>
      </w:r>
      <w:r>
        <w:t>NNPA.</w:t>
      </w:r>
    </w:p>
    <w:p>
      <w:pPr>
        <w:pStyle w:val="ListBody"/>
        <w:ind w:left="490" w:hanging="331"/>
      </w:pPr>
      <w:r>
        <w:rPr>
          <w:b/>
        </w:rPr>
        <w:t xml:space="preserve">• </w:t>
      </w:r>
      <w:r>
        <w:t>Slippages.</w:t>
      </w:r>
    </w:p>
    <w:p>
      <w:pPr>
        <w:pStyle w:val="ListBody"/>
        <w:ind w:left="490" w:hanging="331"/>
      </w:pPr>
      <w:r>
        <w:rPr>
          <w:b/>
        </w:rPr>
        <w:t xml:space="preserve">• </w:t>
      </w:r>
      <w:r>
        <w:t>Credit cost.</w:t>
      </w:r>
    </w:p>
    <w:p>
      <w:pPr>
        <w:pStyle w:val="ListBody"/>
        <w:ind w:left="490" w:hanging="331"/>
      </w:pPr>
      <w:r>
        <w:rPr>
          <w:b/>
        </w:rPr>
        <w:t xml:space="preserve">• </w:t>
      </w:r>
      <w:r>
        <w:t>Provision coverage.</w:t>
      </w:r>
    </w:p>
    <w:p>
      <w:pPr>
        <w:pStyle w:val="ListBody"/>
        <w:ind w:left="490" w:hanging="331"/>
      </w:pPr>
      <w:r>
        <w:rPr>
          <w:b/>
        </w:rPr>
        <w:t xml:space="preserve">• </w:t>
      </w:r>
      <w:r>
        <w:t>CET1.</w:t>
      </w:r>
    </w:p>
    <w:p>
      <w:pPr>
        <w:pStyle w:val="ListBody"/>
        <w:ind w:left="490" w:hanging="331"/>
      </w:pPr>
      <w:r>
        <w:rPr>
          <w:b/>
        </w:rPr>
        <w:t xml:space="preserve">• </w:t>
      </w:r>
      <w:r>
        <w:t>CRAR.</w:t>
      </w:r>
    </w:p>
    <w:p>
      <w:pPr>
        <w:pStyle w:val="ListBody"/>
        <w:ind w:left="490" w:hanging="331"/>
      </w:pPr>
      <w:r>
        <w:rPr>
          <w:b/>
        </w:rPr>
        <w:t xml:space="preserve">• </w:t>
      </w:r>
      <w:r>
        <w:t>Liquidity coverage.</w:t>
      </w:r>
    </w:p>
    <w:p>
      <w:pPr>
        <w:pStyle w:val="ListBody"/>
        <w:ind w:left="490" w:hanging="331"/>
      </w:pPr>
      <w:r>
        <w:rPr>
          <w:b/>
        </w:rPr>
        <w:t xml:space="preserve">• </w:t>
      </w:r>
      <w:r>
        <w:t>Unsecured lending.</w:t>
      </w:r>
    </w:p>
    <w:p>
      <w:pPr>
        <w:pStyle w:val="ListBody"/>
        <w:ind w:left="490" w:hanging="331"/>
      </w:pPr>
      <w:r>
        <w:rPr>
          <w:b/>
        </w:rPr>
        <w:t xml:space="preserve">• </w:t>
      </w:r>
      <w:r>
        <w:t>Sector concentration.</w:t>
      </w:r>
    </w:p>
    <w:p>
      <w:pPr>
        <w:pStyle w:val="ListBody"/>
        <w:ind w:left="490" w:hanging="331"/>
      </w:pPr>
      <w:r>
        <w:rPr>
          <w:b/>
        </w:rPr>
        <w:t xml:space="preserve">• </w:t>
      </w:r>
      <w:r>
        <w:t>P/B.</w:t>
      </w:r>
    </w:p>
    <w:p>
      <w:pPr>
        <w:pStyle w:val="ListBody"/>
        <w:ind w:left="490" w:hanging="331"/>
      </w:pPr>
      <w:r>
        <w:rPr>
          <w:b/>
        </w:rPr>
        <w:t xml:space="preserve">• </w:t>
      </w:r>
      <w:r>
        <w:t>Residual income.</w:t>
      </w:r>
    </w:p>
    <w:p>
      <w:pPr>
        <w:pStyle w:val="Heading2"/>
        <w:keepNext/>
      </w:pPr>
      <w:r>
        <w:t>48.2 NBFC/HFC</w:t>
      </w:r>
    </w:p>
    <w:p>
      <w:pPr>
        <w:pStyle w:val="ListBody"/>
        <w:ind w:left="490" w:hanging="331"/>
      </w:pPr>
      <w:r>
        <w:rPr>
          <w:b/>
        </w:rPr>
        <w:t xml:space="preserve">• </w:t>
      </w:r>
      <w:r>
        <w:t>AUM growth.</w:t>
      </w:r>
    </w:p>
    <w:p>
      <w:pPr>
        <w:pStyle w:val="ListBody"/>
        <w:ind w:left="490" w:hanging="331"/>
      </w:pPr>
      <w:r>
        <w:rPr>
          <w:b/>
        </w:rPr>
        <w:t xml:space="preserve">• </w:t>
      </w:r>
      <w:r>
        <w:t>Spread.</w:t>
      </w:r>
    </w:p>
    <w:p>
      <w:pPr>
        <w:pStyle w:val="ListBody"/>
        <w:ind w:left="490" w:hanging="331"/>
      </w:pPr>
      <w:r>
        <w:rPr>
          <w:b/>
        </w:rPr>
        <w:t xml:space="preserve">• </w:t>
      </w:r>
      <w:r>
        <w:t>NIM.</w:t>
      </w:r>
    </w:p>
    <w:p>
      <w:pPr>
        <w:pStyle w:val="ListBody"/>
        <w:ind w:left="490" w:hanging="331"/>
      </w:pPr>
      <w:r>
        <w:rPr>
          <w:b/>
        </w:rPr>
        <w:t xml:space="preserve">• </w:t>
      </w:r>
      <w:r>
        <w:t>Cost of funds.</w:t>
      </w:r>
    </w:p>
    <w:p>
      <w:pPr>
        <w:pStyle w:val="ListBody"/>
        <w:ind w:left="490" w:hanging="331"/>
      </w:pPr>
      <w:r>
        <w:rPr>
          <w:b/>
        </w:rPr>
        <w:t xml:space="preserve">• </w:t>
      </w:r>
      <w:r>
        <w:t>Borrowing mix.</w:t>
      </w:r>
    </w:p>
    <w:p>
      <w:pPr>
        <w:pStyle w:val="ListBody"/>
        <w:ind w:left="490" w:hanging="331"/>
      </w:pPr>
      <w:r>
        <w:rPr>
          <w:b/>
        </w:rPr>
        <w:t xml:space="preserve">• </w:t>
      </w:r>
      <w:r>
        <w:t>ALM.</w:t>
      </w:r>
    </w:p>
    <w:p>
      <w:pPr>
        <w:pStyle w:val="ListBody"/>
        <w:ind w:left="490" w:hanging="331"/>
      </w:pPr>
      <w:r>
        <w:rPr>
          <w:b/>
        </w:rPr>
        <w:t xml:space="preserve">• </w:t>
      </w:r>
      <w:r>
        <w:t>Stage 2.</w:t>
      </w:r>
    </w:p>
    <w:p>
      <w:pPr>
        <w:pStyle w:val="ListBody"/>
        <w:ind w:left="490" w:hanging="331"/>
      </w:pPr>
      <w:r>
        <w:rPr>
          <w:b/>
        </w:rPr>
        <w:t xml:space="preserve">• </w:t>
      </w:r>
      <w:r>
        <w:t>Stage 3.</w:t>
      </w:r>
    </w:p>
    <w:p>
      <w:pPr>
        <w:pStyle w:val="ListBody"/>
        <w:ind w:left="490" w:hanging="331"/>
      </w:pPr>
      <w:r>
        <w:rPr>
          <w:b/>
        </w:rPr>
        <w:t xml:space="preserve">• </w:t>
      </w:r>
      <w:r>
        <w:t>Collection efficiency.</w:t>
      </w:r>
    </w:p>
    <w:p>
      <w:pPr>
        <w:pStyle w:val="ListBody"/>
        <w:ind w:left="490" w:hanging="331"/>
      </w:pPr>
      <w:r>
        <w:rPr>
          <w:b/>
        </w:rPr>
        <w:t xml:space="preserve">• </w:t>
      </w:r>
      <w:r>
        <w:t>Credit cost.</w:t>
      </w:r>
    </w:p>
    <w:p>
      <w:pPr>
        <w:pStyle w:val="ListBody"/>
        <w:ind w:left="490" w:hanging="331"/>
      </w:pPr>
      <w:r>
        <w:rPr>
          <w:b/>
        </w:rPr>
        <w:t xml:space="preserve">• </w:t>
      </w:r>
      <w:r>
        <w:t>Capital adequacy.</w:t>
      </w:r>
    </w:p>
    <w:p>
      <w:pPr>
        <w:pStyle w:val="ListBody"/>
        <w:ind w:left="490" w:hanging="331"/>
      </w:pPr>
      <w:r>
        <w:rPr>
          <w:b/>
        </w:rPr>
        <w:t xml:space="preserve">• </w:t>
      </w:r>
      <w:r>
        <w:t>Liquidity.</w:t>
      </w:r>
    </w:p>
    <w:p>
      <w:pPr>
        <w:pStyle w:val="ListBody"/>
        <w:ind w:left="490" w:hanging="331"/>
      </w:pPr>
      <w:r>
        <w:rPr>
          <w:b/>
        </w:rPr>
        <w:t xml:space="preserve">• </w:t>
      </w:r>
      <w:r>
        <w:t>Securitization.</w:t>
      </w:r>
    </w:p>
    <w:p>
      <w:pPr>
        <w:pStyle w:val="ListBody"/>
        <w:ind w:left="490" w:hanging="331"/>
      </w:pPr>
      <w:r>
        <w:rPr>
          <w:b/>
        </w:rPr>
        <w:t xml:space="preserve">• </w:t>
      </w:r>
      <w:r>
        <w:t>P/B.</w:t>
      </w:r>
    </w:p>
    <w:p>
      <w:pPr>
        <w:pStyle w:val="ListBody"/>
        <w:ind w:left="490" w:hanging="331"/>
      </w:pPr>
      <w:r>
        <w:rPr>
          <w:b/>
        </w:rPr>
        <w:t xml:space="preserve">• </w:t>
      </w:r>
      <w:r>
        <w:t>Residual income.</w:t>
      </w:r>
    </w:p>
    <w:p>
      <w:pPr>
        <w:pStyle w:val="Heading2"/>
        <w:keepNext/>
      </w:pPr>
      <w:r>
        <w:t>48.3 Life Insurance</w:t>
      </w:r>
    </w:p>
    <w:p>
      <w:pPr>
        <w:pStyle w:val="ListBody"/>
        <w:ind w:left="490" w:hanging="331"/>
      </w:pPr>
      <w:r>
        <w:rPr>
          <w:b/>
        </w:rPr>
        <w:t xml:space="preserve">• </w:t>
      </w:r>
      <w:r>
        <w:t>APE growth.</w:t>
      </w:r>
    </w:p>
    <w:p>
      <w:pPr>
        <w:pStyle w:val="ListBody"/>
        <w:ind w:left="490" w:hanging="331"/>
      </w:pPr>
      <w:r>
        <w:rPr>
          <w:b/>
        </w:rPr>
        <w:t xml:space="preserve">• </w:t>
      </w:r>
      <w:r>
        <w:t>VNB growth.</w:t>
      </w:r>
    </w:p>
    <w:p>
      <w:pPr>
        <w:pStyle w:val="ListBody"/>
        <w:ind w:left="490" w:hanging="331"/>
      </w:pPr>
      <w:r>
        <w:rPr>
          <w:b/>
        </w:rPr>
        <w:t xml:space="preserve">• </w:t>
      </w:r>
      <w:r>
        <w:t>VNB margin.</w:t>
      </w:r>
    </w:p>
    <w:p>
      <w:pPr>
        <w:pStyle w:val="ListBody"/>
        <w:ind w:left="490" w:hanging="331"/>
      </w:pPr>
      <w:r>
        <w:rPr>
          <w:b/>
        </w:rPr>
        <w:t xml:space="preserve">• </w:t>
      </w:r>
      <w:r>
        <w:t>Embedded-value growth.</w:t>
      </w:r>
    </w:p>
    <w:p>
      <w:pPr>
        <w:pStyle w:val="ListBody"/>
        <w:ind w:left="490" w:hanging="331"/>
      </w:pPr>
      <w:r>
        <w:rPr>
          <w:b/>
        </w:rPr>
        <w:t xml:space="preserve">• </w:t>
      </w:r>
      <w:r>
        <w:t>Persistency.</w:t>
      </w:r>
    </w:p>
    <w:p>
      <w:pPr>
        <w:pStyle w:val="ListBody"/>
        <w:ind w:left="490" w:hanging="331"/>
      </w:pPr>
      <w:r>
        <w:rPr>
          <w:b/>
        </w:rPr>
        <w:t xml:space="preserve">• </w:t>
      </w:r>
      <w:r>
        <w:t>Product mix.</w:t>
      </w:r>
    </w:p>
    <w:p>
      <w:pPr>
        <w:pStyle w:val="ListBody"/>
        <w:ind w:left="490" w:hanging="331"/>
      </w:pPr>
      <w:r>
        <w:rPr>
          <w:b/>
        </w:rPr>
        <w:t xml:space="preserve">• </w:t>
      </w:r>
      <w:r>
        <w:t>Protection share.</w:t>
      </w:r>
    </w:p>
    <w:p>
      <w:pPr>
        <w:pStyle w:val="ListBody"/>
        <w:ind w:left="490" w:hanging="331"/>
      </w:pPr>
      <w:r>
        <w:rPr>
          <w:b/>
        </w:rPr>
        <w:t xml:space="preserve">• </w:t>
      </w:r>
      <w:r>
        <w:t>Distribution.</w:t>
      </w:r>
    </w:p>
    <w:p>
      <w:pPr>
        <w:pStyle w:val="ListBody"/>
        <w:ind w:left="490" w:hanging="331"/>
      </w:pPr>
      <w:r>
        <w:rPr>
          <w:b/>
        </w:rPr>
        <w:t xml:space="preserve">• </w:t>
      </w:r>
      <w:r>
        <w:t>Solvency.</w:t>
      </w:r>
    </w:p>
    <w:p>
      <w:pPr>
        <w:pStyle w:val="ListBody"/>
        <w:ind w:left="490" w:hanging="331"/>
      </w:pPr>
      <w:r>
        <w:rPr>
          <w:b/>
        </w:rPr>
        <w:t xml:space="preserve">• </w:t>
      </w:r>
      <w:r>
        <w:t>Expense efficiency.</w:t>
      </w:r>
    </w:p>
    <w:p>
      <w:pPr>
        <w:pStyle w:val="Heading2"/>
        <w:keepNext/>
      </w:pPr>
      <w:r>
        <w:t>48.4 General Insurance</w:t>
      </w:r>
    </w:p>
    <w:p>
      <w:pPr>
        <w:pStyle w:val="ListBody"/>
        <w:ind w:left="490" w:hanging="331"/>
      </w:pPr>
      <w:r>
        <w:rPr>
          <w:b/>
        </w:rPr>
        <w:t xml:space="preserve">• </w:t>
      </w:r>
      <w:r>
        <w:t>Premium growth.</w:t>
      </w:r>
    </w:p>
    <w:p>
      <w:pPr>
        <w:pStyle w:val="ListBody"/>
        <w:ind w:left="490" w:hanging="331"/>
      </w:pPr>
      <w:r>
        <w:rPr>
          <w:b/>
        </w:rPr>
        <w:t xml:space="preserve">• </w:t>
      </w:r>
      <w:r>
        <w:t>Claims ratio.</w:t>
      </w:r>
    </w:p>
    <w:p>
      <w:pPr>
        <w:pStyle w:val="ListBody"/>
        <w:ind w:left="490" w:hanging="331"/>
      </w:pPr>
      <w:r>
        <w:rPr>
          <w:b/>
        </w:rPr>
        <w:t xml:space="preserve">• </w:t>
      </w:r>
      <w:r>
        <w:t>Expense ratio.</w:t>
      </w:r>
    </w:p>
    <w:p>
      <w:pPr>
        <w:pStyle w:val="ListBody"/>
        <w:ind w:left="490" w:hanging="331"/>
      </w:pPr>
      <w:r>
        <w:rPr>
          <w:b/>
        </w:rPr>
        <w:t xml:space="preserve">• </w:t>
      </w:r>
      <w:r>
        <w:t>Combined ratio.</w:t>
      </w:r>
    </w:p>
    <w:p>
      <w:pPr>
        <w:pStyle w:val="ListBody"/>
        <w:ind w:left="490" w:hanging="331"/>
      </w:pPr>
      <w:r>
        <w:rPr>
          <w:b/>
        </w:rPr>
        <w:t xml:space="preserve">• </w:t>
      </w:r>
      <w:r>
        <w:t>Reserve adequacy.</w:t>
      </w:r>
    </w:p>
    <w:p>
      <w:pPr>
        <w:pStyle w:val="ListBody"/>
        <w:ind w:left="490" w:hanging="331"/>
      </w:pPr>
      <w:r>
        <w:rPr>
          <w:b/>
        </w:rPr>
        <w:t xml:space="preserve">• </w:t>
      </w:r>
      <w:r>
        <w:t>Solvency.</w:t>
      </w:r>
    </w:p>
    <w:p>
      <w:pPr>
        <w:pStyle w:val="ListBody"/>
        <w:ind w:left="490" w:hanging="331"/>
      </w:pPr>
      <w:r>
        <w:rPr>
          <w:b/>
        </w:rPr>
        <w:t xml:space="preserve">• </w:t>
      </w:r>
      <w:r>
        <w:t>Underwriting result.</w:t>
      </w:r>
    </w:p>
    <w:p>
      <w:pPr>
        <w:pStyle w:val="ListBody"/>
        <w:ind w:left="490" w:hanging="331"/>
      </w:pPr>
      <w:r>
        <w:rPr>
          <w:b/>
        </w:rPr>
        <w:t xml:space="preserve">• </w:t>
      </w:r>
      <w:r>
        <w:t>Retention.</w:t>
      </w:r>
    </w:p>
    <w:p>
      <w:pPr>
        <w:pStyle w:val="ListBody"/>
        <w:ind w:left="490" w:hanging="331"/>
      </w:pPr>
      <w:r>
        <w:rPr>
          <w:b/>
        </w:rPr>
        <w:t xml:space="preserve">• </w:t>
      </w:r>
      <w:r>
        <w:t>Investment dependence.</w:t>
      </w:r>
    </w:p>
    <w:p>
      <w:pPr>
        <w:pStyle w:val="Heading2"/>
        <w:keepNext/>
      </w:pPr>
      <w:r>
        <w:t>48.5 IT</w:t>
      </w:r>
    </w:p>
    <w:p>
      <w:pPr>
        <w:pStyle w:val="ListBody"/>
        <w:ind w:left="490" w:hanging="331"/>
      </w:pPr>
      <w:r>
        <w:rPr>
          <w:b/>
        </w:rPr>
        <w:t xml:space="preserve">• </w:t>
      </w:r>
      <w:r>
        <w:t>Constant-currency growth.</w:t>
      </w:r>
    </w:p>
    <w:p>
      <w:pPr>
        <w:pStyle w:val="ListBody"/>
        <w:ind w:left="490" w:hanging="331"/>
      </w:pPr>
      <w:r>
        <w:rPr>
          <w:b/>
        </w:rPr>
        <w:t xml:space="preserve">• </w:t>
      </w:r>
      <w:r>
        <w:t>Deal wins.</w:t>
      </w:r>
    </w:p>
    <w:p>
      <w:pPr>
        <w:pStyle w:val="ListBody"/>
        <w:ind w:left="490" w:hanging="331"/>
      </w:pPr>
      <w:r>
        <w:rPr>
          <w:b/>
        </w:rPr>
        <w:t xml:space="preserve">• </w:t>
      </w:r>
      <w:r>
        <w:t>Backlog.</w:t>
      </w:r>
    </w:p>
    <w:p>
      <w:pPr>
        <w:pStyle w:val="ListBody"/>
        <w:ind w:left="490" w:hanging="331"/>
      </w:pPr>
      <w:r>
        <w:rPr>
          <w:b/>
        </w:rPr>
        <w:t xml:space="preserve">• </w:t>
      </w:r>
      <w:r>
        <w:t>Client concentration.</w:t>
      </w:r>
    </w:p>
    <w:p>
      <w:pPr>
        <w:pStyle w:val="ListBody"/>
        <w:ind w:left="490" w:hanging="331"/>
      </w:pPr>
      <w:r>
        <w:rPr>
          <w:b/>
        </w:rPr>
        <w:t xml:space="preserve">• </w:t>
      </w:r>
      <w:r>
        <w:t>Attrition.</w:t>
      </w:r>
    </w:p>
    <w:p>
      <w:pPr>
        <w:pStyle w:val="ListBody"/>
        <w:ind w:left="490" w:hanging="331"/>
      </w:pPr>
      <w:r>
        <w:rPr>
          <w:b/>
        </w:rPr>
        <w:t xml:space="preserve">• </w:t>
      </w:r>
      <w:r>
        <w:t>Utilization.</w:t>
      </w:r>
    </w:p>
    <w:p>
      <w:pPr>
        <w:pStyle w:val="ListBody"/>
        <w:ind w:left="490" w:hanging="331"/>
      </w:pPr>
      <w:r>
        <w:rPr>
          <w:b/>
        </w:rPr>
        <w:t xml:space="preserve">• </w:t>
      </w:r>
      <w:r>
        <w:t>Revenue per employee.</w:t>
      </w:r>
    </w:p>
    <w:p>
      <w:pPr>
        <w:pStyle w:val="ListBody"/>
        <w:ind w:left="490" w:hanging="331"/>
      </w:pPr>
      <w:r>
        <w:rPr>
          <w:b/>
        </w:rPr>
        <w:t xml:space="preserve">• </w:t>
      </w:r>
      <w:r>
        <w:t>EBIT margin.</w:t>
      </w:r>
    </w:p>
    <w:p>
      <w:pPr>
        <w:pStyle w:val="ListBody"/>
        <w:ind w:left="490" w:hanging="331"/>
      </w:pPr>
      <w:r>
        <w:rPr>
          <w:b/>
        </w:rPr>
        <w:t xml:space="preserve">• </w:t>
      </w:r>
      <w:r>
        <w:t>Recurring revenue.</w:t>
      </w:r>
    </w:p>
    <w:p>
      <w:pPr>
        <w:pStyle w:val="ListBody"/>
        <w:ind w:left="490" w:hanging="331"/>
      </w:pPr>
      <w:r>
        <w:rPr>
          <w:b/>
        </w:rPr>
        <w:t xml:space="preserve">• </w:t>
      </w:r>
      <w:r>
        <w:t>Cash conversion.</w:t>
      </w:r>
    </w:p>
    <w:p>
      <w:pPr>
        <w:pStyle w:val="ListBody"/>
        <w:ind w:left="490" w:hanging="331"/>
      </w:pPr>
      <w:r>
        <w:rPr>
          <w:b/>
        </w:rPr>
        <w:t xml:space="preserve">• </w:t>
      </w:r>
      <w:r>
        <w:t>Stock compensation.</w:t>
      </w:r>
    </w:p>
    <w:p>
      <w:pPr>
        <w:pStyle w:val="Heading2"/>
        <w:keepNext/>
      </w:pPr>
      <w:r>
        <w:t>48.6 Pharma</w:t>
      </w:r>
    </w:p>
    <w:p>
      <w:pPr>
        <w:pStyle w:val="ListBody"/>
        <w:ind w:left="490" w:hanging="331"/>
      </w:pPr>
      <w:r>
        <w:rPr>
          <w:b/>
        </w:rPr>
        <w:t xml:space="preserve">• </w:t>
      </w:r>
      <w:r>
        <w:t>Regulatory history.</w:t>
      </w:r>
    </w:p>
    <w:p>
      <w:pPr>
        <w:pStyle w:val="ListBody"/>
        <w:ind w:left="490" w:hanging="331"/>
      </w:pPr>
      <w:r>
        <w:rPr>
          <w:b/>
        </w:rPr>
        <w:t xml:space="preserve">• </w:t>
      </w:r>
      <w:r>
        <w:t>Product concentration.</w:t>
      </w:r>
    </w:p>
    <w:p>
      <w:pPr>
        <w:pStyle w:val="ListBody"/>
        <w:ind w:left="490" w:hanging="331"/>
      </w:pPr>
      <w:r>
        <w:rPr>
          <w:b/>
        </w:rPr>
        <w:t xml:space="preserve">• </w:t>
      </w:r>
      <w:r>
        <w:t>Domestic/export mix.</w:t>
      </w:r>
    </w:p>
    <w:p>
      <w:pPr>
        <w:pStyle w:val="ListBody"/>
        <w:ind w:left="490" w:hanging="331"/>
      </w:pPr>
      <w:r>
        <w:rPr>
          <w:b/>
        </w:rPr>
        <w:t xml:space="preserve">• </w:t>
      </w:r>
      <w:r>
        <w:t>R&amp;D intensity.</w:t>
      </w:r>
    </w:p>
    <w:p>
      <w:pPr>
        <w:pStyle w:val="ListBody"/>
        <w:ind w:left="490" w:hanging="331"/>
      </w:pPr>
      <w:r>
        <w:rPr>
          <w:b/>
        </w:rPr>
        <w:t xml:space="preserve">• </w:t>
      </w:r>
      <w:r>
        <w:t>R&amp;D productivity.</w:t>
      </w:r>
    </w:p>
    <w:p>
      <w:pPr>
        <w:pStyle w:val="ListBody"/>
        <w:ind w:left="490" w:hanging="331"/>
      </w:pPr>
      <w:r>
        <w:rPr>
          <w:b/>
        </w:rPr>
        <w:t xml:space="preserve">• </w:t>
      </w:r>
      <w:r>
        <w:t>Approvals.</w:t>
      </w:r>
    </w:p>
    <w:p>
      <w:pPr>
        <w:pStyle w:val="ListBody"/>
        <w:ind w:left="490" w:hanging="331"/>
      </w:pPr>
      <w:r>
        <w:rPr>
          <w:b/>
        </w:rPr>
        <w:t xml:space="preserve">• </w:t>
      </w:r>
      <w:r>
        <w:t>Pipeline.</w:t>
      </w:r>
    </w:p>
    <w:p>
      <w:pPr>
        <w:pStyle w:val="ListBody"/>
        <w:ind w:left="490" w:hanging="331"/>
      </w:pPr>
      <w:r>
        <w:rPr>
          <w:b/>
        </w:rPr>
        <w:t xml:space="preserve">• </w:t>
      </w:r>
      <w:r>
        <w:t>Specialty mix.</w:t>
      </w:r>
    </w:p>
    <w:p>
      <w:pPr>
        <w:pStyle w:val="ListBody"/>
        <w:ind w:left="490" w:hanging="331"/>
      </w:pPr>
      <w:r>
        <w:rPr>
          <w:b/>
        </w:rPr>
        <w:t xml:space="preserve">• </w:t>
      </w:r>
      <w:r>
        <w:t>Price erosion.</w:t>
      </w:r>
    </w:p>
    <w:p>
      <w:pPr>
        <w:pStyle w:val="ListBody"/>
        <w:ind w:left="490" w:hanging="331"/>
      </w:pPr>
      <w:r>
        <w:rPr>
          <w:b/>
        </w:rPr>
        <w:t xml:space="preserve">• </w:t>
      </w:r>
      <w:r>
        <w:t>Litigation.</w:t>
      </w:r>
    </w:p>
    <w:p>
      <w:pPr>
        <w:pStyle w:val="ListBody"/>
        <w:ind w:left="490" w:hanging="331"/>
      </w:pPr>
      <w:r>
        <w:rPr>
          <w:b/>
        </w:rPr>
        <w:t xml:space="preserve">• </w:t>
      </w:r>
      <w:r>
        <w:t>Working capital.</w:t>
      </w:r>
    </w:p>
    <w:p>
      <w:pPr>
        <w:pStyle w:val="ListBody"/>
        <w:ind w:left="490" w:hanging="331"/>
      </w:pPr>
      <w:r>
        <w:rPr>
          <w:b/>
        </w:rPr>
        <w:t xml:space="preserve">• </w:t>
      </w:r>
      <w:r>
        <w:t>Manufacturing compliance.</w:t>
      </w:r>
    </w:p>
    <w:p>
      <w:pPr>
        <w:pStyle w:val="Heading2"/>
        <w:keepNext/>
      </w:pPr>
      <w:r>
        <w:t>48.7 Manufacturing</w:t>
      </w:r>
    </w:p>
    <w:p>
      <w:pPr>
        <w:pStyle w:val="ListBody"/>
        <w:ind w:left="490" w:hanging="331"/>
      </w:pPr>
      <w:r>
        <w:rPr>
          <w:b/>
        </w:rPr>
        <w:t xml:space="preserve">• </w:t>
      </w:r>
      <w:r>
        <w:t>Capacity utilization.</w:t>
      </w:r>
    </w:p>
    <w:p>
      <w:pPr>
        <w:pStyle w:val="ListBody"/>
        <w:ind w:left="490" w:hanging="331"/>
      </w:pPr>
      <w:r>
        <w:rPr>
          <w:b/>
        </w:rPr>
        <w:t xml:space="preserve">• </w:t>
      </w:r>
      <w:r>
        <w:t>Order book.</w:t>
      </w:r>
    </w:p>
    <w:p>
      <w:pPr>
        <w:pStyle w:val="ListBody"/>
        <w:ind w:left="490" w:hanging="331"/>
      </w:pPr>
      <w:r>
        <w:rPr>
          <w:b/>
        </w:rPr>
        <w:t xml:space="preserve">• </w:t>
      </w:r>
      <w:r>
        <w:t>Book-to-bill.</w:t>
      </w:r>
    </w:p>
    <w:p>
      <w:pPr>
        <w:pStyle w:val="ListBody"/>
        <w:ind w:left="490" w:hanging="331"/>
      </w:pPr>
      <w:r>
        <w:rPr>
          <w:b/>
        </w:rPr>
        <w:t xml:space="preserve">• </w:t>
      </w:r>
      <w:r>
        <w:t>Capex productivity.</w:t>
      </w:r>
    </w:p>
    <w:p>
      <w:pPr>
        <w:pStyle w:val="ListBody"/>
        <w:ind w:left="490" w:hanging="331"/>
      </w:pPr>
      <w:r>
        <w:rPr>
          <w:b/>
        </w:rPr>
        <w:t xml:space="preserve">• </w:t>
      </w:r>
      <w:r>
        <w:t>Input sensitivity.</w:t>
      </w:r>
    </w:p>
    <w:p>
      <w:pPr>
        <w:pStyle w:val="ListBody"/>
        <w:ind w:left="490" w:hanging="331"/>
      </w:pPr>
      <w:r>
        <w:rPr>
          <w:b/>
        </w:rPr>
        <w:t xml:space="preserve">• </w:t>
      </w:r>
      <w:r>
        <w:t>Working-capital cycle.</w:t>
      </w:r>
    </w:p>
    <w:p>
      <w:pPr>
        <w:pStyle w:val="ListBody"/>
        <w:ind w:left="490" w:hanging="331"/>
      </w:pPr>
      <w:r>
        <w:rPr>
          <w:b/>
        </w:rPr>
        <w:t xml:space="preserve">• </w:t>
      </w:r>
      <w:r>
        <w:t>Customer concentration.</w:t>
      </w:r>
    </w:p>
    <w:p>
      <w:pPr>
        <w:pStyle w:val="ListBody"/>
        <w:ind w:left="490" w:hanging="331"/>
      </w:pPr>
      <w:r>
        <w:rPr>
          <w:b/>
        </w:rPr>
        <w:t xml:space="preserve">• </w:t>
      </w:r>
      <w:r>
        <w:t>Exports.</w:t>
      </w:r>
    </w:p>
    <w:p>
      <w:pPr>
        <w:pStyle w:val="ListBody"/>
        <w:ind w:left="490" w:hanging="331"/>
      </w:pPr>
      <w:r>
        <w:rPr>
          <w:b/>
        </w:rPr>
        <w:t xml:space="preserve">• </w:t>
      </w:r>
      <w:r>
        <w:t>Operating leverage.</w:t>
      </w:r>
    </w:p>
    <w:p>
      <w:pPr>
        <w:pStyle w:val="ListBody"/>
        <w:ind w:left="490" w:hanging="331"/>
      </w:pPr>
      <w:r>
        <w:rPr>
          <w:b/>
        </w:rPr>
        <w:t xml:space="preserve">• </w:t>
      </w:r>
      <w:r>
        <w:t>Incremental returns.</w:t>
      </w:r>
    </w:p>
    <w:p>
      <w:pPr>
        <w:pStyle w:val="Heading2"/>
        <w:keepNext/>
      </w:pPr>
      <w:r>
        <w:t>48.8 Consumer</w:t>
      </w:r>
    </w:p>
    <w:p>
      <w:pPr>
        <w:pStyle w:val="ListBody"/>
        <w:ind w:left="490" w:hanging="331"/>
      </w:pPr>
      <w:r>
        <w:rPr>
          <w:b/>
        </w:rPr>
        <w:t xml:space="preserve">• </w:t>
      </w:r>
      <w:r>
        <w:t>Volume.</w:t>
      </w:r>
    </w:p>
    <w:p>
      <w:pPr>
        <w:pStyle w:val="ListBody"/>
        <w:ind w:left="490" w:hanging="331"/>
      </w:pPr>
      <w:r>
        <w:rPr>
          <w:b/>
        </w:rPr>
        <w:t xml:space="preserve">• </w:t>
      </w:r>
      <w:r>
        <w:t>Pricing.</w:t>
      </w:r>
    </w:p>
    <w:p>
      <w:pPr>
        <w:pStyle w:val="ListBody"/>
        <w:ind w:left="490" w:hanging="331"/>
      </w:pPr>
      <w:r>
        <w:rPr>
          <w:b/>
        </w:rPr>
        <w:t xml:space="preserve">• </w:t>
      </w:r>
      <w:r>
        <w:t>Mix.</w:t>
      </w:r>
    </w:p>
    <w:p>
      <w:pPr>
        <w:pStyle w:val="ListBody"/>
        <w:ind w:left="490" w:hanging="331"/>
      </w:pPr>
      <w:r>
        <w:rPr>
          <w:b/>
        </w:rPr>
        <w:t xml:space="preserve">• </w:t>
      </w:r>
      <w:r>
        <w:t>Distribution.</w:t>
      </w:r>
    </w:p>
    <w:p>
      <w:pPr>
        <w:pStyle w:val="ListBody"/>
        <w:ind w:left="490" w:hanging="331"/>
      </w:pPr>
      <w:r>
        <w:rPr>
          <w:b/>
        </w:rPr>
        <w:t xml:space="preserve">• </w:t>
      </w:r>
      <w:r>
        <w:t>Rural/urban exposure.</w:t>
      </w:r>
    </w:p>
    <w:p>
      <w:pPr>
        <w:pStyle w:val="ListBody"/>
        <w:ind w:left="490" w:hanging="331"/>
      </w:pPr>
      <w:r>
        <w:rPr>
          <w:b/>
        </w:rPr>
        <w:t xml:space="preserve">• </w:t>
      </w:r>
      <w:r>
        <w:t>Market share.</w:t>
      </w:r>
    </w:p>
    <w:p>
      <w:pPr>
        <w:pStyle w:val="ListBody"/>
        <w:ind w:left="490" w:hanging="331"/>
      </w:pPr>
      <w:r>
        <w:rPr>
          <w:b/>
        </w:rPr>
        <w:t xml:space="preserve">• </w:t>
      </w:r>
      <w:r>
        <w:t>Gross margin.</w:t>
      </w:r>
    </w:p>
    <w:p>
      <w:pPr>
        <w:pStyle w:val="ListBody"/>
        <w:ind w:left="490" w:hanging="331"/>
      </w:pPr>
      <w:r>
        <w:rPr>
          <w:b/>
        </w:rPr>
        <w:t xml:space="preserve">• </w:t>
      </w:r>
      <w:r>
        <w:t>Advertising.</w:t>
      </w:r>
    </w:p>
    <w:p>
      <w:pPr>
        <w:pStyle w:val="ListBody"/>
        <w:ind w:left="490" w:hanging="331"/>
      </w:pPr>
      <w:r>
        <w:rPr>
          <w:b/>
        </w:rPr>
        <w:t xml:space="preserve">• </w:t>
      </w:r>
      <w:r>
        <w:t>Same-store sales.</w:t>
      </w:r>
    </w:p>
    <w:p>
      <w:pPr>
        <w:pStyle w:val="ListBody"/>
        <w:ind w:left="490" w:hanging="331"/>
      </w:pPr>
      <w:r>
        <w:rPr>
          <w:b/>
        </w:rPr>
        <w:t xml:space="preserve">• </w:t>
      </w:r>
      <w:r>
        <w:t>Working capital.</w:t>
      </w:r>
    </w:p>
    <w:p>
      <w:pPr>
        <w:pStyle w:val="Heading2"/>
        <w:keepNext/>
      </w:pPr>
      <w:r>
        <w:t>48.9 Utilities</w:t>
      </w:r>
    </w:p>
    <w:p>
      <w:pPr>
        <w:pStyle w:val="ListBody"/>
        <w:ind w:left="490" w:hanging="331"/>
      </w:pPr>
      <w:r>
        <w:rPr>
          <w:b/>
        </w:rPr>
        <w:t xml:space="preserve">• </w:t>
      </w:r>
      <w:r>
        <w:t>Regulated asset base.</w:t>
      </w:r>
    </w:p>
    <w:p>
      <w:pPr>
        <w:pStyle w:val="ListBody"/>
        <w:ind w:left="490" w:hanging="331"/>
      </w:pPr>
      <w:r>
        <w:rPr>
          <w:b/>
        </w:rPr>
        <w:t xml:space="preserve">• </w:t>
      </w:r>
      <w:r>
        <w:t>Allowed return.</w:t>
      </w:r>
    </w:p>
    <w:p>
      <w:pPr>
        <w:pStyle w:val="ListBody"/>
        <w:ind w:left="490" w:hanging="331"/>
      </w:pPr>
      <w:r>
        <w:rPr>
          <w:b/>
        </w:rPr>
        <w:t xml:space="preserve">• </w:t>
      </w:r>
      <w:r>
        <w:t>Availability.</w:t>
      </w:r>
    </w:p>
    <w:p>
      <w:pPr>
        <w:pStyle w:val="ListBody"/>
        <w:ind w:left="490" w:hanging="331"/>
      </w:pPr>
      <w:r>
        <w:rPr>
          <w:b/>
        </w:rPr>
        <w:t xml:space="preserve">• </w:t>
      </w:r>
      <w:r>
        <w:t>Plant load factor.</w:t>
      </w:r>
    </w:p>
    <w:p>
      <w:pPr>
        <w:pStyle w:val="ListBody"/>
        <w:ind w:left="490" w:hanging="331"/>
      </w:pPr>
      <w:r>
        <w:rPr>
          <w:b/>
        </w:rPr>
        <w:t xml:space="preserve">• </w:t>
      </w:r>
      <w:r>
        <w:t>Fuel security.</w:t>
      </w:r>
    </w:p>
    <w:p>
      <w:pPr>
        <w:pStyle w:val="ListBody"/>
        <w:ind w:left="490" w:hanging="331"/>
      </w:pPr>
      <w:r>
        <w:rPr>
          <w:b/>
        </w:rPr>
        <w:t xml:space="preserve">• </w:t>
      </w:r>
      <w:r>
        <w:t>Receivables.</w:t>
      </w:r>
    </w:p>
    <w:p>
      <w:pPr>
        <w:pStyle w:val="ListBody"/>
        <w:ind w:left="490" w:hanging="331"/>
      </w:pPr>
      <w:r>
        <w:rPr>
          <w:b/>
        </w:rPr>
        <w:t xml:space="preserve">• </w:t>
      </w:r>
      <w:r>
        <w:t>Counterparty quality.</w:t>
      </w:r>
    </w:p>
    <w:p>
      <w:pPr>
        <w:pStyle w:val="ListBody"/>
        <w:ind w:left="490" w:hanging="331"/>
      </w:pPr>
      <w:r>
        <w:rPr>
          <w:b/>
        </w:rPr>
        <w:t xml:space="preserve">• </w:t>
      </w:r>
      <w:r>
        <w:t>Regulatory assets.</w:t>
      </w:r>
    </w:p>
    <w:p>
      <w:pPr>
        <w:pStyle w:val="ListBody"/>
        <w:ind w:left="490" w:hanging="331"/>
      </w:pPr>
      <w:r>
        <w:rPr>
          <w:b/>
        </w:rPr>
        <w:t xml:space="preserve">• </w:t>
      </w:r>
      <w:r>
        <w:t>Debt service.</w:t>
      </w:r>
    </w:p>
    <w:p>
      <w:pPr>
        <w:pStyle w:val="ListBody"/>
        <w:ind w:left="490" w:hanging="331"/>
      </w:pPr>
      <w:r>
        <w:rPr>
          <w:b/>
        </w:rPr>
        <w:t xml:space="preserve">• </w:t>
      </w:r>
      <w:r>
        <w:t>Tariff orders.</w:t>
      </w:r>
    </w:p>
    <w:p>
      <w:pPr>
        <w:pStyle w:val="Heading2"/>
        <w:keepNext/>
      </w:pPr>
      <w:r>
        <w:t>48.10 Cyclicals</w:t>
      </w:r>
    </w:p>
    <w:p>
      <w:pPr>
        <w:pStyle w:val="ListBody"/>
        <w:ind w:left="490" w:hanging="331"/>
      </w:pPr>
      <w:r>
        <w:rPr>
          <w:b/>
        </w:rPr>
        <w:t xml:space="preserve">• </w:t>
      </w:r>
      <w:r>
        <w:t>Production.</w:t>
      </w:r>
    </w:p>
    <w:p>
      <w:pPr>
        <w:pStyle w:val="ListBody"/>
        <w:ind w:left="490" w:hanging="331"/>
      </w:pPr>
      <w:r>
        <w:rPr>
          <w:b/>
        </w:rPr>
        <w:t xml:space="preserve">• </w:t>
      </w:r>
      <w:r>
        <w:t>Realization.</w:t>
      </w:r>
    </w:p>
    <w:p>
      <w:pPr>
        <w:pStyle w:val="ListBody"/>
        <w:ind w:left="490" w:hanging="331"/>
      </w:pPr>
      <w:r>
        <w:rPr>
          <w:b/>
        </w:rPr>
        <w:t xml:space="preserve">• </w:t>
      </w:r>
      <w:r>
        <w:t>Cash cost.</w:t>
      </w:r>
    </w:p>
    <w:p>
      <w:pPr>
        <w:pStyle w:val="ListBody"/>
        <w:ind w:left="490" w:hanging="331"/>
      </w:pPr>
      <w:r>
        <w:rPr>
          <w:b/>
        </w:rPr>
        <w:t xml:space="preserve">• </w:t>
      </w:r>
      <w:r>
        <w:t>Cost curve.</w:t>
      </w:r>
    </w:p>
    <w:p>
      <w:pPr>
        <w:pStyle w:val="ListBody"/>
        <w:ind w:left="490" w:hanging="331"/>
      </w:pPr>
      <w:r>
        <w:rPr>
          <w:b/>
        </w:rPr>
        <w:t xml:space="preserve">• </w:t>
      </w:r>
      <w:r>
        <w:t>Utilization.</w:t>
      </w:r>
    </w:p>
    <w:p>
      <w:pPr>
        <w:pStyle w:val="ListBody"/>
        <w:ind w:left="490" w:hanging="331"/>
      </w:pPr>
      <w:r>
        <w:rPr>
          <w:b/>
        </w:rPr>
        <w:t xml:space="preserve">• </w:t>
      </w:r>
      <w:r>
        <w:t>Commodity sensitivity.</w:t>
      </w:r>
    </w:p>
    <w:p>
      <w:pPr>
        <w:pStyle w:val="ListBody"/>
        <w:ind w:left="490" w:hanging="331"/>
      </w:pPr>
      <w:r>
        <w:rPr>
          <w:b/>
        </w:rPr>
        <w:t xml:space="preserve">• </w:t>
      </w:r>
      <w:r>
        <w:t>Hedging.</w:t>
      </w:r>
    </w:p>
    <w:p>
      <w:pPr>
        <w:pStyle w:val="ListBody"/>
        <w:ind w:left="490" w:hanging="331"/>
      </w:pPr>
      <w:r>
        <w:rPr>
          <w:b/>
        </w:rPr>
        <w:t xml:space="preserve">• </w:t>
      </w:r>
      <w:r>
        <w:t>Mid-cycle margin.</w:t>
      </w:r>
    </w:p>
    <w:p>
      <w:pPr>
        <w:pStyle w:val="ListBody"/>
        <w:ind w:left="490" w:hanging="331"/>
      </w:pPr>
      <w:r>
        <w:rPr>
          <w:b/>
        </w:rPr>
        <w:t xml:space="preserve">• </w:t>
      </w:r>
      <w:r>
        <w:t>Net debt.</w:t>
      </w:r>
    </w:p>
    <w:p>
      <w:pPr>
        <w:pStyle w:val="ListBody"/>
        <w:ind w:left="490" w:hanging="331"/>
      </w:pPr>
      <w:r>
        <w:rPr>
          <w:b/>
        </w:rPr>
        <w:t xml:space="preserve">• </w:t>
      </w:r>
      <w:r>
        <w:t>Replacement cost.</w:t>
      </w:r>
    </w:p>
    <w:p>
      <w:pPr>
        <w:pStyle w:val="ListBody"/>
        <w:ind w:left="490" w:hanging="331"/>
      </w:pPr>
      <w:r>
        <w:rPr>
          <w:b/>
        </w:rPr>
        <w:t xml:space="preserve">• </w:t>
      </w:r>
      <w:r>
        <w:t>Reserve life.</w:t>
      </w:r>
    </w:p>
    <w:p>
      <w:pPr>
        <w:pStyle w:val="Heading2"/>
        <w:keepNext/>
      </w:pPr>
      <w:r>
        <w:t>48.11 REIT/InvIT</w:t>
      </w:r>
    </w:p>
    <w:p>
      <w:pPr>
        <w:pStyle w:val="ListBody"/>
        <w:ind w:left="490" w:hanging="331"/>
      </w:pPr>
      <w:r>
        <w:rPr>
          <w:b/>
        </w:rPr>
        <w:t xml:space="preserve">• </w:t>
      </w:r>
      <w:r>
        <w:t>NOI.</w:t>
      </w:r>
    </w:p>
    <w:p>
      <w:pPr>
        <w:pStyle w:val="ListBody"/>
        <w:ind w:left="490" w:hanging="331"/>
      </w:pPr>
      <w:r>
        <w:rPr>
          <w:b/>
        </w:rPr>
        <w:t xml:space="preserve">• </w:t>
      </w:r>
      <w:r>
        <w:t>Occupancy.</w:t>
      </w:r>
    </w:p>
    <w:p>
      <w:pPr>
        <w:pStyle w:val="ListBody"/>
        <w:ind w:left="490" w:hanging="331"/>
      </w:pPr>
      <w:r>
        <w:rPr>
          <w:b/>
        </w:rPr>
        <w:t xml:space="preserve">• </w:t>
      </w:r>
      <w:r>
        <w:t>Tenant concentration.</w:t>
      </w:r>
    </w:p>
    <w:p>
      <w:pPr>
        <w:pStyle w:val="ListBody"/>
        <w:ind w:left="490" w:hanging="331"/>
      </w:pPr>
      <w:r>
        <w:rPr>
          <w:b/>
        </w:rPr>
        <w:t xml:space="preserve">• </w:t>
      </w:r>
      <w:r>
        <w:t>WALE.</w:t>
      </w:r>
    </w:p>
    <w:p>
      <w:pPr>
        <w:pStyle w:val="ListBody"/>
        <w:ind w:left="490" w:hanging="331"/>
      </w:pPr>
      <w:r>
        <w:rPr>
          <w:b/>
        </w:rPr>
        <w:t xml:space="preserve">• </w:t>
      </w:r>
      <w:r>
        <w:t>Rent escalation.</w:t>
      </w:r>
    </w:p>
    <w:p>
      <w:pPr>
        <w:pStyle w:val="ListBody"/>
        <w:ind w:left="490" w:hanging="331"/>
      </w:pPr>
      <w:r>
        <w:rPr>
          <w:b/>
        </w:rPr>
        <w:t xml:space="preserve">• </w:t>
      </w:r>
      <w:r>
        <w:t>Distribution per unit.</w:t>
      </w:r>
    </w:p>
    <w:p>
      <w:pPr>
        <w:pStyle w:val="ListBody"/>
        <w:ind w:left="490" w:hanging="331"/>
      </w:pPr>
      <w:r>
        <w:rPr>
          <w:b/>
        </w:rPr>
        <w:t xml:space="preserve">• </w:t>
      </w:r>
      <w:r>
        <w:t>LTV.</w:t>
      </w:r>
    </w:p>
    <w:p>
      <w:pPr>
        <w:pStyle w:val="ListBody"/>
        <w:ind w:left="490" w:hanging="331"/>
      </w:pPr>
      <w:r>
        <w:rPr>
          <w:b/>
        </w:rPr>
        <w:t xml:space="preserve">• </w:t>
      </w:r>
      <w:r>
        <w:t>Interest coverage.</w:t>
      </w:r>
    </w:p>
    <w:p>
      <w:pPr>
        <w:pStyle w:val="ListBody"/>
        <w:ind w:left="490" w:hanging="331"/>
      </w:pPr>
      <w:r>
        <w:rPr>
          <w:b/>
        </w:rPr>
        <w:t xml:space="preserve">• </w:t>
      </w:r>
      <w:r>
        <w:t>NAV.</w:t>
      </w:r>
    </w:p>
    <w:p>
      <w:pPr>
        <w:pStyle w:val="ListBody"/>
        <w:ind w:left="490" w:hanging="331"/>
      </w:pPr>
      <w:r>
        <w:rPr>
          <w:b/>
        </w:rPr>
        <w:t xml:space="preserve">• </w:t>
      </w:r>
      <w:r>
        <w:t>Sponsor quality.</w:t>
      </w:r>
    </w:p>
    <w:p>
      <w:pPr>
        <w:pStyle w:val="Heading2"/>
        <w:keepNext/>
      </w:pPr>
      <w:r>
        <w:t>48.12 Holding Company</w:t>
      </w:r>
    </w:p>
    <w:p>
      <w:pPr>
        <w:pStyle w:val="ListBody"/>
        <w:ind w:left="490" w:hanging="331"/>
      </w:pPr>
      <w:r>
        <w:rPr>
          <w:b/>
        </w:rPr>
        <w:t xml:space="preserve">• </w:t>
      </w:r>
      <w:r>
        <w:t>SOTP.</w:t>
      </w:r>
    </w:p>
    <w:p>
      <w:pPr>
        <w:pStyle w:val="ListBody"/>
        <w:ind w:left="490" w:hanging="331"/>
      </w:pPr>
      <w:r>
        <w:rPr>
          <w:b/>
        </w:rPr>
        <w:t xml:space="preserve">• </w:t>
      </w:r>
      <w:r>
        <w:t>Listed investments.</w:t>
      </w:r>
    </w:p>
    <w:p>
      <w:pPr>
        <w:pStyle w:val="ListBody"/>
        <w:ind w:left="490" w:hanging="331"/>
      </w:pPr>
      <w:r>
        <w:rPr>
          <w:b/>
        </w:rPr>
        <w:t xml:space="preserve">• </w:t>
      </w:r>
      <w:r>
        <w:t>Unlisted investments.</w:t>
      </w:r>
    </w:p>
    <w:p>
      <w:pPr>
        <w:pStyle w:val="ListBody"/>
        <w:ind w:left="490" w:hanging="331"/>
      </w:pPr>
      <w:r>
        <w:rPr>
          <w:b/>
        </w:rPr>
        <w:t xml:space="preserve">• </w:t>
      </w:r>
      <w:r>
        <w:t>Cross-holdings.</w:t>
      </w:r>
    </w:p>
    <w:p>
      <w:pPr>
        <w:pStyle w:val="ListBody"/>
        <w:ind w:left="490" w:hanging="331"/>
      </w:pPr>
      <w:r>
        <w:rPr>
          <w:b/>
        </w:rPr>
        <w:t xml:space="preserve">• </w:t>
      </w:r>
      <w:r>
        <w:t>Parent debt.</w:t>
      </w:r>
    </w:p>
    <w:p>
      <w:pPr>
        <w:pStyle w:val="ListBody"/>
        <w:ind w:left="490" w:hanging="331"/>
      </w:pPr>
      <w:r>
        <w:rPr>
          <w:b/>
        </w:rPr>
        <w:t xml:space="preserve">• </w:t>
      </w:r>
      <w:r>
        <w:t>Central costs.</w:t>
      </w:r>
    </w:p>
    <w:p>
      <w:pPr>
        <w:pStyle w:val="ListBody"/>
        <w:ind w:left="490" w:hanging="331"/>
      </w:pPr>
      <w:r>
        <w:rPr>
          <w:b/>
        </w:rPr>
        <w:t xml:space="preserve">• </w:t>
      </w:r>
      <w:r>
        <w:t>Capital allocation.</w:t>
      </w:r>
    </w:p>
    <w:p>
      <w:pPr>
        <w:pStyle w:val="ListBody"/>
        <w:ind w:left="490" w:hanging="331"/>
      </w:pPr>
      <w:r>
        <w:rPr>
          <w:b/>
        </w:rPr>
        <w:t xml:space="preserve">• </w:t>
      </w:r>
      <w:r>
        <w:t>Holding discount.</w:t>
      </w:r>
    </w:p>
    <w:p>
      <w:pPr>
        <w:pStyle w:val="Heading2"/>
        <w:keepNext/>
      </w:pPr>
      <w:r>
        <w:t>48.13 SME</w:t>
      </w:r>
    </w:p>
    <w:p>
      <w:pPr>
        <w:pStyle w:val="ListBody"/>
        <w:ind w:left="490" w:hanging="331"/>
      </w:pPr>
      <w:r>
        <w:rPr>
          <w:b/>
        </w:rPr>
        <w:t xml:space="preserve">• </w:t>
      </w:r>
      <w:r>
        <w:t>Higher liquidity threshold.</w:t>
      </w:r>
    </w:p>
    <w:p>
      <w:pPr>
        <w:pStyle w:val="ListBody"/>
        <w:ind w:left="490" w:hanging="331"/>
      </w:pPr>
      <w:r>
        <w:rPr>
          <w:b/>
        </w:rPr>
        <w:t xml:space="preserve">• </w:t>
      </w:r>
      <w:r>
        <w:t>Higher Data Confidence threshold.</w:t>
      </w:r>
    </w:p>
    <w:p>
      <w:pPr>
        <w:pStyle w:val="ListBody"/>
        <w:ind w:left="490" w:hanging="331"/>
      </w:pPr>
      <w:r>
        <w:rPr>
          <w:b/>
        </w:rPr>
        <w:t xml:space="preserve">• </w:t>
      </w:r>
      <w:r>
        <w:t>Stricter governance review.</w:t>
      </w:r>
    </w:p>
    <w:p>
      <w:pPr>
        <w:pStyle w:val="ListBody"/>
        <w:ind w:left="490" w:hanging="331"/>
      </w:pPr>
      <w:r>
        <w:rPr>
          <w:b/>
        </w:rPr>
        <w:t xml:space="preserve">• </w:t>
      </w:r>
      <w:r>
        <w:t>Lower position cap.</w:t>
      </w:r>
    </w:p>
    <w:p>
      <w:pPr>
        <w:pStyle w:val="ListBody"/>
        <w:ind w:left="490" w:hanging="331"/>
      </w:pPr>
      <w:r>
        <w:rPr>
          <w:b/>
        </w:rPr>
        <w:t xml:space="preserve">• </w:t>
      </w:r>
      <w:r>
        <w:t>Higher impact estimate.</w:t>
      </w:r>
    </w:p>
    <w:p>
      <w:pPr>
        <w:pStyle w:val="ListBody"/>
        <w:ind w:left="490" w:hanging="331"/>
      </w:pPr>
      <w:r>
        <w:rPr>
          <w:b/>
        </w:rPr>
        <w:t xml:space="preserve">• </w:t>
      </w:r>
      <w:r>
        <w:t>Separate rankings.</w:t>
      </w:r>
    </w:p>
    <w:p>
      <w:pPr>
        <w:pStyle w:val="ListBody"/>
        <w:ind w:left="490" w:hanging="331"/>
      </w:pPr>
      <w:r>
        <w:rPr>
          <w:b/>
        </w:rPr>
        <w:t xml:space="preserve">• </w:t>
      </w:r>
      <w:r>
        <w:t>Manual action approval.</w:t>
      </w:r>
    </w:p>
    <w:p>
      <w:pPr>
        <w:spacing w:after="0"/>
      </w:pPr>
      <w:r/>
    </w:p>
    <w:p>
      <w:pPr>
        <w:pStyle w:val="Heading1"/>
        <w:pBdr>
          <w:bottom w:val="single" w:sz="4" w:space="5" w:color="7A9AAA"/>
        </w:pBdr>
        <w:keepNext/>
      </w:pPr>
      <w:r>
        <w:t>49. Ranking system</w:t>
      </w:r>
    </w:p>
    <w:p>
      <w:pPr/>
      <w:r>
        <w:t>Generate:</w:t>
      </w:r>
    </w:p>
    <w:p>
      <w:pPr>
        <w:pStyle w:val="ListBody"/>
        <w:ind w:left="490" w:hanging="331"/>
      </w:pPr>
      <w:r>
        <w:rPr>
          <w:b/>
        </w:rPr>
        <w:t xml:space="preserve">1. </w:t>
      </w:r>
      <w:r>
        <w:t>Overall Candidate Rank.</w:t>
      </w:r>
    </w:p>
    <w:p>
      <w:pPr>
        <w:pStyle w:val="ListBody"/>
        <w:ind w:left="490" w:hanging="331"/>
      </w:pPr>
      <w:r>
        <w:rPr>
          <w:b/>
        </w:rPr>
        <w:t xml:space="preserve">2. </w:t>
      </w:r>
      <w:r>
        <w:t>Sector Rank.</w:t>
      </w:r>
    </w:p>
    <w:p>
      <w:pPr>
        <w:pStyle w:val="ListBody"/>
        <w:ind w:left="490" w:hanging="331"/>
      </w:pPr>
      <w:r>
        <w:rPr>
          <w:b/>
        </w:rPr>
        <w:t xml:space="preserve">3. </w:t>
      </w:r>
      <w:r>
        <w:t>Market-Cap Rank.</w:t>
      </w:r>
    </w:p>
    <w:p>
      <w:pPr>
        <w:pStyle w:val="ListBody"/>
        <w:ind w:left="490" w:hanging="331"/>
      </w:pPr>
      <w:r>
        <w:rPr>
          <w:b/>
        </w:rPr>
        <w:t xml:space="preserve">4. </w:t>
      </w:r>
      <w:r>
        <w:t>Quality Rank.</w:t>
      </w:r>
    </w:p>
    <w:p>
      <w:pPr>
        <w:pStyle w:val="ListBody"/>
        <w:ind w:left="490" w:hanging="331"/>
      </w:pPr>
      <w:r>
        <w:rPr>
          <w:b/>
        </w:rPr>
        <w:t xml:space="preserve">5. </w:t>
      </w:r>
      <w:r>
        <w:t>Growth Rank.</w:t>
      </w:r>
    </w:p>
    <w:p>
      <w:pPr>
        <w:pStyle w:val="ListBody"/>
        <w:ind w:left="490" w:hanging="331"/>
      </w:pPr>
      <w:r>
        <w:rPr>
          <w:b/>
        </w:rPr>
        <w:t xml:space="preserve">6. </w:t>
      </w:r>
      <w:r>
        <w:t>Value Rank.</w:t>
      </w:r>
    </w:p>
    <w:p>
      <w:pPr>
        <w:pStyle w:val="ListBody"/>
        <w:ind w:left="490" w:hanging="331"/>
      </w:pPr>
      <w:r>
        <w:rPr>
          <w:b/>
        </w:rPr>
        <w:t xml:space="preserve">7. </w:t>
      </w:r>
      <w:r>
        <w:t>Balance-Sheet Rank.</w:t>
      </w:r>
    </w:p>
    <w:p>
      <w:pPr>
        <w:pStyle w:val="ListBody"/>
        <w:ind w:left="490" w:hanging="331"/>
      </w:pPr>
      <w:r>
        <w:rPr>
          <w:b/>
        </w:rPr>
        <w:t xml:space="preserve">8. </w:t>
      </w:r>
      <w:r>
        <w:t>Capital-Allocation Rank.</w:t>
      </w:r>
    </w:p>
    <w:p>
      <w:pPr>
        <w:pStyle w:val="ListBody"/>
        <w:ind w:left="490" w:hanging="331"/>
      </w:pPr>
      <w:r>
        <w:rPr>
          <w:b/>
        </w:rPr>
        <w:t xml:space="preserve">9. </w:t>
      </w:r>
      <w:r>
        <w:t>Integrity Rank.</w:t>
      </w:r>
    </w:p>
    <w:p>
      <w:pPr>
        <w:pStyle w:val="ListBody"/>
        <w:ind w:left="490" w:hanging="331"/>
      </w:pPr>
      <w:r>
        <w:rPr>
          <w:b/>
        </w:rPr>
        <w:t xml:space="preserve">10. </w:t>
      </w:r>
      <w:r>
        <w:t>Momentum Rank.</w:t>
      </w:r>
    </w:p>
    <w:p>
      <w:pPr>
        <w:pStyle w:val="ListBody"/>
        <w:ind w:left="490" w:hanging="331"/>
      </w:pPr>
      <w:r>
        <w:rPr>
          <w:b/>
        </w:rPr>
        <w:t xml:space="preserve">11. </w:t>
      </w:r>
      <w:r>
        <w:t>Liquidity Rank.</w:t>
      </w:r>
    </w:p>
    <w:p>
      <w:pPr>
        <w:pStyle w:val="ListBody"/>
        <w:ind w:left="490" w:hanging="331"/>
      </w:pPr>
      <w:r>
        <w:rPr>
          <w:b/>
        </w:rPr>
        <w:t xml:space="preserve">12. </w:t>
      </w:r>
      <w:r>
        <w:t>Data-Confidence Rank.</w:t>
      </w:r>
    </w:p>
    <w:p>
      <w:pPr>
        <w:pStyle w:val="ListBody"/>
        <w:ind w:left="490" w:hanging="331"/>
      </w:pPr>
      <w:r>
        <w:rPr>
          <w:b/>
        </w:rPr>
        <w:t xml:space="preserve">13. </w:t>
      </w:r>
      <w:r>
        <w:t>Research Rank.</w:t>
      </w:r>
    </w:p>
    <w:p>
      <w:pPr>
        <w:pStyle w:val="ListBody"/>
        <w:ind w:left="490" w:hanging="331"/>
      </w:pPr>
      <w:r>
        <w:rPr>
          <w:b/>
        </w:rPr>
        <w:t xml:space="preserve">14. </w:t>
      </w:r>
      <w:r>
        <w:t>Upgrade Rank.</w:t>
      </w:r>
    </w:p>
    <w:p>
      <w:pPr>
        <w:pStyle w:val="ListBody"/>
        <w:ind w:left="490" w:hanging="331"/>
      </w:pPr>
      <w:r>
        <w:rPr>
          <w:b/>
        </w:rPr>
        <w:t xml:space="preserve">15. </w:t>
      </w:r>
      <w:r>
        <w:t>Downgrade Rank.</w:t>
      </w:r>
    </w:p>
    <w:p>
      <w:pPr>
        <w:pStyle w:val="ListBody"/>
        <w:ind w:left="490" w:hanging="331"/>
      </w:pPr>
      <w:r>
        <w:rPr>
          <w:b/>
        </w:rPr>
        <w:t xml:space="preserve">16. </w:t>
      </w:r>
      <w:r>
        <w:t>Persistence Rank.</w:t>
      </w:r>
    </w:p>
    <w:p>
      <w:pPr>
        <w:pStyle w:val="ListBody"/>
        <w:ind w:left="490" w:hanging="331"/>
      </w:pPr>
      <w:r>
        <w:rPr>
          <w:b/>
        </w:rPr>
        <w:t xml:space="preserve">17. </w:t>
      </w:r>
      <w:r>
        <w:t>Capacity Rank.</w:t>
      </w:r>
    </w:p>
    <w:p>
      <w:pPr>
        <w:pStyle w:val="Heading2"/>
        <w:keepNext/>
      </w:pPr>
      <w:r>
        <w:t>Composite Rank</w:t>
      </w:r>
    </w:p>
    <w:p>
      <w:pPr/>
      <w:r>
        <w:t>CompositeRankScore =</w:t>
        <w:br/>
        <w:t xml:space="preserve">    0.50 * OverallPercentile</w:t>
        <w:br/>
        <w:t xml:space="preserve">    + 0.25 * SectorPercentile</w:t>
        <w:br/>
        <w:t xml:space="preserve">    + 0.15 * SizePercentile</w:t>
        <w:br/>
        <w:t xml:space="preserve">    + 0.10 * RankPersistenceScore</w:t>
      </w:r>
    </w:p>
    <w:p>
      <w:pPr>
        <w:spacing w:after="0"/>
      </w:pPr>
      <w:r/>
    </w:p>
    <w:p>
      <w:pPr>
        <w:pStyle w:val="Heading1"/>
        <w:pBdr>
          <w:bottom w:val="single" w:sz="4" w:space="5" w:color="7A9AAA"/>
        </w:pBdr>
        <w:keepNext/>
      </w:pPr>
      <w:r>
        <w:t>50. Dynamic watchlists</w:t>
      </w:r>
    </w:p>
    <w:p>
      <w:pPr>
        <w:pStyle w:val="ListBody"/>
        <w:ind w:left="490" w:hanging="331"/>
      </w:pPr>
      <w:r>
        <w:rPr>
          <w:b/>
        </w:rPr>
        <w:t xml:space="preserve">• </w:t>
      </w:r>
      <w:r>
        <w:t>Elite Candidates.</w:t>
      </w:r>
    </w:p>
    <w:p>
      <w:pPr>
        <w:pStyle w:val="ListBody"/>
        <w:ind w:left="490" w:hanging="331"/>
      </w:pPr>
      <w:r>
        <w:rPr>
          <w:b/>
        </w:rPr>
        <w:t xml:space="preserve">• </w:t>
      </w:r>
      <w:r>
        <w:t>Quality at Reasonable Value.</w:t>
      </w:r>
    </w:p>
    <w:p>
      <w:pPr>
        <w:pStyle w:val="ListBody"/>
        <w:ind w:left="490" w:hanging="331"/>
      </w:pPr>
      <w:r>
        <w:rPr>
          <w:b/>
        </w:rPr>
        <w:t xml:space="preserve">• </w:t>
      </w:r>
      <w:r>
        <w:t>Emerging Compounders.</w:t>
      </w:r>
    </w:p>
    <w:p>
      <w:pPr>
        <w:pStyle w:val="ListBody"/>
        <w:ind w:left="490" w:hanging="331"/>
      </w:pPr>
      <w:r>
        <w:rPr>
          <w:b/>
        </w:rPr>
        <w:t xml:space="preserve">• </w:t>
      </w:r>
      <w:r>
        <w:t>Earnings Improvers.</w:t>
      </w:r>
    </w:p>
    <w:p>
      <w:pPr>
        <w:pStyle w:val="ListBody"/>
        <w:ind w:left="490" w:hanging="331"/>
      </w:pPr>
      <w:r>
        <w:rPr>
          <w:b/>
        </w:rPr>
        <w:t xml:space="preserve">• </w:t>
      </w:r>
      <w:r>
        <w:t>Cash-Flow Improvers.</w:t>
      </w:r>
    </w:p>
    <w:p>
      <w:pPr>
        <w:pStyle w:val="ListBody"/>
        <w:ind w:left="490" w:hanging="331"/>
      </w:pPr>
      <w:r>
        <w:rPr>
          <w:b/>
        </w:rPr>
        <w:t xml:space="preserve">• </w:t>
      </w:r>
      <w:r>
        <w:t>Turnaround Watch.</w:t>
      </w:r>
    </w:p>
    <w:p>
      <w:pPr>
        <w:pStyle w:val="ListBody"/>
        <w:ind w:left="490" w:hanging="331"/>
      </w:pPr>
      <w:r>
        <w:rPr>
          <w:b/>
        </w:rPr>
        <w:t xml:space="preserve">• </w:t>
      </w:r>
      <w:r>
        <w:t>Deep Value.</w:t>
      </w:r>
    </w:p>
    <w:p>
      <w:pPr>
        <w:pStyle w:val="ListBody"/>
        <w:ind w:left="490" w:hanging="331"/>
      </w:pPr>
      <w:r>
        <w:rPr>
          <w:b/>
        </w:rPr>
        <w:t xml:space="preserve">• </w:t>
      </w:r>
      <w:r>
        <w:t>Value Traps.</w:t>
      </w:r>
    </w:p>
    <w:p>
      <w:pPr>
        <w:pStyle w:val="ListBody"/>
        <w:ind w:left="490" w:hanging="331"/>
      </w:pPr>
      <w:r>
        <w:rPr>
          <w:b/>
        </w:rPr>
        <w:t xml:space="preserve">• </w:t>
      </w:r>
      <w:r>
        <w:t>Governance Deterioration.</w:t>
      </w:r>
    </w:p>
    <w:p>
      <w:pPr>
        <w:pStyle w:val="ListBody"/>
        <w:ind w:left="490" w:hanging="331"/>
      </w:pPr>
      <w:r>
        <w:rPr>
          <w:b/>
        </w:rPr>
        <w:t xml:space="preserve">• </w:t>
      </w:r>
      <w:r>
        <w:t>Balance-Sheet Risk.</w:t>
      </w:r>
    </w:p>
    <w:p>
      <w:pPr>
        <w:pStyle w:val="ListBody"/>
        <w:ind w:left="490" w:hanging="331"/>
      </w:pPr>
      <w:r>
        <w:rPr>
          <w:b/>
        </w:rPr>
        <w:t xml:space="preserve">• </w:t>
      </w:r>
      <w:r>
        <w:t>Overvaluation.</w:t>
      </w:r>
    </w:p>
    <w:p>
      <w:pPr>
        <w:pStyle w:val="ListBody"/>
        <w:ind w:left="490" w:hanging="331"/>
      </w:pPr>
      <w:r>
        <w:rPr>
          <w:b/>
        </w:rPr>
        <w:t xml:space="preserve">• </w:t>
      </w:r>
      <w:r>
        <w:t>Momentum Confirmation.</w:t>
      </w:r>
    </w:p>
    <w:p>
      <w:pPr>
        <w:pStyle w:val="ListBody"/>
        <w:ind w:left="490" w:hanging="331"/>
      </w:pPr>
      <w:r>
        <w:rPr>
          <w:b/>
        </w:rPr>
        <w:t xml:space="preserve">• </w:t>
      </w:r>
      <w:r>
        <w:t>Liquidity Deterioration.</w:t>
      </w:r>
    </w:p>
    <w:p>
      <w:pPr>
        <w:pStyle w:val="ListBody"/>
        <w:ind w:left="490" w:hanging="331"/>
      </w:pPr>
      <w:r>
        <w:rPr>
          <w:b/>
        </w:rPr>
        <w:t xml:space="preserve">• </w:t>
      </w:r>
      <w:r>
        <w:t>New Listings.</w:t>
      </w:r>
    </w:p>
    <w:p>
      <w:pPr>
        <w:pStyle w:val="ListBody"/>
        <w:ind w:left="490" w:hanging="331"/>
      </w:pPr>
      <w:r>
        <w:rPr>
          <w:b/>
        </w:rPr>
        <w:t xml:space="preserve">• </w:t>
      </w:r>
      <w:r>
        <w:t>Pending Resolution.</w:t>
      </w:r>
    </w:p>
    <w:p>
      <w:pPr>
        <w:pStyle w:val="ListBody"/>
        <w:ind w:left="490" w:hanging="331"/>
      </w:pPr>
      <w:r>
        <w:rPr>
          <w:b/>
        </w:rPr>
        <w:t xml:space="preserve">• </w:t>
      </w:r>
      <w:r>
        <w:t>Insufficient Data.</w:t>
      </w:r>
    </w:p>
    <w:p>
      <w:pPr>
        <w:pStyle w:val="ListBody"/>
        <w:ind w:left="490" w:hanging="331"/>
      </w:pPr>
      <w:r>
        <w:rPr>
          <w:b/>
        </w:rPr>
        <w:t xml:space="preserve">• </w:t>
      </w:r>
      <w:r>
        <w:t>Recent Upgrades.</w:t>
      </w:r>
    </w:p>
    <w:p>
      <w:pPr>
        <w:pStyle w:val="ListBody"/>
        <w:ind w:left="490" w:hanging="331"/>
      </w:pPr>
      <w:r>
        <w:rPr>
          <w:b/>
        </w:rPr>
        <w:t xml:space="preserve">• </w:t>
      </w:r>
      <w:r>
        <w:t>Recent Downgrades.</w:t>
      </w:r>
    </w:p>
    <w:p>
      <w:pPr>
        <w:pStyle w:val="ListBody"/>
        <w:ind w:left="490" w:hanging="331"/>
      </w:pPr>
      <w:r>
        <w:rPr>
          <w:b/>
        </w:rPr>
        <w:t xml:space="preserve">• </w:t>
      </w:r>
      <w:r>
        <w:t>Upcoming Results.</w:t>
      </w:r>
    </w:p>
    <w:p>
      <w:pPr>
        <w:pStyle w:val="ListBody"/>
        <w:ind w:left="490" w:hanging="331"/>
      </w:pPr>
      <w:r>
        <w:rPr>
          <w:b/>
        </w:rPr>
        <w:t xml:space="preserve">• </w:t>
      </w:r>
      <w:r>
        <w:t>Portfolio Review Required.</w:t>
      </w:r>
    </w:p>
    <w:p>
      <w:pPr>
        <w:spacing w:after="0"/>
      </w:pPr>
      <w:r/>
    </w:p>
    <w:p>
      <w:pPr>
        <w:pStyle w:val="Heading1"/>
        <w:pBdr>
          <w:bottom w:val="single" w:sz="4" w:space="5" w:color="7A9AAA"/>
        </w:pBdr>
        <w:keepNext/>
      </w:pPr>
      <w:r>
        <w:t>51. Research promotion</w:t>
      </w:r>
    </w:p>
    <w:p>
      <w:pPr/>
      <w:r>
        <w:t>PromotionScore =</w:t>
        <w:br/>
        <w:t xml:space="preserve">    0.45 * CandidateScore</w:t>
        <w:br/>
        <w:t xml:space="preserve">    + 0.15 * SectorPercentile</w:t>
        <w:br/>
        <w:t xml:space="preserve">    + 0.10 * DataConfidence</w:t>
        <w:br/>
        <w:t xml:space="preserve">    + 0.10 * RankPersistence</w:t>
        <w:br/>
        <w:t xml:space="preserve">    + 0.10 * LiquidityScore</w:t>
        <w:br/>
        <w:t xml:space="preserve">    + 0.05 * EventPriority</w:t>
        <w:br/>
        <w:t xml:space="preserve">    + 0.05 * PortfolioPriority</w:t>
      </w:r>
    </w:p>
    <w:p>
      <w:pPr/>
      <w:r>
        <w:t>Target Deep Research Coverage:</w:t>
      </w:r>
    </w:p>
    <w:p>
      <w:pPr>
        <w:pStyle w:val="ListBody"/>
        <w:ind w:left="490" w:hanging="331"/>
      </w:pPr>
      <w:r>
        <w:rPr>
          <w:b/>
        </w:rPr>
        <w:t xml:space="preserve">• </w:t>
      </w:r>
      <w:r>
        <w:t>50–200 companies.</w:t>
      </w:r>
    </w:p>
    <w:p>
      <w:pPr>
        <w:spacing w:after="0"/>
      </w:pPr>
      <w:r/>
    </w:p>
    <w:p>
      <w:pPr>
        <w:pStyle w:val="Heading1"/>
        <w:pBdr>
          <w:bottom w:val="single" w:sz="4" w:space="5" w:color="7A9AAA"/>
        </w:pBdr>
        <w:keepNext/>
      </w:pPr>
      <w:r>
        <w:t>52. Deep Research Score</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blHeader w:val="true"/>
        </w:trPr>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Component</w:t>
            </w:r>
          </w:p>
        </w:tc>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Weight</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Business Quality and Moat</w:t>
            </w:r>
          </w:p>
        </w:tc>
        <w:tc>
          <w:tcPr>
            <w:tcW w:type="dxa" w:w="4997"/>
            <w:vAlign w:val="center"/>
            <w:tcMar>
              <w:top w:w="55" w:type="dxa"/>
              <w:start w:w="65" w:type="dxa"/>
              <w:bottom w:w="55" w:type="dxa"/>
              <w:end w:w="65" w:type="dxa"/>
            </w:tcMar>
          </w:tcPr>
          <w:p>
            <w:pPr>
              <w:spacing w:after="0"/>
            </w:pPr>
            <w:r>
              <w:rPr>
                <w:rFonts w:ascii="Cambria" w:hAnsi="Cambria"/>
                <w:sz w:val="18"/>
              </w:rPr>
              <w:t>15</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Industry Structure</w:t>
            </w:r>
          </w:p>
        </w:tc>
        <w:tc>
          <w:tcPr>
            <w:tcW w:type="dxa" w:w="4997"/>
            <w:vAlign w:val="center"/>
            <w:tcMar>
              <w:top w:w="55" w:type="dxa"/>
              <w:start w:w="65" w:type="dxa"/>
              <w:bottom w:w="55" w:type="dxa"/>
              <w:end w:w="65" w:type="dxa"/>
            </w:tcMar>
            <w:shd w:fill="F8FAFB"/>
          </w:tcPr>
          <w:p>
            <w:pPr>
              <w:spacing w:after="0"/>
            </w:pPr>
            <w:r>
              <w:rPr>
                <w:rFonts w:ascii="Cambria" w:hAnsi="Cambria"/>
                <w:sz w:val="18"/>
              </w:rPr>
              <w:t>10</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Financial Quality</w:t>
            </w:r>
          </w:p>
        </w:tc>
        <w:tc>
          <w:tcPr>
            <w:tcW w:type="dxa" w:w="4997"/>
            <w:vAlign w:val="center"/>
            <w:tcMar>
              <w:top w:w="55" w:type="dxa"/>
              <w:start w:w="65" w:type="dxa"/>
              <w:bottom w:w="55" w:type="dxa"/>
              <w:end w:w="65" w:type="dxa"/>
            </w:tcMar>
          </w:tcPr>
          <w:p>
            <w:pPr>
              <w:spacing w:after="0"/>
            </w:pPr>
            <w:r>
              <w:rPr>
                <w:rFonts w:ascii="Cambria" w:hAnsi="Cambria"/>
                <w:sz w:val="18"/>
              </w:rPr>
              <w:t>15</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Capital Allocation</w:t>
            </w:r>
          </w:p>
        </w:tc>
        <w:tc>
          <w:tcPr>
            <w:tcW w:type="dxa" w:w="4997"/>
            <w:vAlign w:val="center"/>
            <w:tcMar>
              <w:top w:w="55" w:type="dxa"/>
              <w:start w:w="65" w:type="dxa"/>
              <w:bottom w:w="55" w:type="dxa"/>
              <w:end w:w="65" w:type="dxa"/>
            </w:tcMar>
            <w:shd w:fill="F8FAFB"/>
          </w:tcPr>
          <w:p>
            <w:pPr>
              <w:spacing w:after="0"/>
            </w:pPr>
            <w:r>
              <w:rPr>
                <w:rFonts w:ascii="Cambria" w:hAnsi="Cambria"/>
                <w:sz w:val="18"/>
              </w:rPr>
              <w:t>10</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Integrity and Governance</w:t>
            </w:r>
          </w:p>
        </w:tc>
        <w:tc>
          <w:tcPr>
            <w:tcW w:type="dxa" w:w="4997"/>
            <w:vAlign w:val="center"/>
            <w:tcMar>
              <w:top w:w="55" w:type="dxa"/>
              <w:start w:w="65" w:type="dxa"/>
              <w:bottom w:w="55" w:type="dxa"/>
              <w:end w:w="65" w:type="dxa"/>
            </w:tcMar>
          </w:tcPr>
          <w:p>
            <w:pPr>
              <w:spacing w:after="0"/>
            </w:pPr>
            <w:r>
              <w:rPr>
                <w:rFonts w:ascii="Cambria" w:hAnsi="Cambria"/>
                <w:sz w:val="18"/>
              </w:rPr>
              <w:t>20</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Forecast Resilience</w:t>
            </w:r>
          </w:p>
        </w:tc>
        <w:tc>
          <w:tcPr>
            <w:tcW w:type="dxa" w:w="4997"/>
            <w:vAlign w:val="center"/>
            <w:tcMar>
              <w:top w:w="55" w:type="dxa"/>
              <w:start w:w="65" w:type="dxa"/>
              <w:bottom w:w="55" w:type="dxa"/>
              <w:end w:w="65" w:type="dxa"/>
            </w:tcMar>
            <w:shd w:fill="F8FAFB"/>
          </w:tcPr>
          <w:p>
            <w:pPr>
              <w:spacing w:after="0"/>
            </w:pPr>
            <w:r>
              <w:rPr>
                <w:rFonts w:ascii="Cambria" w:hAnsi="Cambria"/>
                <w:sz w:val="18"/>
              </w:rPr>
              <w:t>10</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Valuation and Margin of Safety</w:t>
            </w:r>
          </w:p>
        </w:tc>
        <w:tc>
          <w:tcPr>
            <w:tcW w:type="dxa" w:w="4997"/>
            <w:vAlign w:val="center"/>
            <w:tcMar>
              <w:top w:w="55" w:type="dxa"/>
              <w:start w:w="65" w:type="dxa"/>
              <w:bottom w:w="55" w:type="dxa"/>
              <w:end w:w="65" w:type="dxa"/>
            </w:tcMar>
          </w:tcPr>
          <w:p>
            <w:pPr>
              <w:spacing w:after="0"/>
            </w:pPr>
            <w:r>
              <w:rPr>
                <w:rFonts w:ascii="Cambria" w:hAnsi="Cambria"/>
                <w:sz w:val="18"/>
              </w:rPr>
              <w:t>15</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Catalysts</w:t>
            </w:r>
          </w:p>
        </w:tc>
        <w:tc>
          <w:tcPr>
            <w:tcW w:type="dxa" w:w="4997"/>
            <w:vAlign w:val="center"/>
            <w:tcMar>
              <w:top w:w="55" w:type="dxa"/>
              <w:start w:w="65" w:type="dxa"/>
              <w:bottom w:w="55" w:type="dxa"/>
              <w:end w:w="65" w:type="dxa"/>
            </w:tcMar>
            <w:shd w:fill="F8FAFB"/>
          </w:tcPr>
          <w:p>
            <w:pPr>
              <w:spacing w:after="0"/>
            </w:pPr>
            <w:r>
              <w:rPr>
                <w:rFonts w:ascii="Cambria" w:hAnsi="Cambria"/>
                <w:sz w:val="18"/>
              </w:rPr>
              <w:t>3</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Technical Execution</w:t>
            </w:r>
          </w:p>
        </w:tc>
        <w:tc>
          <w:tcPr>
            <w:tcW w:type="dxa" w:w="4997"/>
            <w:vAlign w:val="center"/>
            <w:tcMar>
              <w:top w:w="55" w:type="dxa"/>
              <w:start w:w="65" w:type="dxa"/>
              <w:bottom w:w="55" w:type="dxa"/>
              <w:end w:w="65" w:type="dxa"/>
            </w:tcMar>
          </w:tcPr>
          <w:p>
            <w:pPr>
              <w:spacing w:after="0"/>
            </w:pPr>
            <w:r>
              <w:rPr>
                <w:rFonts w:ascii="Cambria" w:hAnsi="Cambria"/>
                <w:sz w:val="18"/>
              </w:rPr>
              <w:t>2</w:t>
            </w:r>
          </w:p>
        </w:tc>
      </w:tr>
    </w:tbl>
    <w:p>
      <w:pPr>
        <w:spacing w:after="20"/>
      </w:pPr>
    </w:p>
    <w:p>
      <w:pPr>
        <w:pStyle w:val="Heading2"/>
        <w:keepNext/>
      </w:pPr>
      <w:r>
        <w:t>Formula</w:t>
      </w:r>
    </w:p>
    <w:p>
      <w:pPr>
        <w:pStyle w:val="FormulaBlock"/>
        <w:shd w:fill="F5F8FA"/>
      </w:pPr>
      <w:r>
        <w:t>RawResearchScore =</w:t>
        <w:br/>
        <w:t xml:space="preserve">    sum(weight[j] * component_score[j])</w:t>
        <w:br/>
        <w:t xml:space="preserve">    / sum(weight[j])</w:t>
      </w:r>
    </w:p>
    <w:p>
      <w:pPr>
        <w:pStyle w:val="Heading2"/>
        <w:keepNext/>
      </w:pPr>
      <w:r>
        <w:t>Confidence adjustment</w:t>
      </w:r>
    </w:p>
    <w:p>
      <w:pPr>
        <w:pStyle w:val="FormulaBlock"/>
        <w:shd w:fill="F5F8FA"/>
      </w:pPr>
      <w:r>
        <w:t>AdjustedResearchScore =</w:t>
        <w:br/>
        <w:t xml:space="preserve">    50</w:t>
        <w:br/>
        <w:t xml:space="preserve">    + (RawResearchScore - 50)</w:t>
        <w:br/>
        <w:t xml:space="preserve">      * (ResearchConfidence / 100)</w:t>
      </w:r>
    </w:p>
    <w:p>
      <w:pPr>
        <w:spacing w:after="0"/>
      </w:pPr>
      <w:r/>
    </w:p>
    <w:p>
      <w:pPr>
        <w:pStyle w:val="Heading1"/>
        <w:pBdr>
          <w:bottom w:val="single" w:sz="4" w:space="5" w:color="7A9AAA"/>
        </w:pBdr>
        <w:keepNext/>
      </w:pPr>
      <w:r>
        <w:t>53. Evidence ledger</w:t>
      </w:r>
    </w:p>
    <w:p>
      <w:pPr/>
      <w:r>
        <w:t>claim_id</w:t>
        <w:br/>
        <w:t>claim</w:t>
        <w:br/>
        <w:t>claim_type</w:t>
        <w:br/>
        <w:t>source</w:t>
        <w:br/>
        <w:t>source_grade</w:t>
        <w:br/>
        <w:t>document_id</w:t>
        <w:br/>
        <w:t>page_or_section</w:t>
        <w:br/>
        <w:t>filing_timestamp</w:t>
        <w:br/>
        <w:t>supporting_evidence</w:t>
        <w:br/>
        <w:t>contradictory_evidence</w:t>
        <w:br/>
        <w:t>calculation_reference</w:t>
        <w:br/>
        <w:t>analyst_inference</w:t>
        <w:br/>
        <w:t>AI_inference</w:t>
        <w:br/>
        <w:t>confidence</w:t>
        <w:br/>
        <w:t>review_status</w:t>
        <w:br/>
        <w:t>affected_score</w:t>
        <w:br/>
        <w:t>affected_forecast</w:t>
        <w:br/>
        <w:t>affected_valuation</w:t>
      </w:r>
    </w:p>
    <w:p>
      <w:pPr/>
      <w:r>
        <w:t>No major conclusion may exist without traceable evidence.</w:t>
      </w:r>
    </w:p>
    <w:p>
      <w:pPr>
        <w:spacing w:after="0"/>
      </w:pPr>
      <w:r/>
    </w:p>
    <w:p>
      <w:pPr>
        <w:pStyle w:val="Heading1"/>
        <w:pBdr>
          <w:bottom w:val="single" w:sz="4" w:space="5" w:color="7A9AAA"/>
        </w:pBdr>
        <w:keepNext/>
      </w:pPr>
      <w:r>
        <w:t>54. Management guidance</w:t>
      </w:r>
    </w:p>
    <w:p>
      <w:pPr/>
      <w:r>
        <w:t>Track:</w:t>
      </w:r>
    </w:p>
    <w:p>
      <w:pPr/>
      <w:r>
        <w:t>guidance_date</w:t>
        <w:br/>
        <w:t>guidance_metric</w:t>
        <w:br/>
        <w:t>guidance_period</w:t>
        <w:br/>
        <w:t>guidance_low</w:t>
        <w:br/>
        <w:t>guidance_high</w:t>
        <w:br/>
        <w:t>actual_result</w:t>
        <w:br/>
        <w:t>variance</w:t>
        <w:br/>
        <w:t>explanation</w:t>
        <w:br/>
        <w:t>source</w:t>
      </w:r>
    </w:p>
    <w:p>
      <w:pPr/>
      <w:r>
        <w:t>Measures:</w:t>
      </w:r>
    </w:p>
    <w:p>
      <w:pPr>
        <w:pStyle w:val="ListBody"/>
        <w:ind w:left="490" w:hanging="331"/>
      </w:pPr>
      <w:r>
        <w:rPr>
          <w:b/>
        </w:rPr>
        <w:t xml:space="preserve">• </w:t>
      </w:r>
      <w:r>
        <w:t>Revenue-guidance hit rate.</w:t>
      </w:r>
    </w:p>
    <w:p>
      <w:pPr>
        <w:pStyle w:val="ListBody"/>
        <w:ind w:left="490" w:hanging="331"/>
      </w:pPr>
      <w:r>
        <w:rPr>
          <w:b/>
        </w:rPr>
        <w:t xml:space="preserve">• </w:t>
      </w:r>
      <w:r>
        <w:t>Margin-guidance hit rate.</w:t>
      </w:r>
    </w:p>
    <w:p>
      <w:pPr>
        <w:pStyle w:val="ListBody"/>
        <w:ind w:left="490" w:hanging="331"/>
      </w:pPr>
      <w:r>
        <w:rPr>
          <w:b/>
        </w:rPr>
        <w:t xml:space="preserve">• </w:t>
      </w:r>
      <w:r>
        <w:t>Capex-guidance hit rate.</w:t>
      </w:r>
    </w:p>
    <w:p>
      <w:pPr>
        <w:pStyle w:val="ListBody"/>
        <w:ind w:left="490" w:hanging="331"/>
      </w:pPr>
      <w:r>
        <w:rPr>
          <w:b/>
        </w:rPr>
        <w:t xml:space="preserve">• </w:t>
      </w:r>
      <w:r>
        <w:t>Optimism bias.</w:t>
      </w:r>
    </w:p>
    <w:p>
      <w:pPr>
        <w:pStyle w:val="ListBody"/>
        <w:ind w:left="490" w:hanging="331"/>
      </w:pPr>
      <w:r>
        <w:rPr>
          <w:b/>
        </w:rPr>
        <w:t xml:space="preserve">• </w:t>
      </w:r>
      <w:r>
        <w:t>Revision frequency.</w:t>
      </w:r>
    </w:p>
    <w:p>
      <w:pPr>
        <w:pStyle w:val="ListBody"/>
        <w:ind w:left="490" w:hanging="331"/>
      </w:pPr>
      <w:r>
        <w:rPr>
          <w:b/>
        </w:rPr>
        <w:t xml:space="preserve">• </w:t>
      </w:r>
      <w:r>
        <w:t>Delivery consistency.</w:t>
      </w:r>
    </w:p>
    <w:p>
      <w:pPr>
        <w:spacing w:after="0"/>
      </w:pPr>
      <w:r/>
    </w:p>
    <w:p>
      <w:pPr>
        <w:pStyle w:val="Heading1"/>
        <w:pBdr>
          <w:bottom w:val="single" w:sz="4" w:space="5" w:color="7A9AAA"/>
        </w:pBdr>
        <w:keepNext/>
      </w:pPr>
      <w:r>
        <w:t>55. Forecast engine</w:t>
      </w:r>
    </w:p>
    <w:p>
      <w:pPr/>
      <w:r>
        <w:t>Drivers may include:</w:t>
      </w:r>
    </w:p>
    <w:p>
      <w:pPr>
        <w:pStyle w:val="ListBody"/>
        <w:ind w:left="490" w:hanging="331"/>
      </w:pPr>
      <w:r>
        <w:rPr>
          <w:b/>
        </w:rPr>
        <w:t xml:space="preserve">• </w:t>
      </w:r>
      <w:r>
        <w:t>Volume × realization.</w:t>
      </w:r>
    </w:p>
    <w:p>
      <w:pPr>
        <w:pStyle w:val="ListBody"/>
        <w:ind w:left="490" w:hanging="331"/>
      </w:pPr>
      <w:r>
        <w:rPr>
          <w:b/>
        </w:rPr>
        <w:t xml:space="preserve">• </w:t>
      </w:r>
      <w:r>
        <w:t>Capacity × utilization × realization.</w:t>
      </w:r>
    </w:p>
    <w:p>
      <w:pPr>
        <w:pStyle w:val="ListBody"/>
        <w:ind w:left="490" w:hanging="331"/>
      </w:pPr>
      <w:r>
        <w:rPr>
          <w:b/>
        </w:rPr>
        <w:t xml:space="preserve">• </w:t>
      </w:r>
      <w:r>
        <w:t>Customers × revenue per customer.</w:t>
      </w:r>
    </w:p>
    <w:p>
      <w:pPr>
        <w:pStyle w:val="ListBody"/>
        <w:ind w:left="490" w:hanging="331"/>
      </w:pPr>
      <w:r>
        <w:rPr>
          <w:b/>
        </w:rPr>
        <w:t xml:space="preserve">• </w:t>
      </w:r>
      <w:r>
        <w:t>Stores × sales per store.</w:t>
      </w:r>
    </w:p>
    <w:p>
      <w:pPr>
        <w:pStyle w:val="ListBody"/>
        <w:ind w:left="490" w:hanging="331"/>
      </w:pPr>
      <w:r>
        <w:rPr>
          <w:b/>
        </w:rPr>
        <w:t xml:space="preserve">• </w:t>
      </w:r>
      <w:r>
        <w:t>Loans × yield.</w:t>
      </w:r>
    </w:p>
    <w:p>
      <w:pPr>
        <w:pStyle w:val="ListBody"/>
        <w:ind w:left="490" w:hanging="331"/>
      </w:pPr>
      <w:r>
        <w:rPr>
          <w:b/>
        </w:rPr>
        <w:t xml:space="preserve">• </w:t>
      </w:r>
      <w:r>
        <w:t>Deposits × funding cost.</w:t>
      </w:r>
    </w:p>
    <w:p>
      <w:pPr>
        <w:pStyle w:val="ListBody"/>
        <w:ind w:left="490" w:hanging="331"/>
      </w:pPr>
      <w:r>
        <w:rPr>
          <w:b/>
        </w:rPr>
        <w:t xml:space="preserve">• </w:t>
      </w:r>
      <w:r>
        <w:t>Premium × product mix.</w:t>
      </w:r>
    </w:p>
    <w:p>
      <w:pPr>
        <w:pStyle w:val="ListBody"/>
        <w:ind w:left="490" w:hanging="331"/>
      </w:pPr>
      <w:r>
        <w:rPr>
          <w:b/>
        </w:rPr>
        <w:t xml:space="preserve">• </w:t>
      </w:r>
      <w:r>
        <w:t>Occupancy × rent.</w:t>
      </w:r>
    </w:p>
    <w:p>
      <w:pPr>
        <w:pStyle w:val="ListBody"/>
        <w:ind w:left="490" w:hanging="331"/>
      </w:pPr>
      <w:r>
        <w:rPr>
          <w:b/>
        </w:rPr>
        <w:t xml:space="preserve">• </w:t>
      </w:r>
      <w:r>
        <w:t>Subscribers × ARPU.</w:t>
      </w:r>
    </w:p>
    <w:p>
      <w:pPr/>
      <w:r>
        <w:t>Forecast:</w:t>
      </w:r>
    </w:p>
    <w:p>
      <w:pPr>
        <w:pStyle w:val="ListBody"/>
        <w:ind w:left="490" w:hanging="331"/>
      </w:pPr>
      <w:r>
        <w:rPr>
          <w:b/>
        </w:rPr>
        <w:t xml:space="preserve">• </w:t>
      </w:r>
      <w:r>
        <w:t>Revenue.</w:t>
      </w:r>
    </w:p>
    <w:p>
      <w:pPr>
        <w:pStyle w:val="ListBody"/>
        <w:ind w:left="490" w:hanging="331"/>
      </w:pPr>
      <w:r>
        <w:rPr>
          <w:b/>
        </w:rPr>
        <w:t xml:space="preserve">• </w:t>
      </w:r>
      <w:r>
        <w:t>EBITDA.</w:t>
      </w:r>
    </w:p>
    <w:p>
      <w:pPr>
        <w:pStyle w:val="ListBody"/>
        <w:ind w:left="490" w:hanging="331"/>
      </w:pPr>
      <w:r>
        <w:rPr>
          <w:b/>
        </w:rPr>
        <w:t xml:space="preserve">• </w:t>
      </w:r>
      <w:r>
        <w:t>EBIT.</w:t>
      </w:r>
    </w:p>
    <w:p>
      <w:pPr>
        <w:pStyle w:val="ListBody"/>
        <w:ind w:left="490" w:hanging="331"/>
      </w:pPr>
      <w:r>
        <w:rPr>
          <w:b/>
        </w:rPr>
        <w:t xml:space="preserve">• </w:t>
      </w:r>
      <w:r>
        <w:t>Interest.</w:t>
      </w:r>
    </w:p>
    <w:p>
      <w:pPr>
        <w:pStyle w:val="ListBody"/>
        <w:ind w:left="490" w:hanging="331"/>
      </w:pPr>
      <w:r>
        <w:rPr>
          <w:b/>
        </w:rPr>
        <w:t xml:space="preserve">• </w:t>
      </w:r>
      <w:r>
        <w:t>Tax.</w:t>
      </w:r>
    </w:p>
    <w:p>
      <w:pPr>
        <w:pStyle w:val="ListBody"/>
        <w:ind w:left="490" w:hanging="331"/>
      </w:pPr>
      <w:r>
        <w:rPr>
          <w:b/>
        </w:rPr>
        <w:t xml:space="preserve">• </w:t>
      </w:r>
      <w:r>
        <w:t>PAT.</w:t>
      </w:r>
    </w:p>
    <w:p>
      <w:pPr>
        <w:pStyle w:val="ListBody"/>
        <w:ind w:left="490" w:hanging="331"/>
      </w:pPr>
      <w:r>
        <w:rPr>
          <w:b/>
        </w:rPr>
        <w:t xml:space="preserve">• </w:t>
      </w:r>
      <w:r>
        <w:t>Working capital.</w:t>
      </w:r>
    </w:p>
    <w:p>
      <w:pPr>
        <w:pStyle w:val="ListBody"/>
        <w:ind w:left="490" w:hanging="331"/>
      </w:pPr>
      <w:r>
        <w:rPr>
          <w:b/>
        </w:rPr>
        <w:t xml:space="preserve">• </w:t>
      </w:r>
      <w:r>
        <w:t>Capex.</w:t>
      </w:r>
    </w:p>
    <w:p>
      <w:pPr>
        <w:pStyle w:val="ListBody"/>
        <w:ind w:left="490" w:hanging="331"/>
      </w:pPr>
      <w:r>
        <w:rPr>
          <w:b/>
        </w:rPr>
        <w:t xml:space="preserve">• </w:t>
      </w:r>
      <w:r>
        <w:t>Debt.</w:t>
      </w:r>
    </w:p>
    <w:p>
      <w:pPr>
        <w:pStyle w:val="ListBody"/>
        <w:ind w:left="490" w:hanging="331"/>
      </w:pPr>
      <w:r>
        <w:rPr>
          <w:b/>
        </w:rPr>
        <w:t xml:space="preserve">• </w:t>
      </w:r>
      <w:r>
        <w:t>Cash.</w:t>
      </w:r>
    </w:p>
    <w:p>
      <w:pPr>
        <w:pStyle w:val="ListBody"/>
        <w:ind w:left="490" w:hanging="331"/>
      </w:pPr>
      <w:r>
        <w:rPr>
          <w:b/>
        </w:rPr>
        <w:t xml:space="preserve">• </w:t>
      </w:r>
      <w:r>
        <w:t>Shares.</w:t>
      </w:r>
    </w:p>
    <w:p>
      <w:pPr>
        <w:pStyle w:val="ListBody"/>
        <w:ind w:left="490" w:hanging="331"/>
      </w:pPr>
      <w:r>
        <w:rPr>
          <w:b/>
        </w:rPr>
        <w:t xml:space="preserve">• </w:t>
      </w:r>
      <w:r>
        <w:t>CFO.</w:t>
      </w:r>
    </w:p>
    <w:p>
      <w:pPr>
        <w:pStyle w:val="ListBody"/>
        <w:ind w:left="490" w:hanging="331"/>
      </w:pPr>
      <w:r>
        <w:rPr>
          <w:b/>
        </w:rPr>
        <w:t xml:space="preserve">• </w:t>
      </w:r>
      <w:r>
        <w:t>FCFF.</w:t>
      </w:r>
    </w:p>
    <w:p>
      <w:pPr>
        <w:pStyle w:val="ListBody"/>
        <w:ind w:left="490" w:hanging="331"/>
      </w:pPr>
      <w:r>
        <w:rPr>
          <w:b/>
        </w:rPr>
        <w:t xml:space="preserve">• </w:t>
      </w:r>
      <w:r>
        <w:t>FCFE.</w:t>
      </w:r>
    </w:p>
    <w:p>
      <w:pPr/>
      <w:r>
        <w:t>Statements must reconcile.</w:t>
      </w:r>
    </w:p>
    <w:p>
      <w:pPr>
        <w:spacing w:after="0"/>
      </w:pPr>
      <w:r/>
    </w:p>
    <w:p>
      <w:pPr>
        <w:pStyle w:val="Heading1"/>
        <w:pBdr>
          <w:bottom w:val="single" w:sz="4" w:space="5" w:color="7A9AAA"/>
        </w:pBdr>
        <w:keepNext/>
      </w:pPr>
      <w:r>
        <w:t>56. Scenario engine</w:t>
      </w:r>
    </w:p>
    <w:p>
      <w:pPr/>
      <w:r>
        <w:t>Required:</w:t>
      </w:r>
    </w:p>
    <w:p>
      <w:pPr>
        <w:pStyle w:val="ListBody"/>
        <w:ind w:left="490" w:hanging="331"/>
      </w:pPr>
      <w:r>
        <w:rPr>
          <w:b/>
        </w:rPr>
        <w:t xml:space="preserve">• </w:t>
      </w:r>
      <w:r>
        <w:t>Bear.</w:t>
      </w:r>
    </w:p>
    <w:p>
      <w:pPr>
        <w:pStyle w:val="ListBody"/>
        <w:ind w:left="490" w:hanging="331"/>
      </w:pPr>
      <w:r>
        <w:rPr>
          <w:b/>
        </w:rPr>
        <w:t xml:space="preserve">• </w:t>
      </w:r>
      <w:r>
        <w:t>Base.</w:t>
      </w:r>
    </w:p>
    <w:p>
      <w:pPr>
        <w:pStyle w:val="ListBody"/>
        <w:ind w:left="490" w:hanging="331"/>
      </w:pPr>
      <w:r>
        <w:rPr>
          <w:b/>
        </w:rPr>
        <w:t xml:space="preserve">• </w:t>
      </w:r>
      <w:r>
        <w:t>Bull.</w:t>
      </w:r>
    </w:p>
    <w:p>
      <w:pPr>
        <w:pStyle w:val="ListBody"/>
        <w:ind w:left="490" w:hanging="331"/>
      </w:pPr>
      <w:r>
        <w:rPr>
          <w:b/>
        </w:rPr>
        <w:t xml:space="preserve">• </w:t>
      </w:r>
      <w:r>
        <w:t>Severe Downside where relevant.</w:t>
      </w:r>
    </w:p>
    <w:p>
      <w:pPr>
        <w:pStyle w:val="Heading2"/>
        <w:keepNext/>
      </w:pPr>
      <w:r>
        <w:t>Weighted Fair Value</w:t>
      </w:r>
    </w:p>
    <w:p>
      <w:pPr/>
      <w:r>
        <w:t>WeightedFairValue =</w:t>
        <w:br/>
        <w:t xml:space="preserve">    sum(ScenarioProbability[s] * ScenarioFairValue[s])</w:t>
      </w:r>
    </w:p>
    <w:p>
      <w:pPr/>
      <w:r>
        <w:t>Validation:</w:t>
      </w:r>
    </w:p>
    <w:p>
      <w:pPr/>
      <w:r>
        <w:t>sum(ScenarioProbability[s]) = 1.0</w:t>
      </w:r>
    </w:p>
    <w:p>
      <w:pPr>
        <w:spacing w:after="0"/>
      </w:pPr>
      <w:r/>
    </w:p>
    <w:p>
      <w:pPr>
        <w:pStyle w:val="Heading1"/>
        <w:pBdr>
          <w:bottom w:val="single" w:sz="4" w:space="5" w:color="7A9AAA"/>
        </w:pBdr>
        <w:keepNext/>
      </w:pPr>
      <w:r>
        <w:t>57. Valuation engine</w:t>
      </w:r>
    </w:p>
    <w:p>
      <w:pPr/>
      <w:r>
        <w:t>Methods: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blHeader w:val="true"/>
        </w:trPr>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Company</w:t>
            </w:r>
          </w:p>
        </w:tc>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Methods</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Stable Company</w:t>
            </w:r>
          </w:p>
        </w:tc>
        <w:tc>
          <w:tcPr>
            <w:tcW w:type="dxa" w:w="4997"/>
            <w:vAlign w:val="center"/>
            <w:tcMar>
              <w:top w:w="55" w:type="dxa"/>
              <w:start w:w="65" w:type="dxa"/>
              <w:bottom w:w="55" w:type="dxa"/>
              <w:end w:w="65" w:type="dxa"/>
            </w:tcMar>
          </w:tcPr>
          <w:p>
            <w:pPr>
              <w:spacing w:after="0"/>
            </w:pPr>
            <w:r>
              <w:rPr>
                <w:rFonts w:ascii="Cambria" w:hAnsi="Cambria"/>
                <w:sz w:val="18"/>
              </w:rPr>
              <w:t>DCF, EV/EBIT, P/E, EV/EBITDA</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High Growth</w:t>
            </w:r>
          </w:p>
        </w:tc>
        <w:tc>
          <w:tcPr>
            <w:tcW w:type="dxa" w:w="4997"/>
            <w:vAlign w:val="center"/>
            <w:tcMar>
              <w:top w:w="55" w:type="dxa"/>
              <w:start w:w="65" w:type="dxa"/>
              <w:bottom w:w="55" w:type="dxa"/>
              <w:end w:w="65" w:type="dxa"/>
            </w:tcMar>
            <w:shd w:fill="F8FAFB"/>
          </w:tcPr>
          <w:p>
            <w:pPr>
              <w:spacing w:after="0"/>
            </w:pPr>
            <w:r>
              <w:rPr>
                <w:rFonts w:ascii="Cambria" w:hAnsi="Cambria"/>
                <w:sz w:val="18"/>
              </w:rPr>
              <w:t>Scenario DCF, Reverse DCF</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Bank/NBFC</w:t>
            </w:r>
          </w:p>
        </w:tc>
        <w:tc>
          <w:tcPr>
            <w:tcW w:type="dxa" w:w="4997"/>
            <w:vAlign w:val="center"/>
            <w:tcMar>
              <w:top w:w="55" w:type="dxa"/>
              <w:start w:w="65" w:type="dxa"/>
              <w:bottom w:w="55" w:type="dxa"/>
              <w:end w:w="65" w:type="dxa"/>
            </w:tcMar>
          </w:tcPr>
          <w:p>
            <w:pPr>
              <w:spacing w:after="0"/>
            </w:pPr>
            <w:r>
              <w:rPr>
                <w:rFonts w:ascii="Cambria" w:hAnsi="Cambria"/>
                <w:sz w:val="18"/>
              </w:rPr>
              <w:t>P/B, Residual Income, DDM</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Life Insurance</w:t>
            </w:r>
          </w:p>
        </w:tc>
        <w:tc>
          <w:tcPr>
            <w:tcW w:type="dxa" w:w="4997"/>
            <w:vAlign w:val="center"/>
            <w:tcMar>
              <w:top w:w="55" w:type="dxa"/>
              <w:start w:w="65" w:type="dxa"/>
              <w:bottom w:w="55" w:type="dxa"/>
              <w:end w:w="65" w:type="dxa"/>
            </w:tcMar>
            <w:shd w:fill="F8FAFB"/>
          </w:tcPr>
          <w:p>
            <w:pPr>
              <w:spacing w:after="0"/>
            </w:pPr>
            <w:r>
              <w:rPr>
                <w:rFonts w:ascii="Cambria" w:hAnsi="Cambria"/>
                <w:sz w:val="18"/>
              </w:rPr>
              <w:t>Embedded Value, VNB</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General Insurance</w:t>
            </w:r>
          </w:p>
        </w:tc>
        <w:tc>
          <w:tcPr>
            <w:tcW w:type="dxa" w:w="4997"/>
            <w:vAlign w:val="center"/>
            <w:tcMar>
              <w:top w:w="55" w:type="dxa"/>
              <w:start w:w="65" w:type="dxa"/>
              <w:bottom w:w="55" w:type="dxa"/>
              <w:end w:w="65" w:type="dxa"/>
            </w:tcMar>
          </w:tcPr>
          <w:p>
            <w:pPr>
              <w:spacing w:after="0"/>
            </w:pPr>
            <w:r>
              <w:rPr>
                <w:rFonts w:ascii="Cambria" w:hAnsi="Cambria"/>
                <w:sz w:val="18"/>
              </w:rPr>
              <w:t>P/B, Underwriting Value</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Cyclical</w:t>
            </w:r>
          </w:p>
        </w:tc>
        <w:tc>
          <w:tcPr>
            <w:tcW w:type="dxa" w:w="4997"/>
            <w:vAlign w:val="center"/>
            <w:tcMar>
              <w:top w:w="55" w:type="dxa"/>
              <w:start w:w="65" w:type="dxa"/>
              <w:bottom w:w="55" w:type="dxa"/>
              <w:end w:w="65" w:type="dxa"/>
            </w:tcMar>
            <w:shd w:fill="F8FAFB"/>
          </w:tcPr>
          <w:p>
            <w:pPr>
              <w:spacing w:after="0"/>
            </w:pPr>
            <w:r>
              <w:rPr>
                <w:rFonts w:ascii="Cambria" w:hAnsi="Cambria"/>
                <w:sz w:val="18"/>
              </w:rPr>
              <w:t>Mid-Cycle, Replacement Value</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Conglomerate</w:t>
            </w:r>
          </w:p>
        </w:tc>
        <w:tc>
          <w:tcPr>
            <w:tcW w:type="dxa" w:w="4997"/>
            <w:vAlign w:val="center"/>
            <w:tcMar>
              <w:top w:w="55" w:type="dxa"/>
              <w:start w:w="65" w:type="dxa"/>
              <w:bottom w:w="55" w:type="dxa"/>
              <w:end w:w="65" w:type="dxa"/>
            </w:tcMar>
          </w:tcPr>
          <w:p>
            <w:pPr>
              <w:spacing w:after="0"/>
            </w:pPr>
            <w:r>
              <w:rPr>
                <w:rFonts w:ascii="Cambria" w:hAnsi="Cambria"/>
                <w:sz w:val="18"/>
              </w:rPr>
              <w:t>SOTP</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REIT/InvIT</w:t>
            </w:r>
          </w:p>
        </w:tc>
        <w:tc>
          <w:tcPr>
            <w:tcW w:type="dxa" w:w="4997"/>
            <w:vAlign w:val="center"/>
            <w:tcMar>
              <w:top w:w="55" w:type="dxa"/>
              <w:start w:w="65" w:type="dxa"/>
              <w:bottom w:w="55" w:type="dxa"/>
              <w:end w:w="65" w:type="dxa"/>
            </w:tcMar>
            <w:shd w:fill="F8FAFB"/>
          </w:tcPr>
          <w:p>
            <w:pPr>
              <w:spacing w:after="0"/>
            </w:pPr>
            <w:r>
              <w:rPr>
                <w:rFonts w:ascii="Cambria" w:hAnsi="Cambria"/>
                <w:sz w:val="18"/>
              </w:rPr>
              <w:t>NAV, DCF, Distribution Yield</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Turnaround</w:t>
            </w:r>
          </w:p>
        </w:tc>
        <w:tc>
          <w:tcPr>
            <w:tcW w:type="dxa" w:w="4997"/>
            <w:vAlign w:val="center"/>
            <w:tcMar>
              <w:top w:w="55" w:type="dxa"/>
              <w:start w:w="65" w:type="dxa"/>
              <w:bottom w:w="55" w:type="dxa"/>
              <w:end w:w="65" w:type="dxa"/>
            </w:tcMar>
          </w:tcPr>
          <w:p>
            <w:pPr>
              <w:spacing w:after="0"/>
            </w:pPr>
            <w:r>
              <w:rPr>
                <w:rFonts w:ascii="Cambria" w:hAnsi="Cambria"/>
                <w:sz w:val="18"/>
              </w:rPr>
              <w:t>Scenario and Balance-Sheet Value</w:t>
            </w:r>
          </w:p>
        </w:tc>
      </w:tr>
    </w:tbl>
    <w:p>
      <w:pPr>
        <w:spacing w:after="20"/>
      </w:pPr>
    </w:p>
    <w:p>
      <w:pPr>
        <w:pStyle w:val="Heading2"/>
        <w:keepNext/>
      </w:pPr>
      <w:r>
        <w:t>Expected annualized return</w:t>
      </w:r>
    </w:p>
    <w:p>
      <w:pPr>
        <w:pStyle w:val="FormulaBlock"/>
        <w:shd w:fill="F5F8FA"/>
      </w:pPr>
      <w:r>
        <w:t>ExpectedValueAtHorizon =</w:t>
        <w:br/>
        <w:t xml:space="preserve">    WeightedFairValue + ExpectedDividends</w:t>
        <w:br/>
        <w:br/>
        <w:t>ExpectedAnnualizedReturn =</w:t>
        <w:br/>
        <w:t xml:space="preserve">    (ExpectedValueAtHorizon / CurrentPrice) ^ (1 / HorizonYears)</w:t>
        <w:br/>
        <w:t xml:space="preserve">    - 1</w:t>
      </w:r>
    </w:p>
    <w:p>
      <w:pPr/>
      <w:r>
        <w:t>Preconditions:</w:t>
      </w:r>
    </w:p>
    <w:p>
      <w:pPr>
        <w:pStyle w:val="ListBody"/>
        <w:ind w:left="490" w:hanging="331"/>
      </w:pPr>
      <w:r>
        <w:rPr>
          <w:b/>
        </w:rPr>
        <w:t xml:space="preserve">• </w:t>
      </w:r>
      <w:r>
        <w:t>CurrentPrice &gt; 0.</w:t>
      </w:r>
    </w:p>
    <w:p>
      <w:pPr>
        <w:pStyle w:val="ListBody"/>
        <w:ind w:left="490" w:hanging="331"/>
      </w:pPr>
      <w:r>
        <w:rPr>
          <w:b/>
        </w:rPr>
        <w:t xml:space="preserve">• </w:t>
      </w:r>
      <w:r>
        <w:t>HorizonYears &gt; 0.</w:t>
      </w:r>
    </w:p>
    <w:p>
      <w:pPr>
        <w:spacing w:after="0"/>
      </w:pPr>
      <w:r/>
    </w:p>
    <w:p>
      <w:pPr>
        <w:pStyle w:val="Heading1"/>
        <w:pBdr>
          <w:bottom w:val="single" w:sz="4" w:space="5" w:color="7A9AAA"/>
        </w:pBdr>
        <w:keepNext/>
      </w:pPr>
      <w:r>
        <w:t>58. Multi-horizon engines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blHeader w:val="true"/>
        </w:trPr>
        <w:tc>
          <w:tcPr>
            <w:tcW w:type="dxa" w:w="3331"/>
            <w:vAlign w:val="center"/>
            <w:tcMar>
              <w:top w:w="55" w:type="dxa"/>
              <w:start w:w="65" w:type="dxa"/>
              <w:bottom w:w="55" w:type="dxa"/>
              <w:end w:w="65" w:type="dxa"/>
            </w:tcMar>
            <w:shd w:fill="D9E8EF"/>
          </w:tcPr>
          <w:p>
            <w:pPr>
              <w:spacing w:after="0"/>
            </w:pPr>
            <w:r>
              <w:rPr>
                <w:rFonts w:ascii="Cambria" w:hAnsi="Cambria"/>
                <w:b/>
                <w:color w:val="163243"/>
                <w:sz w:val="18"/>
              </w:rPr>
              <w:t>Horizon</w:t>
            </w:r>
          </w:p>
        </w:tc>
        <w:tc>
          <w:tcPr>
            <w:tcW w:type="dxa" w:w="3331"/>
            <w:vAlign w:val="center"/>
            <w:tcMar>
              <w:top w:w="55" w:type="dxa"/>
              <w:start w:w="65" w:type="dxa"/>
              <w:bottom w:w="55" w:type="dxa"/>
              <w:end w:w="65" w:type="dxa"/>
            </w:tcMar>
            <w:shd w:fill="D9E8EF"/>
          </w:tcPr>
          <w:p>
            <w:pPr>
              <w:spacing w:after="0"/>
            </w:pPr>
            <w:r>
              <w:rPr>
                <w:rFonts w:ascii="Cambria" w:hAnsi="Cambria"/>
                <w:b/>
                <w:color w:val="163243"/>
                <w:sz w:val="18"/>
              </w:rPr>
              <w:t>Holding Period</w:t>
            </w:r>
          </w:p>
        </w:tc>
        <w:tc>
          <w:tcPr>
            <w:tcW w:type="dxa" w:w="3331"/>
            <w:vAlign w:val="center"/>
            <w:tcMar>
              <w:top w:w="55" w:type="dxa"/>
              <w:start w:w="65" w:type="dxa"/>
              <w:bottom w:w="55" w:type="dxa"/>
              <w:end w:w="65" w:type="dxa"/>
            </w:tcMar>
            <w:shd w:fill="D9E8EF"/>
          </w:tcPr>
          <w:p>
            <w:pPr>
              <w:spacing w:after="0"/>
            </w:pPr>
            <w:r>
              <w:rPr>
                <w:rFonts w:ascii="Cambria" w:hAnsi="Cambria"/>
                <w:b/>
                <w:color w:val="163243"/>
                <w:sz w:val="18"/>
              </w:rPr>
              <w:t>Confirmation</w:t>
            </w:r>
          </w:p>
        </w:tc>
      </w:tr>
      <w:tr>
        <w:trPr>
          <w:cantSplit/>
        </w:trPr>
        <w:tc>
          <w:tcPr>
            <w:tcW w:type="dxa" w:w="3331"/>
            <w:vAlign w:val="center"/>
            <w:tcMar>
              <w:top w:w="55" w:type="dxa"/>
              <w:start w:w="65" w:type="dxa"/>
              <w:bottom w:w="55" w:type="dxa"/>
              <w:end w:w="65" w:type="dxa"/>
            </w:tcMar>
          </w:tcPr>
          <w:p>
            <w:pPr>
              <w:spacing w:after="0"/>
            </w:pPr>
            <w:r>
              <w:rPr>
                <w:rFonts w:ascii="Cambria" w:hAnsi="Cambria"/>
                <w:sz w:val="18"/>
              </w:rPr>
              <w:t>Daily</w:t>
            </w:r>
          </w:p>
        </w:tc>
        <w:tc>
          <w:tcPr>
            <w:tcW w:type="dxa" w:w="3331"/>
            <w:vAlign w:val="center"/>
            <w:tcMar>
              <w:top w:w="55" w:type="dxa"/>
              <w:start w:w="65" w:type="dxa"/>
              <w:bottom w:w="55" w:type="dxa"/>
              <w:end w:w="65" w:type="dxa"/>
            </w:tcMar>
          </w:tcPr>
          <w:p>
            <w:pPr>
              <w:spacing w:after="0"/>
            </w:pPr>
            <w:r>
              <w:rPr>
                <w:rFonts w:ascii="Cambria" w:hAnsi="Cambria"/>
                <w:sz w:val="18"/>
              </w:rPr>
              <w:t>2–15 sessions</w:t>
            </w:r>
          </w:p>
        </w:tc>
        <w:tc>
          <w:tcPr>
            <w:tcW w:type="dxa" w:w="3331"/>
            <w:vAlign w:val="center"/>
            <w:tcMar>
              <w:top w:w="55" w:type="dxa"/>
              <w:start w:w="65" w:type="dxa"/>
              <w:bottom w:w="55" w:type="dxa"/>
              <w:end w:w="65" w:type="dxa"/>
            </w:tcMar>
          </w:tcPr>
          <w:p>
            <w:pPr>
              <w:spacing w:after="0"/>
            </w:pPr>
            <w:r>
              <w:rPr>
                <w:rFonts w:ascii="Cambria" w:hAnsi="Cambria"/>
                <w:sz w:val="18"/>
              </w:rPr>
              <w:t>Completed daily bar</w:t>
            </w:r>
          </w:p>
        </w:tc>
      </w:tr>
      <w:tr>
        <w:trPr>
          <w:cantSplit/>
        </w:trPr>
        <w:tc>
          <w:tcPr>
            <w:tcW w:type="dxa" w:w="3331"/>
            <w:vAlign w:val="center"/>
            <w:tcMar>
              <w:top w:w="55" w:type="dxa"/>
              <w:start w:w="65" w:type="dxa"/>
              <w:bottom w:w="55" w:type="dxa"/>
              <w:end w:w="65" w:type="dxa"/>
            </w:tcMar>
            <w:shd w:fill="F8FAFB"/>
          </w:tcPr>
          <w:p>
            <w:pPr>
              <w:spacing w:after="0"/>
            </w:pPr>
            <w:r>
              <w:rPr>
                <w:rFonts w:ascii="Cambria" w:hAnsi="Cambria"/>
                <w:sz w:val="18"/>
              </w:rPr>
              <w:t>Weekly</w:t>
            </w:r>
          </w:p>
        </w:tc>
        <w:tc>
          <w:tcPr>
            <w:tcW w:type="dxa" w:w="3331"/>
            <w:vAlign w:val="center"/>
            <w:tcMar>
              <w:top w:w="55" w:type="dxa"/>
              <w:start w:w="65" w:type="dxa"/>
              <w:bottom w:w="55" w:type="dxa"/>
              <w:end w:w="65" w:type="dxa"/>
            </w:tcMar>
            <w:shd w:fill="F8FAFB"/>
          </w:tcPr>
          <w:p>
            <w:pPr>
              <w:spacing w:after="0"/>
            </w:pPr>
            <w:r>
              <w:rPr>
                <w:rFonts w:ascii="Cambria" w:hAnsi="Cambria"/>
                <w:sz w:val="18"/>
              </w:rPr>
              <w:t>2–12 weeks</w:t>
            </w:r>
          </w:p>
        </w:tc>
        <w:tc>
          <w:tcPr>
            <w:tcW w:type="dxa" w:w="3331"/>
            <w:vAlign w:val="center"/>
            <w:tcMar>
              <w:top w:w="55" w:type="dxa"/>
              <w:start w:w="65" w:type="dxa"/>
              <w:bottom w:w="55" w:type="dxa"/>
              <w:end w:w="65" w:type="dxa"/>
            </w:tcMar>
            <w:shd w:fill="F8FAFB"/>
          </w:tcPr>
          <w:p>
            <w:pPr>
              <w:spacing w:after="0"/>
            </w:pPr>
            <w:r>
              <w:rPr>
                <w:rFonts w:ascii="Cambria" w:hAnsi="Cambria"/>
                <w:sz w:val="18"/>
              </w:rPr>
              <w:t>Completed week</w:t>
            </w:r>
          </w:p>
        </w:tc>
      </w:tr>
      <w:tr>
        <w:trPr>
          <w:cantSplit/>
        </w:trPr>
        <w:tc>
          <w:tcPr>
            <w:tcW w:type="dxa" w:w="3331"/>
            <w:vAlign w:val="center"/>
            <w:tcMar>
              <w:top w:w="55" w:type="dxa"/>
              <w:start w:w="65" w:type="dxa"/>
              <w:bottom w:w="55" w:type="dxa"/>
              <w:end w:w="65" w:type="dxa"/>
            </w:tcMar>
          </w:tcPr>
          <w:p>
            <w:pPr>
              <w:spacing w:after="0"/>
            </w:pPr>
            <w:r>
              <w:rPr>
                <w:rFonts w:ascii="Cambria" w:hAnsi="Cambria"/>
                <w:sz w:val="18"/>
              </w:rPr>
              <w:t>Monthly</w:t>
            </w:r>
          </w:p>
        </w:tc>
        <w:tc>
          <w:tcPr>
            <w:tcW w:type="dxa" w:w="3331"/>
            <w:vAlign w:val="center"/>
            <w:tcMar>
              <w:top w:w="55" w:type="dxa"/>
              <w:start w:w="65" w:type="dxa"/>
              <w:bottom w:w="55" w:type="dxa"/>
              <w:end w:w="65" w:type="dxa"/>
            </w:tcMar>
          </w:tcPr>
          <w:p>
            <w:pPr>
              <w:spacing w:after="0"/>
            </w:pPr>
            <w:r>
              <w:rPr>
                <w:rFonts w:ascii="Cambria" w:hAnsi="Cambria"/>
                <w:sz w:val="18"/>
              </w:rPr>
              <w:t>2–12 months</w:t>
            </w:r>
          </w:p>
        </w:tc>
        <w:tc>
          <w:tcPr>
            <w:tcW w:type="dxa" w:w="3331"/>
            <w:vAlign w:val="center"/>
            <w:tcMar>
              <w:top w:w="55" w:type="dxa"/>
              <w:start w:w="65" w:type="dxa"/>
              <w:bottom w:w="55" w:type="dxa"/>
              <w:end w:w="65" w:type="dxa"/>
            </w:tcMar>
          </w:tcPr>
          <w:p>
            <w:pPr>
              <w:spacing w:after="0"/>
            </w:pPr>
            <w:r>
              <w:rPr>
                <w:rFonts w:ascii="Cambria" w:hAnsi="Cambria"/>
                <w:sz w:val="18"/>
              </w:rPr>
              <w:t>Completed month</w:t>
            </w:r>
          </w:p>
        </w:tc>
      </w:tr>
      <w:tr>
        <w:trPr>
          <w:cantSplit/>
        </w:trPr>
        <w:tc>
          <w:tcPr>
            <w:tcW w:type="dxa" w:w="3331"/>
            <w:vAlign w:val="center"/>
            <w:tcMar>
              <w:top w:w="55" w:type="dxa"/>
              <w:start w:w="65" w:type="dxa"/>
              <w:bottom w:w="55" w:type="dxa"/>
              <w:end w:w="65" w:type="dxa"/>
            </w:tcMar>
            <w:shd w:fill="F8FAFB"/>
          </w:tcPr>
          <w:p>
            <w:pPr>
              <w:spacing w:after="0"/>
            </w:pPr>
            <w:r>
              <w:rPr>
                <w:rFonts w:ascii="Cambria" w:hAnsi="Cambria"/>
                <w:sz w:val="18"/>
              </w:rPr>
              <w:t>Medium</w:t>
            </w:r>
          </w:p>
        </w:tc>
        <w:tc>
          <w:tcPr>
            <w:tcW w:type="dxa" w:w="3331"/>
            <w:vAlign w:val="center"/>
            <w:tcMar>
              <w:top w:w="55" w:type="dxa"/>
              <w:start w:w="65" w:type="dxa"/>
              <w:bottom w:w="55" w:type="dxa"/>
              <w:end w:w="65" w:type="dxa"/>
            </w:tcMar>
            <w:shd w:fill="F8FAFB"/>
          </w:tcPr>
          <w:p>
            <w:pPr>
              <w:spacing w:after="0"/>
            </w:pPr>
            <w:r>
              <w:rPr>
                <w:rFonts w:ascii="Cambria" w:hAnsi="Cambria"/>
                <w:sz w:val="18"/>
              </w:rPr>
              <w:t>6–24 months</w:t>
            </w:r>
          </w:p>
        </w:tc>
        <w:tc>
          <w:tcPr>
            <w:tcW w:type="dxa" w:w="3331"/>
            <w:vAlign w:val="center"/>
            <w:tcMar>
              <w:top w:w="55" w:type="dxa"/>
              <w:start w:w="65" w:type="dxa"/>
              <w:bottom w:w="55" w:type="dxa"/>
              <w:end w:w="65" w:type="dxa"/>
            </w:tcMar>
            <w:shd w:fill="F8FAFB"/>
          </w:tcPr>
          <w:p>
            <w:pPr>
              <w:spacing w:after="0"/>
            </w:pPr>
            <w:r>
              <w:rPr>
                <w:rFonts w:ascii="Cambria" w:hAnsi="Cambria"/>
                <w:sz w:val="18"/>
              </w:rPr>
              <w:t>Filing/review</w:t>
            </w:r>
          </w:p>
        </w:tc>
      </w:tr>
      <w:tr>
        <w:trPr>
          <w:cantSplit/>
        </w:trPr>
        <w:tc>
          <w:tcPr>
            <w:tcW w:type="dxa" w:w="3331"/>
            <w:vAlign w:val="center"/>
            <w:tcMar>
              <w:top w:w="55" w:type="dxa"/>
              <w:start w:w="65" w:type="dxa"/>
              <w:bottom w:w="55" w:type="dxa"/>
              <w:end w:w="65" w:type="dxa"/>
            </w:tcMar>
          </w:tcPr>
          <w:p>
            <w:pPr>
              <w:spacing w:after="0"/>
            </w:pPr>
            <w:r>
              <w:rPr>
                <w:rFonts w:ascii="Cambria" w:hAnsi="Cambria"/>
                <w:sz w:val="18"/>
              </w:rPr>
              <w:t>Long</w:t>
            </w:r>
          </w:p>
        </w:tc>
        <w:tc>
          <w:tcPr>
            <w:tcW w:type="dxa" w:w="3331"/>
            <w:vAlign w:val="center"/>
            <w:tcMar>
              <w:top w:w="55" w:type="dxa"/>
              <w:start w:w="65" w:type="dxa"/>
              <w:bottom w:w="55" w:type="dxa"/>
              <w:end w:w="65" w:type="dxa"/>
            </w:tcMar>
          </w:tcPr>
          <w:p>
            <w:pPr>
              <w:spacing w:after="0"/>
            </w:pPr>
            <w:r>
              <w:rPr>
                <w:rFonts w:ascii="Cambria" w:hAnsi="Cambria"/>
                <w:sz w:val="18"/>
              </w:rPr>
              <w:t>2–5+ years</w:t>
            </w:r>
          </w:p>
        </w:tc>
        <w:tc>
          <w:tcPr>
            <w:tcW w:type="dxa" w:w="3331"/>
            <w:vAlign w:val="center"/>
            <w:tcMar>
              <w:top w:w="55" w:type="dxa"/>
              <w:start w:w="65" w:type="dxa"/>
              <w:bottom w:w="55" w:type="dxa"/>
              <w:end w:w="65" w:type="dxa"/>
            </w:tcMar>
          </w:tcPr>
          <w:p>
            <w:pPr>
              <w:spacing w:after="0"/>
            </w:pPr>
            <w:r>
              <w:rPr>
                <w:rFonts w:ascii="Cambria" w:hAnsi="Cambria"/>
                <w:sz w:val="18"/>
              </w:rPr>
              <w:t>Full research</w:t>
            </w:r>
          </w:p>
        </w:tc>
      </w:tr>
    </w:tbl>
    <w:p>
      <w:pPr>
        <w:spacing w:after="20"/>
      </w:pPr>
    </w:p>
    <w:p>
      <w:pPr>
        <w:spacing w:after="0"/>
      </w:pPr>
      <w:r/>
    </w:p>
    <w:p>
      <w:pPr>
        <w:pStyle w:val="Heading1"/>
        <w:pBdr>
          <w:bottom w:val="single" w:sz="4" w:space="5" w:color="7A9AAA"/>
        </w:pBdr>
        <w:keepNext/>
      </w:pPr>
      <w:r>
        <w:t>59. Common signal components</w:t>
      </w:r>
    </w:p>
    <w:p>
      <w:pPr>
        <w:pStyle w:val="ListBody"/>
        <w:ind w:left="490" w:hanging="331"/>
      </w:pPr>
      <w:r>
        <w:rPr>
          <w:b/>
        </w:rPr>
        <w:t xml:space="preserve">• </w:t>
      </w:r>
      <w:r>
        <w:t>Q = Fundamental Quality.</w:t>
      </w:r>
    </w:p>
    <w:p>
      <w:pPr>
        <w:pStyle w:val="ListBody"/>
        <w:ind w:left="490" w:hanging="331"/>
      </w:pPr>
      <w:r>
        <w:rPr>
          <w:b/>
        </w:rPr>
        <w:t xml:space="preserve">• </w:t>
      </w:r>
      <w:r>
        <w:t>V = Valuation.</w:t>
      </w:r>
    </w:p>
    <w:p>
      <w:pPr>
        <w:pStyle w:val="ListBody"/>
        <w:ind w:left="490" w:hanging="331"/>
      </w:pPr>
      <w:r>
        <w:rPr>
          <w:b/>
        </w:rPr>
        <w:t xml:space="preserve">• </w:t>
      </w:r>
      <w:r>
        <w:t>E = Earnings Momentum.</w:t>
      </w:r>
    </w:p>
    <w:p>
      <w:pPr>
        <w:pStyle w:val="ListBody"/>
        <w:ind w:left="490" w:hanging="331"/>
      </w:pPr>
      <w:r>
        <w:rPr>
          <w:b/>
        </w:rPr>
        <w:t xml:space="preserve">• </w:t>
      </w:r>
      <w:r>
        <w:t>T = Technical Trend.</w:t>
      </w:r>
    </w:p>
    <w:p>
      <w:pPr>
        <w:pStyle w:val="ListBody"/>
        <w:ind w:left="490" w:hanging="331"/>
      </w:pPr>
      <w:r>
        <w:rPr>
          <w:b/>
        </w:rPr>
        <w:t xml:space="preserve">• </w:t>
      </w:r>
      <w:r>
        <w:t>M = Price Momentum.</w:t>
      </w:r>
    </w:p>
    <w:p>
      <w:pPr>
        <w:pStyle w:val="ListBody"/>
        <w:ind w:left="490" w:hanging="331"/>
      </w:pPr>
      <w:r>
        <w:rPr>
          <w:b/>
        </w:rPr>
        <w:t xml:space="preserve">• </w:t>
      </w:r>
      <w:r>
        <w:t>C = Catalysts.</w:t>
      </w:r>
    </w:p>
    <w:p>
      <w:pPr>
        <w:pStyle w:val="ListBody"/>
        <w:ind w:left="490" w:hanging="331"/>
      </w:pPr>
      <w:r>
        <w:rPr>
          <w:b/>
        </w:rPr>
        <w:t xml:space="preserve">• </w:t>
      </w:r>
      <w:r>
        <w:t>R = Regime.</w:t>
      </w:r>
    </w:p>
    <w:p>
      <w:pPr>
        <w:pStyle w:val="ListBody"/>
        <w:ind w:left="490" w:hanging="331"/>
      </w:pPr>
      <w:r>
        <w:rPr>
          <w:b/>
        </w:rPr>
        <w:t xml:space="preserve">• </w:t>
      </w:r>
      <w:r>
        <w:t>L = Liquidity.</w:t>
      </w:r>
    </w:p>
    <w:p>
      <w:pPr>
        <w:pStyle w:val="ListBody"/>
        <w:ind w:left="490" w:hanging="331"/>
      </w:pPr>
      <w:r>
        <w:rPr>
          <w:b/>
        </w:rPr>
        <w:t xml:space="preserve">• </w:t>
      </w:r>
      <w:r>
        <w:t>P = Thesis Persistence.</w:t>
      </w:r>
    </w:p>
    <w:p>
      <w:pPr>
        <w:spacing w:after="0"/>
      </w:pPr>
      <w:r/>
    </w:p>
    <w:p>
      <w:pPr>
        <w:pStyle w:val="Heading1"/>
        <w:pBdr>
          <w:bottom w:val="single" w:sz="4" w:space="5" w:color="7A9AAA"/>
        </w:pBdr>
        <w:keepNext/>
      </w:pPr>
      <w:r>
        <w:t>60. Horizon weights</w:t>
      </w:r>
    </w:p>
    <w:tbl>
      <w:tblPr>
        <w:tblStyle w:val="TableGrid"/>
        <w:tblW w:type="auto" w:w="0"/>
        <w:jc w:val="center"/>
        <w:tblLayout w:type="autofit"/>
        <w:tblLook w:firstColumn="1" w:firstRow="1" w:lastColumn="0" w:lastRow="0" w:noHBand="0" w:noVBand="1" w:val="04A0"/>
      </w:tblPr>
      <w:tblGrid>
        <w:gridCol w:w="1666"/>
        <w:gridCol w:w="1666"/>
        <w:gridCol w:w="1666"/>
        <w:gridCol w:w="1666"/>
        <w:gridCol w:w="1666"/>
        <w:gridCol w:w="1666"/>
      </w:tblGrid>
      <w:tr>
        <w:trPr>
          <w:tblHeader w:val="true"/>
          <w:cantSplit/>
          <w:tblHeader w:val="true"/>
        </w:trPr>
        <w:tc>
          <w:tcPr>
            <w:tcW w:type="dxa" w:w="1666"/>
            <w:vAlign w:val="center"/>
            <w:tcMar>
              <w:top w:w="55" w:type="dxa"/>
              <w:start w:w="65" w:type="dxa"/>
              <w:bottom w:w="55" w:type="dxa"/>
              <w:end w:w="65" w:type="dxa"/>
            </w:tcMar>
            <w:shd w:fill="D9E8EF"/>
          </w:tcPr>
          <w:p>
            <w:pPr>
              <w:spacing w:after="0"/>
            </w:pPr>
            <w:r>
              <w:rPr>
                <w:rFonts w:ascii="Cambria" w:hAnsi="Cambria"/>
                <w:b/>
                <w:color w:val="163243"/>
                <w:sz w:val="17"/>
              </w:rPr>
              <w:t>Component</w:t>
            </w:r>
          </w:p>
        </w:tc>
        <w:tc>
          <w:tcPr>
            <w:tcW w:type="dxa" w:w="1666"/>
            <w:vAlign w:val="center"/>
            <w:tcMar>
              <w:top w:w="55" w:type="dxa"/>
              <w:start w:w="65" w:type="dxa"/>
              <w:bottom w:w="55" w:type="dxa"/>
              <w:end w:w="65" w:type="dxa"/>
            </w:tcMar>
            <w:shd w:fill="D9E8EF"/>
          </w:tcPr>
          <w:p>
            <w:pPr>
              <w:spacing w:after="0"/>
            </w:pPr>
            <w:r>
              <w:rPr>
                <w:rFonts w:ascii="Cambria" w:hAnsi="Cambria"/>
                <w:b/>
                <w:color w:val="163243"/>
                <w:sz w:val="17"/>
              </w:rPr>
              <w:t>Daily</w:t>
            </w:r>
          </w:p>
        </w:tc>
        <w:tc>
          <w:tcPr>
            <w:tcW w:type="dxa" w:w="1666"/>
            <w:vAlign w:val="center"/>
            <w:tcMar>
              <w:top w:w="55" w:type="dxa"/>
              <w:start w:w="65" w:type="dxa"/>
              <w:bottom w:w="55" w:type="dxa"/>
              <w:end w:w="65" w:type="dxa"/>
            </w:tcMar>
            <w:shd w:fill="D9E8EF"/>
          </w:tcPr>
          <w:p>
            <w:pPr>
              <w:spacing w:after="0"/>
            </w:pPr>
            <w:r>
              <w:rPr>
                <w:rFonts w:ascii="Cambria" w:hAnsi="Cambria"/>
                <w:b/>
                <w:color w:val="163243"/>
                <w:sz w:val="17"/>
              </w:rPr>
              <w:t>Weekly</w:t>
            </w:r>
          </w:p>
        </w:tc>
        <w:tc>
          <w:tcPr>
            <w:tcW w:type="dxa" w:w="1666"/>
            <w:vAlign w:val="center"/>
            <w:tcMar>
              <w:top w:w="55" w:type="dxa"/>
              <w:start w:w="65" w:type="dxa"/>
              <w:bottom w:w="55" w:type="dxa"/>
              <w:end w:w="65" w:type="dxa"/>
            </w:tcMar>
            <w:shd w:fill="D9E8EF"/>
          </w:tcPr>
          <w:p>
            <w:pPr>
              <w:spacing w:after="0"/>
            </w:pPr>
            <w:r>
              <w:rPr>
                <w:rFonts w:ascii="Cambria" w:hAnsi="Cambria"/>
                <w:b/>
                <w:color w:val="163243"/>
                <w:sz w:val="17"/>
              </w:rPr>
              <w:t>Monthly</w:t>
            </w:r>
          </w:p>
        </w:tc>
        <w:tc>
          <w:tcPr>
            <w:tcW w:type="dxa" w:w="1666"/>
            <w:vAlign w:val="center"/>
            <w:tcMar>
              <w:top w:w="55" w:type="dxa"/>
              <w:start w:w="65" w:type="dxa"/>
              <w:bottom w:w="55" w:type="dxa"/>
              <w:end w:w="65" w:type="dxa"/>
            </w:tcMar>
            <w:shd w:fill="D9E8EF"/>
          </w:tcPr>
          <w:p>
            <w:pPr>
              <w:spacing w:after="0"/>
            </w:pPr>
            <w:r>
              <w:rPr>
                <w:rFonts w:ascii="Cambria" w:hAnsi="Cambria"/>
                <w:b/>
                <w:color w:val="163243"/>
                <w:sz w:val="17"/>
              </w:rPr>
              <w:t>Medium</w:t>
            </w:r>
          </w:p>
        </w:tc>
        <w:tc>
          <w:tcPr>
            <w:tcW w:type="dxa" w:w="1666"/>
            <w:vAlign w:val="center"/>
            <w:tcMar>
              <w:top w:w="55" w:type="dxa"/>
              <w:start w:w="65" w:type="dxa"/>
              <w:bottom w:w="55" w:type="dxa"/>
              <w:end w:w="65" w:type="dxa"/>
            </w:tcMar>
            <w:shd w:fill="D9E8EF"/>
          </w:tcPr>
          <w:p>
            <w:pPr>
              <w:spacing w:after="0"/>
            </w:pPr>
            <w:r>
              <w:rPr>
                <w:rFonts w:ascii="Cambria" w:hAnsi="Cambria"/>
                <w:b/>
                <w:color w:val="163243"/>
                <w:sz w:val="17"/>
              </w:rPr>
              <w:t>Long</w:t>
            </w:r>
          </w:p>
        </w:tc>
      </w:tr>
      <w:tr>
        <w:trPr>
          <w:cantSplit/>
        </w:trPr>
        <w:tc>
          <w:tcPr>
            <w:tcW w:type="dxa" w:w="1666"/>
            <w:vAlign w:val="center"/>
            <w:tcMar>
              <w:top w:w="55" w:type="dxa"/>
              <w:start w:w="65" w:type="dxa"/>
              <w:bottom w:w="55" w:type="dxa"/>
              <w:end w:w="65" w:type="dxa"/>
            </w:tcMar>
          </w:tcPr>
          <w:p>
            <w:pPr>
              <w:spacing w:after="0"/>
            </w:pPr>
            <w:r>
              <w:rPr>
                <w:rFonts w:ascii="Cambria" w:hAnsi="Cambria"/>
                <w:sz w:val="17"/>
              </w:rPr>
              <w:t>Q</w:t>
            </w:r>
          </w:p>
        </w:tc>
        <w:tc>
          <w:tcPr>
            <w:tcW w:type="dxa" w:w="1666"/>
            <w:vAlign w:val="center"/>
            <w:tcMar>
              <w:top w:w="55" w:type="dxa"/>
              <w:start w:w="65" w:type="dxa"/>
              <w:bottom w:w="55" w:type="dxa"/>
              <w:end w:w="65" w:type="dxa"/>
            </w:tcMar>
          </w:tcPr>
          <w:p>
            <w:pPr>
              <w:spacing w:after="0"/>
            </w:pPr>
            <w:r>
              <w:rPr>
                <w:rFonts w:ascii="Cambria" w:hAnsi="Cambria"/>
                <w:sz w:val="17"/>
              </w:rPr>
              <w:t>10</w:t>
            </w:r>
          </w:p>
        </w:tc>
        <w:tc>
          <w:tcPr>
            <w:tcW w:type="dxa" w:w="1666"/>
            <w:vAlign w:val="center"/>
            <w:tcMar>
              <w:top w:w="55" w:type="dxa"/>
              <w:start w:w="65" w:type="dxa"/>
              <w:bottom w:w="55" w:type="dxa"/>
              <w:end w:w="65" w:type="dxa"/>
            </w:tcMar>
          </w:tcPr>
          <w:p>
            <w:pPr>
              <w:spacing w:after="0"/>
            </w:pPr>
            <w:r>
              <w:rPr>
                <w:rFonts w:ascii="Cambria" w:hAnsi="Cambria"/>
                <w:sz w:val="17"/>
              </w:rPr>
              <w:t>20</w:t>
            </w:r>
          </w:p>
        </w:tc>
        <w:tc>
          <w:tcPr>
            <w:tcW w:type="dxa" w:w="1666"/>
            <w:vAlign w:val="center"/>
            <w:tcMar>
              <w:top w:w="55" w:type="dxa"/>
              <w:start w:w="65" w:type="dxa"/>
              <w:bottom w:w="55" w:type="dxa"/>
              <w:end w:w="65" w:type="dxa"/>
            </w:tcMar>
          </w:tcPr>
          <w:p>
            <w:pPr>
              <w:spacing w:after="0"/>
            </w:pPr>
            <w:r>
              <w:rPr>
                <w:rFonts w:ascii="Cambria" w:hAnsi="Cambria"/>
                <w:sz w:val="17"/>
              </w:rPr>
              <w:t>30</w:t>
            </w:r>
          </w:p>
        </w:tc>
        <w:tc>
          <w:tcPr>
            <w:tcW w:type="dxa" w:w="1666"/>
            <w:vAlign w:val="center"/>
            <w:tcMar>
              <w:top w:w="55" w:type="dxa"/>
              <w:start w:w="65" w:type="dxa"/>
              <w:bottom w:w="55" w:type="dxa"/>
              <w:end w:w="65" w:type="dxa"/>
            </w:tcMar>
          </w:tcPr>
          <w:p>
            <w:pPr>
              <w:spacing w:after="0"/>
            </w:pPr>
            <w:r>
              <w:rPr>
                <w:rFonts w:ascii="Cambria" w:hAnsi="Cambria"/>
                <w:sz w:val="17"/>
              </w:rPr>
              <w:t>30</w:t>
            </w:r>
          </w:p>
        </w:tc>
        <w:tc>
          <w:tcPr>
            <w:tcW w:type="dxa" w:w="1666"/>
            <w:vAlign w:val="center"/>
            <w:tcMar>
              <w:top w:w="55" w:type="dxa"/>
              <w:start w:w="65" w:type="dxa"/>
              <w:bottom w:w="55" w:type="dxa"/>
              <w:end w:w="65" w:type="dxa"/>
            </w:tcMar>
          </w:tcPr>
          <w:p>
            <w:pPr>
              <w:spacing w:after="0"/>
            </w:pPr>
            <w:r>
              <w:rPr>
                <w:rFonts w:ascii="Cambria" w:hAnsi="Cambria"/>
                <w:sz w:val="17"/>
              </w:rPr>
              <w:t>35</w:t>
            </w:r>
          </w:p>
        </w:tc>
      </w:tr>
      <w:tr>
        <w:trPr>
          <w:cantSplit/>
        </w:trPr>
        <w:tc>
          <w:tcPr>
            <w:tcW w:type="dxa" w:w="1666"/>
            <w:vAlign w:val="center"/>
            <w:tcMar>
              <w:top w:w="55" w:type="dxa"/>
              <w:start w:w="65" w:type="dxa"/>
              <w:bottom w:w="55" w:type="dxa"/>
              <w:end w:w="65" w:type="dxa"/>
            </w:tcMar>
            <w:shd w:fill="F8FAFB"/>
          </w:tcPr>
          <w:p>
            <w:pPr>
              <w:spacing w:after="0"/>
            </w:pPr>
            <w:r>
              <w:rPr>
                <w:rFonts w:ascii="Cambria" w:hAnsi="Cambria"/>
                <w:sz w:val="17"/>
              </w:rPr>
              <w:t>V</w:t>
            </w:r>
          </w:p>
        </w:tc>
        <w:tc>
          <w:tcPr>
            <w:tcW w:type="dxa" w:w="1666"/>
            <w:vAlign w:val="center"/>
            <w:tcMar>
              <w:top w:w="55" w:type="dxa"/>
              <w:start w:w="65" w:type="dxa"/>
              <w:bottom w:w="55" w:type="dxa"/>
              <w:end w:w="65" w:type="dxa"/>
            </w:tcMar>
            <w:shd w:fill="F8FAFB"/>
          </w:tcPr>
          <w:p>
            <w:pPr>
              <w:spacing w:after="0"/>
            </w:pPr>
            <w:r>
              <w:rPr>
                <w:rFonts w:ascii="Cambria" w:hAnsi="Cambria"/>
                <w:sz w:val="17"/>
              </w:rPr>
              <w:t>5</w:t>
            </w:r>
          </w:p>
        </w:tc>
        <w:tc>
          <w:tcPr>
            <w:tcW w:type="dxa" w:w="1666"/>
            <w:vAlign w:val="center"/>
            <w:tcMar>
              <w:top w:w="55" w:type="dxa"/>
              <w:start w:w="65" w:type="dxa"/>
              <w:bottom w:w="55" w:type="dxa"/>
              <w:end w:w="65" w:type="dxa"/>
            </w:tcMar>
            <w:shd w:fill="F8FAFB"/>
          </w:tcPr>
          <w:p>
            <w:pPr>
              <w:spacing w:after="0"/>
            </w:pPr>
            <w:r>
              <w:rPr>
                <w:rFonts w:ascii="Cambria" w:hAnsi="Cambria"/>
                <w:sz w:val="17"/>
              </w:rPr>
              <w:t>10</w:t>
            </w:r>
          </w:p>
        </w:tc>
        <w:tc>
          <w:tcPr>
            <w:tcW w:type="dxa" w:w="1666"/>
            <w:vAlign w:val="center"/>
            <w:tcMar>
              <w:top w:w="55" w:type="dxa"/>
              <w:start w:w="65" w:type="dxa"/>
              <w:bottom w:w="55" w:type="dxa"/>
              <w:end w:w="65" w:type="dxa"/>
            </w:tcMar>
            <w:shd w:fill="F8FAFB"/>
          </w:tcPr>
          <w:p>
            <w:pPr>
              <w:spacing w:after="0"/>
            </w:pPr>
            <w:r>
              <w:rPr>
                <w:rFonts w:ascii="Cambria" w:hAnsi="Cambria"/>
                <w:sz w:val="17"/>
              </w:rPr>
              <w:t>15</w:t>
            </w:r>
          </w:p>
        </w:tc>
        <w:tc>
          <w:tcPr>
            <w:tcW w:type="dxa" w:w="1666"/>
            <w:vAlign w:val="center"/>
            <w:tcMar>
              <w:top w:w="55" w:type="dxa"/>
              <w:start w:w="65" w:type="dxa"/>
              <w:bottom w:w="55" w:type="dxa"/>
              <w:end w:w="65" w:type="dxa"/>
            </w:tcMar>
            <w:shd w:fill="F8FAFB"/>
          </w:tcPr>
          <w:p>
            <w:pPr>
              <w:spacing w:after="0"/>
            </w:pPr>
            <w:r>
              <w:rPr>
                <w:rFonts w:ascii="Cambria" w:hAnsi="Cambria"/>
                <w:sz w:val="17"/>
              </w:rPr>
              <w:t>20</w:t>
            </w:r>
          </w:p>
        </w:tc>
        <w:tc>
          <w:tcPr>
            <w:tcW w:type="dxa" w:w="1666"/>
            <w:vAlign w:val="center"/>
            <w:tcMar>
              <w:top w:w="55" w:type="dxa"/>
              <w:start w:w="65" w:type="dxa"/>
              <w:bottom w:w="55" w:type="dxa"/>
              <w:end w:w="65" w:type="dxa"/>
            </w:tcMar>
            <w:shd w:fill="F8FAFB"/>
          </w:tcPr>
          <w:p>
            <w:pPr>
              <w:spacing w:after="0"/>
            </w:pPr>
            <w:r>
              <w:rPr>
                <w:rFonts w:ascii="Cambria" w:hAnsi="Cambria"/>
                <w:sz w:val="17"/>
              </w:rPr>
              <w:t>25</w:t>
            </w:r>
          </w:p>
        </w:tc>
      </w:tr>
      <w:tr>
        <w:trPr>
          <w:cantSplit/>
        </w:trPr>
        <w:tc>
          <w:tcPr>
            <w:tcW w:type="dxa" w:w="1666"/>
            <w:vAlign w:val="center"/>
            <w:tcMar>
              <w:top w:w="55" w:type="dxa"/>
              <w:start w:w="65" w:type="dxa"/>
              <w:bottom w:w="55" w:type="dxa"/>
              <w:end w:w="65" w:type="dxa"/>
            </w:tcMar>
          </w:tcPr>
          <w:p>
            <w:pPr>
              <w:spacing w:after="0"/>
            </w:pPr>
            <w:r>
              <w:rPr>
                <w:rFonts w:ascii="Cambria" w:hAnsi="Cambria"/>
                <w:sz w:val="17"/>
              </w:rPr>
              <w:t>E</w:t>
            </w:r>
          </w:p>
        </w:tc>
        <w:tc>
          <w:tcPr>
            <w:tcW w:type="dxa" w:w="1666"/>
            <w:vAlign w:val="center"/>
            <w:tcMar>
              <w:top w:w="55" w:type="dxa"/>
              <w:start w:w="65" w:type="dxa"/>
              <w:bottom w:w="55" w:type="dxa"/>
              <w:end w:w="65" w:type="dxa"/>
            </w:tcMar>
          </w:tcPr>
          <w:p>
            <w:pPr>
              <w:spacing w:after="0"/>
            </w:pPr>
            <w:r>
              <w:rPr>
                <w:rFonts w:ascii="Cambria" w:hAnsi="Cambria"/>
                <w:sz w:val="17"/>
              </w:rPr>
              <w:t>10</w:t>
            </w:r>
          </w:p>
        </w:tc>
        <w:tc>
          <w:tcPr>
            <w:tcW w:type="dxa" w:w="1666"/>
            <w:vAlign w:val="center"/>
            <w:tcMar>
              <w:top w:w="55" w:type="dxa"/>
              <w:start w:w="65" w:type="dxa"/>
              <w:bottom w:w="55" w:type="dxa"/>
              <w:end w:w="65" w:type="dxa"/>
            </w:tcMar>
          </w:tcPr>
          <w:p>
            <w:pPr>
              <w:spacing w:after="0"/>
            </w:pPr>
            <w:r>
              <w:rPr>
                <w:rFonts w:ascii="Cambria" w:hAnsi="Cambria"/>
                <w:sz w:val="17"/>
              </w:rPr>
              <w:t>15</w:t>
            </w:r>
          </w:p>
        </w:tc>
        <w:tc>
          <w:tcPr>
            <w:tcW w:type="dxa" w:w="1666"/>
            <w:vAlign w:val="center"/>
            <w:tcMar>
              <w:top w:w="55" w:type="dxa"/>
              <w:start w:w="65" w:type="dxa"/>
              <w:bottom w:w="55" w:type="dxa"/>
              <w:end w:w="65" w:type="dxa"/>
            </w:tcMar>
          </w:tcPr>
          <w:p>
            <w:pPr>
              <w:spacing w:after="0"/>
            </w:pPr>
            <w:r>
              <w:rPr>
                <w:rFonts w:ascii="Cambria" w:hAnsi="Cambria"/>
                <w:sz w:val="17"/>
              </w:rPr>
              <w:t>15</w:t>
            </w:r>
          </w:p>
        </w:tc>
        <w:tc>
          <w:tcPr>
            <w:tcW w:type="dxa" w:w="1666"/>
            <w:vAlign w:val="center"/>
            <w:tcMar>
              <w:top w:w="55" w:type="dxa"/>
              <w:start w:w="65" w:type="dxa"/>
              <w:bottom w:w="55" w:type="dxa"/>
              <w:end w:w="65" w:type="dxa"/>
            </w:tcMar>
          </w:tcPr>
          <w:p>
            <w:pPr>
              <w:spacing w:after="0"/>
            </w:pPr>
            <w:r>
              <w:rPr>
                <w:rFonts w:ascii="Cambria" w:hAnsi="Cambria"/>
                <w:sz w:val="17"/>
              </w:rPr>
              <w:t>15</w:t>
            </w:r>
          </w:p>
        </w:tc>
        <w:tc>
          <w:tcPr>
            <w:tcW w:type="dxa" w:w="1666"/>
            <w:vAlign w:val="center"/>
            <w:tcMar>
              <w:top w:w="55" w:type="dxa"/>
              <w:start w:w="65" w:type="dxa"/>
              <w:bottom w:w="55" w:type="dxa"/>
              <w:end w:w="65" w:type="dxa"/>
            </w:tcMar>
          </w:tcPr>
          <w:p>
            <w:pPr>
              <w:spacing w:after="0"/>
            </w:pPr>
            <w:r>
              <w:rPr>
                <w:rFonts w:ascii="Cambria" w:hAnsi="Cambria"/>
                <w:sz w:val="17"/>
              </w:rPr>
              <w:t>10</w:t>
            </w:r>
          </w:p>
        </w:tc>
      </w:tr>
      <w:tr>
        <w:trPr>
          <w:cantSplit/>
        </w:trPr>
        <w:tc>
          <w:tcPr>
            <w:tcW w:type="dxa" w:w="1666"/>
            <w:vAlign w:val="center"/>
            <w:tcMar>
              <w:top w:w="55" w:type="dxa"/>
              <w:start w:w="65" w:type="dxa"/>
              <w:bottom w:w="55" w:type="dxa"/>
              <w:end w:w="65" w:type="dxa"/>
            </w:tcMar>
            <w:shd w:fill="F8FAFB"/>
          </w:tcPr>
          <w:p>
            <w:pPr>
              <w:spacing w:after="0"/>
            </w:pPr>
            <w:r>
              <w:rPr>
                <w:rFonts w:ascii="Cambria" w:hAnsi="Cambria"/>
                <w:sz w:val="17"/>
              </w:rPr>
              <w:t>T</w:t>
            </w:r>
          </w:p>
        </w:tc>
        <w:tc>
          <w:tcPr>
            <w:tcW w:type="dxa" w:w="1666"/>
            <w:vAlign w:val="center"/>
            <w:tcMar>
              <w:top w:w="55" w:type="dxa"/>
              <w:start w:w="65" w:type="dxa"/>
              <w:bottom w:w="55" w:type="dxa"/>
              <w:end w:w="65" w:type="dxa"/>
            </w:tcMar>
            <w:shd w:fill="F8FAFB"/>
          </w:tcPr>
          <w:p>
            <w:pPr>
              <w:spacing w:after="0"/>
            </w:pPr>
            <w:r>
              <w:rPr>
                <w:rFonts w:ascii="Cambria" w:hAnsi="Cambria"/>
                <w:sz w:val="17"/>
              </w:rPr>
              <w:t>30</w:t>
            </w:r>
          </w:p>
        </w:tc>
        <w:tc>
          <w:tcPr>
            <w:tcW w:type="dxa" w:w="1666"/>
            <w:vAlign w:val="center"/>
            <w:tcMar>
              <w:top w:w="55" w:type="dxa"/>
              <w:start w:w="65" w:type="dxa"/>
              <w:bottom w:w="55" w:type="dxa"/>
              <w:end w:w="65" w:type="dxa"/>
            </w:tcMar>
            <w:shd w:fill="F8FAFB"/>
          </w:tcPr>
          <w:p>
            <w:pPr>
              <w:spacing w:after="0"/>
            </w:pPr>
            <w:r>
              <w:rPr>
                <w:rFonts w:ascii="Cambria" w:hAnsi="Cambria"/>
                <w:sz w:val="17"/>
              </w:rPr>
              <w:t>20</w:t>
            </w:r>
          </w:p>
        </w:tc>
        <w:tc>
          <w:tcPr>
            <w:tcW w:type="dxa" w:w="1666"/>
            <w:vAlign w:val="center"/>
            <w:tcMar>
              <w:top w:w="55" w:type="dxa"/>
              <w:start w:w="65" w:type="dxa"/>
              <w:bottom w:w="55" w:type="dxa"/>
              <w:end w:w="65" w:type="dxa"/>
            </w:tcMar>
            <w:shd w:fill="F8FAFB"/>
          </w:tcPr>
          <w:p>
            <w:pPr>
              <w:spacing w:after="0"/>
            </w:pPr>
            <w:r>
              <w:rPr>
                <w:rFonts w:ascii="Cambria" w:hAnsi="Cambria"/>
                <w:sz w:val="17"/>
              </w:rPr>
              <w:t>10</w:t>
            </w:r>
          </w:p>
        </w:tc>
        <w:tc>
          <w:tcPr>
            <w:tcW w:type="dxa" w:w="1666"/>
            <w:vAlign w:val="center"/>
            <w:tcMar>
              <w:top w:w="55" w:type="dxa"/>
              <w:start w:w="65" w:type="dxa"/>
              <w:bottom w:w="55" w:type="dxa"/>
              <w:end w:w="65" w:type="dxa"/>
            </w:tcMar>
            <w:shd w:fill="F8FAFB"/>
          </w:tcPr>
          <w:p>
            <w:pPr>
              <w:spacing w:after="0"/>
            </w:pPr>
            <w:r>
              <w:rPr>
                <w:rFonts w:ascii="Cambria" w:hAnsi="Cambria"/>
                <w:sz w:val="17"/>
              </w:rPr>
              <w:t>5</w:t>
            </w:r>
          </w:p>
        </w:tc>
        <w:tc>
          <w:tcPr>
            <w:tcW w:type="dxa" w:w="1666"/>
            <w:vAlign w:val="center"/>
            <w:tcMar>
              <w:top w:w="55" w:type="dxa"/>
              <w:start w:w="65" w:type="dxa"/>
              <w:bottom w:w="55" w:type="dxa"/>
              <w:end w:w="65" w:type="dxa"/>
            </w:tcMar>
            <w:shd w:fill="F8FAFB"/>
          </w:tcPr>
          <w:p>
            <w:pPr>
              <w:spacing w:after="0"/>
            </w:pPr>
            <w:r>
              <w:rPr>
                <w:rFonts w:ascii="Cambria" w:hAnsi="Cambria"/>
                <w:sz w:val="17"/>
              </w:rPr>
              <w:t>2</w:t>
            </w:r>
          </w:p>
        </w:tc>
      </w:tr>
      <w:tr>
        <w:trPr>
          <w:cantSplit/>
        </w:trPr>
        <w:tc>
          <w:tcPr>
            <w:tcW w:type="dxa" w:w="1666"/>
            <w:vAlign w:val="center"/>
            <w:tcMar>
              <w:top w:w="55" w:type="dxa"/>
              <w:start w:w="65" w:type="dxa"/>
              <w:bottom w:w="55" w:type="dxa"/>
              <w:end w:w="65" w:type="dxa"/>
            </w:tcMar>
          </w:tcPr>
          <w:p>
            <w:pPr>
              <w:spacing w:after="0"/>
            </w:pPr>
            <w:r>
              <w:rPr>
                <w:rFonts w:ascii="Cambria" w:hAnsi="Cambria"/>
                <w:sz w:val="17"/>
              </w:rPr>
              <w:t>M</w:t>
            </w:r>
          </w:p>
        </w:tc>
        <w:tc>
          <w:tcPr>
            <w:tcW w:type="dxa" w:w="1666"/>
            <w:vAlign w:val="center"/>
            <w:tcMar>
              <w:top w:w="55" w:type="dxa"/>
              <w:start w:w="65" w:type="dxa"/>
              <w:bottom w:w="55" w:type="dxa"/>
              <w:end w:w="65" w:type="dxa"/>
            </w:tcMar>
          </w:tcPr>
          <w:p>
            <w:pPr>
              <w:spacing w:after="0"/>
            </w:pPr>
            <w:r>
              <w:rPr>
                <w:rFonts w:ascii="Cambria" w:hAnsi="Cambria"/>
                <w:sz w:val="17"/>
              </w:rPr>
              <w:t>20</w:t>
            </w:r>
          </w:p>
        </w:tc>
        <w:tc>
          <w:tcPr>
            <w:tcW w:type="dxa" w:w="1666"/>
            <w:vAlign w:val="center"/>
            <w:tcMar>
              <w:top w:w="55" w:type="dxa"/>
              <w:start w:w="65" w:type="dxa"/>
              <w:bottom w:w="55" w:type="dxa"/>
              <w:end w:w="65" w:type="dxa"/>
            </w:tcMar>
          </w:tcPr>
          <w:p>
            <w:pPr>
              <w:spacing w:after="0"/>
            </w:pPr>
            <w:r>
              <w:rPr>
                <w:rFonts w:ascii="Cambria" w:hAnsi="Cambria"/>
                <w:sz w:val="17"/>
              </w:rPr>
              <w:t>15</w:t>
            </w:r>
          </w:p>
        </w:tc>
        <w:tc>
          <w:tcPr>
            <w:tcW w:type="dxa" w:w="1666"/>
            <w:vAlign w:val="center"/>
            <w:tcMar>
              <w:top w:w="55" w:type="dxa"/>
              <w:start w:w="65" w:type="dxa"/>
              <w:bottom w:w="55" w:type="dxa"/>
              <w:end w:w="65" w:type="dxa"/>
            </w:tcMar>
          </w:tcPr>
          <w:p>
            <w:pPr>
              <w:spacing w:after="0"/>
            </w:pPr>
            <w:r>
              <w:rPr>
                <w:rFonts w:ascii="Cambria" w:hAnsi="Cambria"/>
                <w:sz w:val="17"/>
              </w:rPr>
              <w:t>10</w:t>
            </w:r>
          </w:p>
        </w:tc>
        <w:tc>
          <w:tcPr>
            <w:tcW w:type="dxa" w:w="1666"/>
            <w:vAlign w:val="center"/>
            <w:tcMar>
              <w:top w:w="55" w:type="dxa"/>
              <w:start w:w="65" w:type="dxa"/>
              <w:bottom w:w="55" w:type="dxa"/>
              <w:end w:w="65" w:type="dxa"/>
            </w:tcMar>
          </w:tcPr>
          <w:p>
            <w:pPr>
              <w:spacing w:after="0"/>
            </w:pPr>
            <w:r>
              <w:rPr>
                <w:rFonts w:ascii="Cambria" w:hAnsi="Cambria"/>
                <w:sz w:val="17"/>
              </w:rPr>
              <w:t>5</w:t>
            </w:r>
          </w:p>
        </w:tc>
        <w:tc>
          <w:tcPr>
            <w:tcW w:type="dxa" w:w="1666"/>
            <w:vAlign w:val="center"/>
            <w:tcMar>
              <w:top w:w="55" w:type="dxa"/>
              <w:start w:w="65" w:type="dxa"/>
              <w:bottom w:w="55" w:type="dxa"/>
              <w:end w:w="65" w:type="dxa"/>
            </w:tcMar>
          </w:tcPr>
          <w:p>
            <w:pPr>
              <w:spacing w:after="0"/>
            </w:pPr>
            <w:r>
              <w:rPr>
                <w:rFonts w:ascii="Cambria" w:hAnsi="Cambria"/>
                <w:sz w:val="17"/>
              </w:rPr>
              <w:t>3</w:t>
            </w:r>
          </w:p>
        </w:tc>
      </w:tr>
      <w:tr>
        <w:trPr>
          <w:cantSplit/>
        </w:trPr>
        <w:tc>
          <w:tcPr>
            <w:tcW w:type="dxa" w:w="1666"/>
            <w:vAlign w:val="center"/>
            <w:tcMar>
              <w:top w:w="55" w:type="dxa"/>
              <w:start w:w="65" w:type="dxa"/>
              <w:bottom w:w="55" w:type="dxa"/>
              <w:end w:w="65" w:type="dxa"/>
            </w:tcMar>
            <w:shd w:fill="F8FAFB"/>
          </w:tcPr>
          <w:p>
            <w:pPr>
              <w:spacing w:after="0"/>
            </w:pPr>
            <w:r>
              <w:rPr>
                <w:rFonts w:ascii="Cambria" w:hAnsi="Cambria"/>
                <w:sz w:val="17"/>
              </w:rPr>
              <w:t>C</w:t>
            </w:r>
          </w:p>
        </w:tc>
        <w:tc>
          <w:tcPr>
            <w:tcW w:type="dxa" w:w="1666"/>
            <w:vAlign w:val="center"/>
            <w:tcMar>
              <w:top w:w="55" w:type="dxa"/>
              <w:start w:w="65" w:type="dxa"/>
              <w:bottom w:w="55" w:type="dxa"/>
              <w:end w:w="65" w:type="dxa"/>
            </w:tcMar>
            <w:shd w:fill="F8FAFB"/>
          </w:tcPr>
          <w:p>
            <w:pPr>
              <w:spacing w:after="0"/>
            </w:pPr>
            <w:r>
              <w:rPr>
                <w:rFonts w:ascii="Cambria" w:hAnsi="Cambria"/>
                <w:sz w:val="17"/>
              </w:rPr>
              <w:t>10</w:t>
            </w:r>
          </w:p>
        </w:tc>
        <w:tc>
          <w:tcPr>
            <w:tcW w:type="dxa" w:w="1666"/>
            <w:vAlign w:val="center"/>
            <w:tcMar>
              <w:top w:w="55" w:type="dxa"/>
              <w:start w:w="65" w:type="dxa"/>
              <w:bottom w:w="55" w:type="dxa"/>
              <w:end w:w="65" w:type="dxa"/>
            </w:tcMar>
            <w:shd w:fill="F8FAFB"/>
          </w:tcPr>
          <w:p>
            <w:pPr>
              <w:spacing w:after="0"/>
            </w:pPr>
            <w:r>
              <w:rPr>
                <w:rFonts w:ascii="Cambria" w:hAnsi="Cambria"/>
                <w:sz w:val="17"/>
              </w:rPr>
              <w:t>5</w:t>
            </w:r>
          </w:p>
        </w:tc>
        <w:tc>
          <w:tcPr>
            <w:tcW w:type="dxa" w:w="1666"/>
            <w:vAlign w:val="center"/>
            <w:tcMar>
              <w:top w:w="55" w:type="dxa"/>
              <w:start w:w="65" w:type="dxa"/>
              <w:bottom w:w="55" w:type="dxa"/>
              <w:end w:w="65" w:type="dxa"/>
            </w:tcMar>
            <w:shd w:fill="F8FAFB"/>
          </w:tcPr>
          <w:p>
            <w:pPr>
              <w:spacing w:after="0"/>
            </w:pPr>
            <w:r>
              <w:rPr>
                <w:rFonts w:ascii="Cambria" w:hAnsi="Cambria"/>
                <w:sz w:val="17"/>
              </w:rPr>
              <w:t>5</w:t>
            </w:r>
          </w:p>
        </w:tc>
        <w:tc>
          <w:tcPr>
            <w:tcW w:type="dxa" w:w="1666"/>
            <w:vAlign w:val="center"/>
            <w:tcMar>
              <w:top w:w="55" w:type="dxa"/>
              <w:start w:w="65" w:type="dxa"/>
              <w:bottom w:w="55" w:type="dxa"/>
              <w:end w:w="65" w:type="dxa"/>
            </w:tcMar>
            <w:shd w:fill="F8FAFB"/>
          </w:tcPr>
          <w:p>
            <w:pPr>
              <w:spacing w:after="0"/>
            </w:pPr>
            <w:r>
              <w:rPr>
                <w:rFonts w:ascii="Cambria" w:hAnsi="Cambria"/>
                <w:sz w:val="17"/>
              </w:rPr>
              <w:t>10</w:t>
            </w:r>
          </w:p>
        </w:tc>
        <w:tc>
          <w:tcPr>
            <w:tcW w:type="dxa" w:w="1666"/>
            <w:vAlign w:val="center"/>
            <w:tcMar>
              <w:top w:w="55" w:type="dxa"/>
              <w:start w:w="65" w:type="dxa"/>
              <w:bottom w:w="55" w:type="dxa"/>
              <w:end w:w="65" w:type="dxa"/>
            </w:tcMar>
            <w:shd w:fill="F8FAFB"/>
          </w:tcPr>
          <w:p>
            <w:pPr>
              <w:spacing w:after="0"/>
            </w:pPr>
            <w:r>
              <w:rPr>
                <w:rFonts w:ascii="Cambria" w:hAnsi="Cambria"/>
                <w:sz w:val="17"/>
              </w:rPr>
              <w:t>5</w:t>
            </w:r>
          </w:p>
        </w:tc>
      </w:tr>
      <w:tr>
        <w:trPr>
          <w:cantSplit/>
        </w:trPr>
        <w:tc>
          <w:tcPr>
            <w:tcW w:type="dxa" w:w="1666"/>
            <w:vAlign w:val="center"/>
            <w:tcMar>
              <w:top w:w="55" w:type="dxa"/>
              <w:start w:w="65" w:type="dxa"/>
              <w:bottom w:w="55" w:type="dxa"/>
              <w:end w:w="65" w:type="dxa"/>
            </w:tcMar>
          </w:tcPr>
          <w:p>
            <w:pPr>
              <w:spacing w:after="0"/>
            </w:pPr>
            <w:r>
              <w:rPr>
                <w:rFonts w:ascii="Cambria" w:hAnsi="Cambria"/>
                <w:sz w:val="17"/>
              </w:rPr>
              <w:t>R</w:t>
            </w:r>
          </w:p>
        </w:tc>
        <w:tc>
          <w:tcPr>
            <w:tcW w:type="dxa" w:w="1666"/>
            <w:vAlign w:val="center"/>
            <w:tcMar>
              <w:top w:w="55" w:type="dxa"/>
              <w:start w:w="65" w:type="dxa"/>
              <w:bottom w:w="55" w:type="dxa"/>
              <w:end w:w="65" w:type="dxa"/>
            </w:tcMar>
          </w:tcPr>
          <w:p>
            <w:pPr>
              <w:spacing w:after="0"/>
            </w:pPr>
            <w:r>
              <w:rPr>
                <w:rFonts w:ascii="Cambria" w:hAnsi="Cambria"/>
                <w:sz w:val="17"/>
              </w:rPr>
              <w:t>10</w:t>
            </w:r>
          </w:p>
        </w:tc>
        <w:tc>
          <w:tcPr>
            <w:tcW w:type="dxa" w:w="1666"/>
            <w:vAlign w:val="center"/>
            <w:tcMar>
              <w:top w:w="55" w:type="dxa"/>
              <w:start w:w="65" w:type="dxa"/>
              <w:bottom w:w="55" w:type="dxa"/>
              <w:end w:w="65" w:type="dxa"/>
            </w:tcMar>
          </w:tcPr>
          <w:p>
            <w:pPr>
              <w:spacing w:after="0"/>
            </w:pPr>
            <w:r>
              <w:rPr>
                <w:rFonts w:ascii="Cambria" w:hAnsi="Cambria"/>
                <w:sz w:val="17"/>
              </w:rPr>
              <w:t>10</w:t>
            </w:r>
          </w:p>
        </w:tc>
        <w:tc>
          <w:tcPr>
            <w:tcW w:type="dxa" w:w="1666"/>
            <w:vAlign w:val="center"/>
            <w:tcMar>
              <w:top w:w="55" w:type="dxa"/>
              <w:start w:w="65" w:type="dxa"/>
              <w:bottom w:w="55" w:type="dxa"/>
              <w:end w:w="65" w:type="dxa"/>
            </w:tcMar>
          </w:tcPr>
          <w:p>
            <w:pPr>
              <w:spacing w:after="0"/>
            </w:pPr>
            <w:r>
              <w:rPr>
                <w:rFonts w:ascii="Cambria" w:hAnsi="Cambria"/>
                <w:sz w:val="17"/>
              </w:rPr>
              <w:t>10</w:t>
            </w:r>
          </w:p>
        </w:tc>
        <w:tc>
          <w:tcPr>
            <w:tcW w:type="dxa" w:w="1666"/>
            <w:vAlign w:val="center"/>
            <w:tcMar>
              <w:top w:w="55" w:type="dxa"/>
              <w:start w:w="65" w:type="dxa"/>
              <w:bottom w:w="55" w:type="dxa"/>
              <w:end w:w="65" w:type="dxa"/>
            </w:tcMar>
          </w:tcPr>
          <w:p>
            <w:pPr>
              <w:spacing w:after="0"/>
            </w:pPr>
            <w:r>
              <w:rPr>
                <w:rFonts w:ascii="Cambria" w:hAnsi="Cambria"/>
                <w:sz w:val="17"/>
              </w:rPr>
              <w:t>5</w:t>
            </w:r>
          </w:p>
        </w:tc>
        <w:tc>
          <w:tcPr>
            <w:tcW w:type="dxa" w:w="1666"/>
            <w:vAlign w:val="center"/>
            <w:tcMar>
              <w:top w:w="55" w:type="dxa"/>
              <w:start w:w="65" w:type="dxa"/>
              <w:bottom w:w="55" w:type="dxa"/>
              <w:end w:w="65" w:type="dxa"/>
            </w:tcMar>
          </w:tcPr>
          <w:p>
            <w:pPr>
              <w:spacing w:after="0"/>
            </w:pPr>
            <w:r>
              <w:rPr>
                <w:rFonts w:ascii="Cambria" w:hAnsi="Cambria"/>
                <w:sz w:val="17"/>
              </w:rPr>
              <w:t>5</w:t>
            </w:r>
          </w:p>
        </w:tc>
      </w:tr>
      <w:tr>
        <w:trPr>
          <w:cantSplit/>
        </w:trPr>
        <w:tc>
          <w:tcPr>
            <w:tcW w:type="dxa" w:w="1666"/>
            <w:vAlign w:val="center"/>
            <w:tcMar>
              <w:top w:w="55" w:type="dxa"/>
              <w:start w:w="65" w:type="dxa"/>
              <w:bottom w:w="55" w:type="dxa"/>
              <w:end w:w="65" w:type="dxa"/>
            </w:tcMar>
            <w:shd w:fill="F8FAFB"/>
          </w:tcPr>
          <w:p>
            <w:pPr>
              <w:spacing w:after="0"/>
            </w:pPr>
            <w:r>
              <w:rPr>
                <w:rFonts w:ascii="Cambria" w:hAnsi="Cambria"/>
                <w:sz w:val="17"/>
              </w:rPr>
              <w:t>L</w:t>
            </w:r>
          </w:p>
        </w:tc>
        <w:tc>
          <w:tcPr>
            <w:tcW w:type="dxa" w:w="1666"/>
            <w:vAlign w:val="center"/>
            <w:tcMar>
              <w:top w:w="55" w:type="dxa"/>
              <w:start w:w="65" w:type="dxa"/>
              <w:bottom w:w="55" w:type="dxa"/>
              <w:end w:w="65" w:type="dxa"/>
            </w:tcMar>
            <w:shd w:fill="F8FAFB"/>
          </w:tcPr>
          <w:p>
            <w:pPr>
              <w:spacing w:after="0"/>
            </w:pPr>
            <w:r>
              <w:rPr>
                <w:rFonts w:ascii="Cambria" w:hAnsi="Cambria"/>
                <w:sz w:val="17"/>
              </w:rPr>
              <w:t>5</w:t>
            </w:r>
          </w:p>
        </w:tc>
        <w:tc>
          <w:tcPr>
            <w:tcW w:type="dxa" w:w="1666"/>
            <w:vAlign w:val="center"/>
            <w:tcMar>
              <w:top w:w="55" w:type="dxa"/>
              <w:start w:w="65" w:type="dxa"/>
              <w:bottom w:w="55" w:type="dxa"/>
              <w:end w:w="65" w:type="dxa"/>
            </w:tcMar>
            <w:shd w:fill="F8FAFB"/>
          </w:tcPr>
          <w:p>
            <w:pPr>
              <w:spacing w:after="0"/>
            </w:pPr>
            <w:r>
              <w:rPr>
                <w:rFonts w:ascii="Cambria" w:hAnsi="Cambria"/>
                <w:sz w:val="17"/>
              </w:rPr>
              <w:t>5</w:t>
            </w:r>
          </w:p>
        </w:tc>
        <w:tc>
          <w:tcPr>
            <w:tcW w:type="dxa" w:w="1666"/>
            <w:vAlign w:val="center"/>
            <w:tcMar>
              <w:top w:w="55" w:type="dxa"/>
              <w:start w:w="65" w:type="dxa"/>
              <w:bottom w:w="55" w:type="dxa"/>
              <w:end w:w="65" w:type="dxa"/>
            </w:tcMar>
            <w:shd w:fill="F8FAFB"/>
          </w:tcPr>
          <w:p>
            <w:pPr>
              <w:spacing w:after="0"/>
            </w:pPr>
            <w:r>
              <w:rPr>
                <w:rFonts w:ascii="Cambria" w:hAnsi="Cambria"/>
                <w:sz w:val="17"/>
              </w:rPr>
              <w:t>5</w:t>
            </w:r>
          </w:p>
        </w:tc>
        <w:tc>
          <w:tcPr>
            <w:tcW w:type="dxa" w:w="1666"/>
            <w:vAlign w:val="center"/>
            <w:tcMar>
              <w:top w:w="55" w:type="dxa"/>
              <w:start w:w="65" w:type="dxa"/>
              <w:bottom w:w="55" w:type="dxa"/>
              <w:end w:w="65" w:type="dxa"/>
            </w:tcMar>
            <w:shd w:fill="F8FAFB"/>
          </w:tcPr>
          <w:p>
            <w:pPr>
              <w:spacing w:after="0"/>
            </w:pPr>
            <w:r>
              <w:rPr>
                <w:rFonts w:ascii="Cambria" w:hAnsi="Cambria"/>
                <w:sz w:val="17"/>
              </w:rPr>
              <w:t>5</w:t>
            </w:r>
          </w:p>
        </w:tc>
        <w:tc>
          <w:tcPr>
            <w:tcW w:type="dxa" w:w="1666"/>
            <w:vAlign w:val="center"/>
            <w:tcMar>
              <w:top w:w="55" w:type="dxa"/>
              <w:start w:w="65" w:type="dxa"/>
              <w:bottom w:w="55" w:type="dxa"/>
              <w:end w:w="65" w:type="dxa"/>
            </w:tcMar>
            <w:shd w:fill="F8FAFB"/>
          </w:tcPr>
          <w:p>
            <w:pPr>
              <w:spacing w:after="0"/>
            </w:pPr>
            <w:r>
              <w:rPr>
                <w:rFonts w:ascii="Cambria" w:hAnsi="Cambria"/>
                <w:sz w:val="17"/>
              </w:rPr>
              <w:t>5</w:t>
            </w:r>
          </w:p>
        </w:tc>
      </w:tr>
      <w:tr>
        <w:trPr>
          <w:cantSplit/>
        </w:trPr>
        <w:tc>
          <w:tcPr>
            <w:tcW w:type="dxa" w:w="1666"/>
            <w:vAlign w:val="center"/>
            <w:tcMar>
              <w:top w:w="55" w:type="dxa"/>
              <w:start w:w="65" w:type="dxa"/>
              <w:bottom w:w="55" w:type="dxa"/>
              <w:end w:w="65" w:type="dxa"/>
            </w:tcMar>
          </w:tcPr>
          <w:p>
            <w:pPr>
              <w:spacing w:after="0"/>
            </w:pPr>
            <w:r>
              <w:rPr>
                <w:rFonts w:ascii="Cambria" w:hAnsi="Cambria"/>
                <w:sz w:val="17"/>
              </w:rPr>
              <w:t>P</w:t>
            </w:r>
          </w:p>
        </w:tc>
        <w:tc>
          <w:tcPr>
            <w:tcW w:type="dxa" w:w="1666"/>
            <w:vAlign w:val="center"/>
            <w:tcMar>
              <w:top w:w="55" w:type="dxa"/>
              <w:start w:w="65" w:type="dxa"/>
              <w:bottom w:w="55" w:type="dxa"/>
              <w:end w:w="65" w:type="dxa"/>
            </w:tcMar>
          </w:tcPr>
          <w:p>
            <w:pPr>
              <w:spacing w:after="0"/>
            </w:pPr>
            <w:r>
              <w:rPr>
                <w:rFonts w:ascii="Cambria" w:hAnsi="Cambria"/>
                <w:sz w:val="17"/>
              </w:rPr>
              <w:t>0</w:t>
            </w:r>
          </w:p>
        </w:tc>
        <w:tc>
          <w:tcPr>
            <w:tcW w:type="dxa" w:w="1666"/>
            <w:vAlign w:val="center"/>
            <w:tcMar>
              <w:top w:w="55" w:type="dxa"/>
              <w:start w:w="65" w:type="dxa"/>
              <w:bottom w:w="55" w:type="dxa"/>
              <w:end w:w="65" w:type="dxa"/>
            </w:tcMar>
          </w:tcPr>
          <w:p>
            <w:pPr>
              <w:spacing w:after="0"/>
            </w:pPr>
            <w:r>
              <w:rPr>
                <w:rFonts w:ascii="Cambria" w:hAnsi="Cambria"/>
                <w:sz w:val="17"/>
              </w:rPr>
              <w:t>0</w:t>
            </w:r>
          </w:p>
        </w:tc>
        <w:tc>
          <w:tcPr>
            <w:tcW w:type="dxa" w:w="1666"/>
            <w:vAlign w:val="center"/>
            <w:tcMar>
              <w:top w:w="55" w:type="dxa"/>
              <w:start w:w="65" w:type="dxa"/>
              <w:bottom w:w="55" w:type="dxa"/>
              <w:end w:w="65" w:type="dxa"/>
            </w:tcMar>
          </w:tcPr>
          <w:p>
            <w:pPr>
              <w:spacing w:after="0"/>
            </w:pPr>
            <w:r>
              <w:rPr>
                <w:rFonts w:ascii="Cambria" w:hAnsi="Cambria"/>
                <w:sz w:val="17"/>
              </w:rPr>
              <w:t>0</w:t>
            </w:r>
          </w:p>
        </w:tc>
        <w:tc>
          <w:tcPr>
            <w:tcW w:type="dxa" w:w="1666"/>
            <w:vAlign w:val="center"/>
            <w:tcMar>
              <w:top w:w="55" w:type="dxa"/>
              <w:start w:w="65" w:type="dxa"/>
              <w:bottom w:w="55" w:type="dxa"/>
              <w:end w:w="65" w:type="dxa"/>
            </w:tcMar>
          </w:tcPr>
          <w:p>
            <w:pPr>
              <w:spacing w:after="0"/>
            </w:pPr>
            <w:r>
              <w:rPr>
                <w:rFonts w:ascii="Cambria" w:hAnsi="Cambria"/>
                <w:sz w:val="17"/>
              </w:rPr>
              <w:t>5</w:t>
            </w:r>
          </w:p>
        </w:tc>
        <w:tc>
          <w:tcPr>
            <w:tcW w:type="dxa" w:w="1666"/>
            <w:vAlign w:val="center"/>
            <w:tcMar>
              <w:top w:w="55" w:type="dxa"/>
              <w:start w:w="65" w:type="dxa"/>
              <w:bottom w:w="55" w:type="dxa"/>
              <w:end w:w="65" w:type="dxa"/>
            </w:tcMar>
          </w:tcPr>
          <w:p>
            <w:pPr>
              <w:spacing w:after="0"/>
            </w:pPr>
            <w:r>
              <w:rPr>
                <w:rFonts w:ascii="Cambria" w:hAnsi="Cambria"/>
                <w:sz w:val="17"/>
              </w:rPr>
              <w:t>10</w:t>
            </w:r>
          </w:p>
        </w:tc>
      </w:tr>
    </w:tbl>
    <w:p>
      <w:pPr>
        <w:spacing w:after="20"/>
      </w:pPr>
    </w:p>
    <w:p>
      <w:pPr>
        <w:spacing w:after="0"/>
      </w:pPr>
      <w:r/>
    </w:p>
    <w:p>
      <w:pPr>
        <w:pStyle w:val="Heading1"/>
        <w:pBdr>
          <w:bottom w:val="single" w:sz="4" w:space="5" w:color="7A9AAA"/>
        </w:pBdr>
        <w:keepNext/>
      </w:pPr>
      <w:r>
        <w:t>61. Horizon Signal Score</w:t>
      </w:r>
    </w:p>
    <w:p>
      <w:pPr>
        <w:pStyle w:val="FormulaBlock"/>
        <w:shd w:fill="F5F8FA"/>
      </w:pPr>
      <w:r>
        <w:t>RawHorizonScore =</w:t>
        <w:br/>
        <w:t xml:space="preserve">    sum(HorizonWeight[k] * ComponentScore[k])</w:t>
        <w:br/>
        <w:t xml:space="preserve">    / sum(HorizonWeight[k])</w:t>
      </w:r>
    </w:p>
    <w:p>
      <w:pPr>
        <w:spacing w:after="0"/>
      </w:pPr>
      <w:r/>
    </w:p>
    <w:p>
      <w:pPr>
        <w:pStyle w:val="Heading1"/>
        <w:pBdr>
          <w:bottom w:val="single" w:sz="4" w:space="5" w:color="7A9AAA"/>
        </w:pBdr>
        <w:keepNext/>
      </w:pPr>
      <w:r>
        <w:t>62. Signal Confidence</w:t>
      </w:r>
    </w:p>
    <w:p>
      <w:pPr/>
      <w:r>
        <w:t>Confidence components:</w:t>
      </w:r>
    </w:p>
    <w:p>
      <w:pPr>
        <w:pStyle w:val="ListBody"/>
        <w:ind w:left="490" w:hanging="331"/>
      </w:pPr>
      <w:r>
        <w:rPr>
          <w:b/>
        </w:rPr>
        <w:t xml:space="preserve">• </w:t>
      </w:r>
      <w:r>
        <w:t>Data Confidence.</w:t>
      </w:r>
    </w:p>
    <w:p>
      <w:pPr>
        <w:pStyle w:val="ListBody"/>
        <w:ind w:left="490" w:hanging="331"/>
      </w:pPr>
      <w:r>
        <w:rPr>
          <w:b/>
        </w:rPr>
        <w:t xml:space="preserve">• </w:t>
      </w:r>
      <w:r>
        <w:t>Model Confidence.</w:t>
      </w:r>
    </w:p>
    <w:p>
      <w:pPr>
        <w:pStyle w:val="ListBody"/>
        <w:ind w:left="490" w:hanging="331"/>
      </w:pPr>
      <w:r>
        <w:rPr>
          <w:b/>
        </w:rPr>
        <w:t xml:space="preserve">• </w:t>
      </w:r>
      <w:r>
        <w:t>Regime Confidence.</w:t>
      </w:r>
    </w:p>
    <w:p>
      <w:pPr>
        <w:pStyle w:val="ListBody"/>
        <w:ind w:left="490" w:hanging="331"/>
      </w:pPr>
      <w:r>
        <w:rPr>
          <w:b/>
        </w:rPr>
        <w:t xml:space="preserve">• </w:t>
      </w:r>
      <w:r>
        <w:t>Liquidity Confidence.</w:t>
      </w:r>
    </w:p>
    <w:p>
      <w:pPr>
        <w:pStyle w:val="ListBody"/>
        <w:ind w:left="490" w:hanging="331"/>
      </w:pPr>
      <w:r>
        <w:rPr>
          <w:b/>
        </w:rPr>
        <w:t xml:space="preserve">• </w:t>
      </w:r>
      <w:r>
        <w:t>Research Confidence.</w:t>
      </w:r>
    </w:p>
    <w:p>
      <w:pPr>
        <w:pStyle w:val="ListBody"/>
        <w:ind w:left="490" w:hanging="331"/>
      </w:pPr>
      <w:r>
        <w:rPr>
          <w:b/>
        </w:rPr>
        <w:t xml:space="preserve">• </w:t>
      </w:r>
      <w:r>
        <w:t>Feature Coverage.</w:t>
      </w:r>
    </w:p>
    <w:p>
      <w:pPr>
        <w:pStyle w:val="ListBody"/>
        <w:ind w:left="490" w:hanging="331"/>
      </w:pPr>
      <w:r>
        <w:rPr>
          <w:b/>
        </w:rPr>
        <w:t xml:space="preserve">• </w:t>
      </w:r>
      <w:r>
        <w:t>Signal Stability.</w:t>
      </w:r>
    </w:p>
    <w:p>
      <w:pPr>
        <w:pStyle w:val="Heading2"/>
        <w:keepNext/>
      </w:pPr>
      <w:r>
        <w:t>Geometric mean</w:t>
      </w:r>
    </w:p>
    <w:p>
      <w:pPr>
        <w:pStyle w:val="FormulaBlock"/>
        <w:shd w:fill="F5F8FA"/>
      </w:pPr>
      <w:r>
        <w:t>ConfidenceProduct =</w:t>
        <w:br/>
        <w:t xml:space="preserve">    product(ConfidenceComponent[j] / 100)</w:t>
        <w:br/>
        <w:br/>
        <w:t>SignalConfidence =</w:t>
        <w:br/>
        <w:t xml:space="preserve">    100 * ConfidenceProduct ^ (1 / NumberOfComponents)</w:t>
      </w:r>
    </w:p>
    <w:p>
      <w:pPr/>
      <w:r>
        <w:t>Preconditions:</w:t>
      </w:r>
    </w:p>
    <w:p>
      <w:pPr>
        <w:pStyle w:val="ListBody"/>
        <w:ind w:left="490" w:hanging="331"/>
      </w:pPr>
      <w:r>
        <w:rPr>
          <w:b/>
        </w:rPr>
        <w:t xml:space="preserve">• </w:t>
      </w:r>
      <w:r>
        <w:t>NumberOfComponents &gt; 0.</w:t>
      </w:r>
    </w:p>
    <w:p>
      <w:pPr>
        <w:pStyle w:val="ListBody"/>
        <w:ind w:left="490" w:hanging="331"/>
      </w:pPr>
      <w:r>
        <w:rPr>
          <w:b/>
        </w:rPr>
        <w:t xml:space="preserve">• </w:t>
      </w:r>
      <w:r>
        <w:t>Each component clipped to 0–100.</w:t>
      </w:r>
    </w:p>
    <w:p>
      <w:pPr>
        <w:spacing w:after="0"/>
      </w:pPr>
      <w:r/>
    </w:p>
    <w:p>
      <w:pPr>
        <w:pStyle w:val="Heading1"/>
        <w:pBdr>
          <w:bottom w:val="single" w:sz="4" w:space="5" w:color="7A9AAA"/>
        </w:pBdr>
        <w:keepNext/>
      </w:pPr>
      <w:r>
        <w:t>63. Final horizon score</w:t>
      </w:r>
    </w:p>
    <w:p>
      <w:pPr/>
      <w:r>
        <w:t>ConfidenceAdjustedHSS =</w:t>
        <w:br/>
        <w:t xml:space="preserve">    50</w:t>
        <w:br/>
        <w:t xml:space="preserve">    + (RawHorizonScore - 50)</w:t>
        <w:br/>
        <w:t xml:space="preserve">      * (SignalConfidence / 100)</w:t>
        <w:br/>
        <w:br/>
        <w:t>PenalizedHSS =</w:t>
        <w:br/>
        <w:t xml:space="preserve">    ConfidenceAdjustedHSS</w:t>
        <w:br/>
        <w:t xml:space="preserve">    - StalePenalty</w:t>
        <w:br/>
        <w:t xml:space="preserve">    - EventPenalty</w:t>
        <w:br/>
        <w:t xml:space="preserve">    - RiskPenalty</w:t>
        <w:br/>
        <w:br/>
        <w:t>FinalHSS =</w:t>
        <w:br/>
        <w:t xml:space="preserve">    min(PenalizedHSS, HardGateCap)</w:t>
      </w:r>
    </w:p>
    <w:p>
      <w:pPr/>
      <w:r>
        <w:t>Output clipped to 0–100.</w:t>
      </w:r>
    </w:p>
    <w:p>
      <w:pPr>
        <w:spacing w:after="0"/>
      </w:pPr>
      <w:r/>
    </w:p>
    <w:p>
      <w:pPr>
        <w:pStyle w:val="Heading1"/>
        <w:pBdr>
          <w:bottom w:val="single" w:sz="4" w:space="5" w:color="7A9AAA"/>
        </w:pBdr>
        <w:keepNext/>
      </w:pPr>
      <w:r>
        <w:t>64. Signal states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blHeader w:val="true"/>
        </w:trPr>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Score</w:t>
            </w:r>
          </w:p>
        </w:tc>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State</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85–100</w:t>
            </w:r>
          </w:p>
        </w:tc>
        <w:tc>
          <w:tcPr>
            <w:tcW w:type="dxa" w:w="4997"/>
            <w:vAlign w:val="center"/>
            <w:tcMar>
              <w:top w:w="55" w:type="dxa"/>
              <w:start w:w="65" w:type="dxa"/>
              <w:bottom w:w="55" w:type="dxa"/>
              <w:end w:w="65" w:type="dxa"/>
            </w:tcMar>
          </w:tcPr>
          <w:p>
            <w:pPr>
              <w:spacing w:after="0"/>
            </w:pPr>
            <w:r>
              <w:rPr>
                <w:rFonts w:ascii="Cambria" w:hAnsi="Cambria"/>
                <w:sz w:val="18"/>
              </w:rPr>
              <w:t>Strong Buy</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75–84.99</w:t>
            </w:r>
          </w:p>
        </w:tc>
        <w:tc>
          <w:tcPr>
            <w:tcW w:type="dxa" w:w="4997"/>
            <w:vAlign w:val="center"/>
            <w:tcMar>
              <w:top w:w="55" w:type="dxa"/>
              <w:start w:w="65" w:type="dxa"/>
              <w:bottom w:w="55" w:type="dxa"/>
              <w:end w:w="65" w:type="dxa"/>
            </w:tcMar>
            <w:shd w:fill="F8FAFB"/>
          </w:tcPr>
          <w:p>
            <w:pPr>
              <w:spacing w:after="0"/>
            </w:pPr>
            <w:r>
              <w:rPr>
                <w:rFonts w:ascii="Cambria" w:hAnsi="Cambria"/>
                <w:sz w:val="18"/>
              </w:rPr>
              <w:t>Buy</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68–74.99</w:t>
            </w:r>
          </w:p>
        </w:tc>
        <w:tc>
          <w:tcPr>
            <w:tcW w:type="dxa" w:w="4997"/>
            <w:vAlign w:val="center"/>
            <w:tcMar>
              <w:top w:w="55" w:type="dxa"/>
              <w:start w:w="65" w:type="dxa"/>
              <w:bottom w:w="55" w:type="dxa"/>
              <w:end w:w="65" w:type="dxa"/>
            </w:tcMar>
          </w:tcPr>
          <w:p>
            <w:pPr>
              <w:spacing w:after="0"/>
            </w:pPr>
            <w:r>
              <w:rPr>
                <w:rFonts w:ascii="Cambria" w:hAnsi="Cambria"/>
                <w:sz w:val="18"/>
              </w:rPr>
              <w:t>Accumulate</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58–67.99</w:t>
            </w:r>
          </w:p>
        </w:tc>
        <w:tc>
          <w:tcPr>
            <w:tcW w:type="dxa" w:w="4997"/>
            <w:vAlign w:val="center"/>
            <w:tcMar>
              <w:top w:w="55" w:type="dxa"/>
              <w:start w:w="65" w:type="dxa"/>
              <w:bottom w:w="55" w:type="dxa"/>
              <w:end w:w="65" w:type="dxa"/>
            </w:tcMar>
            <w:shd w:fill="F8FAFB"/>
          </w:tcPr>
          <w:p>
            <w:pPr>
              <w:spacing w:after="0"/>
            </w:pPr>
            <w:r>
              <w:rPr>
                <w:rFonts w:ascii="Cambria" w:hAnsi="Cambria"/>
                <w:sz w:val="18"/>
              </w:rPr>
              <w:t>Watch</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45–57.99</w:t>
            </w:r>
          </w:p>
        </w:tc>
        <w:tc>
          <w:tcPr>
            <w:tcW w:type="dxa" w:w="4997"/>
            <w:vAlign w:val="center"/>
            <w:tcMar>
              <w:top w:w="55" w:type="dxa"/>
              <w:start w:w="65" w:type="dxa"/>
              <w:bottom w:w="55" w:type="dxa"/>
              <w:end w:w="65" w:type="dxa"/>
            </w:tcMar>
          </w:tcPr>
          <w:p>
            <w:pPr>
              <w:spacing w:after="0"/>
            </w:pPr>
            <w:r>
              <w:rPr>
                <w:rFonts w:ascii="Cambria" w:hAnsi="Cambria"/>
                <w:sz w:val="18"/>
              </w:rPr>
              <w:t>Hold</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35–44.99</w:t>
            </w:r>
          </w:p>
        </w:tc>
        <w:tc>
          <w:tcPr>
            <w:tcW w:type="dxa" w:w="4997"/>
            <w:vAlign w:val="center"/>
            <w:tcMar>
              <w:top w:w="55" w:type="dxa"/>
              <w:start w:w="65" w:type="dxa"/>
              <w:bottom w:w="55" w:type="dxa"/>
              <w:end w:w="65" w:type="dxa"/>
            </w:tcMar>
            <w:shd w:fill="F8FAFB"/>
          </w:tcPr>
          <w:p>
            <w:pPr>
              <w:spacing w:after="0"/>
            </w:pPr>
            <w:r>
              <w:rPr>
                <w:rFonts w:ascii="Cambria" w:hAnsi="Cambria"/>
                <w:sz w:val="18"/>
              </w:rPr>
              <w:t>Reduce</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Below 35</w:t>
            </w:r>
          </w:p>
        </w:tc>
        <w:tc>
          <w:tcPr>
            <w:tcW w:type="dxa" w:w="4997"/>
            <w:vAlign w:val="center"/>
            <w:tcMar>
              <w:top w:w="55" w:type="dxa"/>
              <w:start w:w="65" w:type="dxa"/>
              <w:bottom w:w="55" w:type="dxa"/>
              <w:end w:w="65" w:type="dxa"/>
            </w:tcMar>
          </w:tcPr>
          <w:p>
            <w:pPr>
              <w:spacing w:after="0"/>
            </w:pPr>
            <w:r>
              <w:rPr>
                <w:rFonts w:ascii="Cambria" w:hAnsi="Cambria"/>
                <w:sz w:val="18"/>
              </w:rPr>
              <w:t>Exit/Avoid</w:t>
            </w:r>
          </w:p>
        </w:tc>
      </w:tr>
    </w:tbl>
    <w:p>
      <w:pPr>
        <w:spacing w:after="20"/>
      </w:pPr>
    </w:p>
    <w:p>
      <w:pPr/>
      <w:r>
        <w:t>Thresholds are configurable per horizon.</w:t>
      </w:r>
    </w:p>
    <w:p>
      <w:pPr>
        <w:spacing w:after="0"/>
      </w:pPr>
      <w:r/>
    </w:p>
    <w:p>
      <w:pPr>
        <w:pStyle w:val="Heading1"/>
        <w:pBdr>
          <w:bottom w:val="single" w:sz="4" w:space="5" w:color="7A9AAA"/>
        </w:pBdr>
        <w:keepNext/>
      </w:pPr>
      <w:r>
        <w:t>65. State machine</w:t>
      </w:r>
    </w:p>
    <w:p>
      <w:pPr/>
      <w:r>
        <w:t>NOT_ELIGIBLE</w:t>
        <w:br/>
        <w:t xml:space="preserve">    -&gt;</w:t>
        <w:br/>
        <w:t>INSUFFICIENT_DATA</w:t>
        <w:br/>
        <w:t xml:space="preserve">    -&gt;</w:t>
        <w:br/>
        <w:t>WATCH</w:t>
        <w:br/>
        <w:t xml:space="preserve">    -&gt;</w:t>
        <w:br/>
        <w:t>READY</w:t>
        <w:br/>
        <w:t xml:space="preserve">    -&gt;</w:t>
        <w:br/>
        <w:t>ENTRY_PENDING</w:t>
        <w:br/>
        <w:t xml:space="preserve">    -&gt;</w:t>
        <w:br/>
        <w:t>ACTIVE</w:t>
        <w:br/>
        <w:t xml:space="preserve">    -&gt;</w:t>
        <w:br/>
        <w:t>ACCUMULATE_OR_HOLD</w:t>
        <w:br/>
        <w:t xml:space="preserve">    -&gt;</w:t>
        <w:br/>
        <w:t>REDUCE</w:t>
        <w:br/>
        <w:t xml:space="preserve">    -&gt;</w:t>
        <w:br/>
        <w:t>EXIT_PENDING</w:t>
        <w:br/>
        <w:t xml:space="preserve">    -&gt;</w:t>
        <w:br/>
        <w:t>CLOSED</w:t>
        <w:br/>
        <w:t xml:space="preserve">    -&gt;</w:t>
        <w:br/>
        <w:t>COOLDOWN</w:t>
      </w:r>
    </w:p>
    <w:p>
      <w:pPr/>
      <w:r>
        <w:t>Hysteresis:</w:t>
      </w:r>
    </w:p>
    <w:p>
      <w:pPr>
        <w:pStyle w:val="ListBody"/>
        <w:ind w:left="490" w:hanging="331"/>
      </w:pPr>
      <w:r>
        <w:rPr>
          <w:b/>
        </w:rPr>
        <w:t xml:space="preserve">• </w:t>
      </w:r>
      <w:r>
        <w:t>Entry threshold differs from exit threshold.</w:t>
      </w:r>
    </w:p>
    <w:p>
      <w:pPr>
        <w:pStyle w:val="ListBody"/>
        <w:ind w:left="490" w:hanging="331"/>
      </w:pPr>
      <w:r>
        <w:rPr>
          <w:b/>
        </w:rPr>
        <w:t xml:space="preserve">• </w:t>
      </w:r>
      <w:r>
        <w:t>Small score changes do not repeatedly flip state.</w:t>
      </w:r>
    </w:p>
    <w:p>
      <w:pPr>
        <w:spacing w:after="0"/>
      </w:pPr>
      <w:r/>
    </w:p>
    <w:p>
      <w:pPr>
        <w:pStyle w:val="Heading1"/>
        <w:pBdr>
          <w:bottom w:val="single" w:sz="4" w:space="5" w:color="7A9AAA"/>
        </w:pBdr>
        <w:keepNext/>
      </w:pPr>
      <w:r>
        <w:t>66. Confirmation rules</w:t>
      </w:r>
    </w:p>
    <w:p>
      <w:pPr>
        <w:pStyle w:val="ListBody"/>
        <w:ind w:left="490" w:hanging="331"/>
      </w:pPr>
      <w:r>
        <w:rPr>
          <w:b/>
        </w:rPr>
        <w:t xml:space="preserve">• </w:t>
      </w:r>
      <w:r>
        <w:t>Daily: completed daily close.</w:t>
      </w:r>
    </w:p>
    <w:p>
      <w:pPr>
        <w:pStyle w:val="ListBody"/>
        <w:ind w:left="490" w:hanging="331"/>
      </w:pPr>
      <w:r>
        <w:rPr>
          <w:b/>
        </w:rPr>
        <w:t xml:space="preserve">• </w:t>
      </w:r>
      <w:r>
        <w:t>Weekly: completed final weekly session.</w:t>
      </w:r>
    </w:p>
    <w:p>
      <w:pPr>
        <w:pStyle w:val="ListBody"/>
        <w:ind w:left="490" w:hanging="331"/>
      </w:pPr>
      <w:r>
        <w:rPr>
          <w:b/>
        </w:rPr>
        <w:t xml:space="preserve">• </w:t>
      </w:r>
      <w:r>
        <w:t>Monthly: completed final monthly session.</w:t>
      </w:r>
    </w:p>
    <w:p>
      <w:pPr>
        <w:pStyle w:val="ListBody"/>
        <w:ind w:left="490" w:hanging="331"/>
      </w:pPr>
      <w:r>
        <w:rPr>
          <w:b/>
        </w:rPr>
        <w:t xml:space="preserve">• </w:t>
      </w:r>
      <w:r>
        <w:t>Execution: next eligible session.</w:t>
      </w:r>
    </w:p>
    <w:p>
      <w:pPr>
        <w:pStyle w:val="ListBody"/>
        <w:ind w:left="490" w:hanging="331"/>
      </w:pPr>
      <w:r>
        <w:rPr>
          <w:b/>
        </w:rPr>
        <w:t xml:space="preserve">• </w:t>
      </w:r>
      <w:r>
        <w:t>Incomplete bars: preview only.</w:t>
      </w:r>
    </w:p>
    <w:p>
      <w:pPr>
        <w:pStyle w:val="ListBody"/>
        <w:ind w:left="490" w:hanging="331"/>
      </w:pPr>
      <w:r>
        <w:rPr>
          <w:b/>
        </w:rPr>
        <w:t xml:space="preserve">• </w:t>
      </w:r>
      <w:r>
        <w:t>Same-bar open entry: prohibited.</w:t>
      </w:r>
    </w:p>
    <w:p>
      <w:pPr>
        <w:spacing w:after="0"/>
      </w:pPr>
      <w:r/>
    </w:p>
    <w:p>
      <w:pPr>
        <w:pStyle w:val="Heading1"/>
        <w:pBdr>
          <w:bottom w:val="single" w:sz="4" w:space="5" w:color="7A9AAA"/>
        </w:pBdr>
        <w:keepNext/>
      </w:pPr>
      <w:r>
        <w:t>67. Daily engine</w:t>
      </w:r>
    </w:p>
    <w:p>
      <w:pPr/>
      <w:r>
        <w:t>Features:</w:t>
      </w:r>
    </w:p>
    <w:p>
      <w:pPr>
        <w:pStyle w:val="ListBody"/>
        <w:ind w:left="490" w:hanging="331"/>
      </w:pPr>
      <w:r>
        <w:rPr>
          <w:b/>
        </w:rPr>
        <w:t xml:space="preserve">• </w:t>
      </w:r>
      <w:r>
        <w:t>EMA 10/20/50/100/200.</w:t>
      </w:r>
    </w:p>
    <w:p>
      <w:pPr>
        <w:pStyle w:val="ListBody"/>
        <w:ind w:left="490" w:hanging="331"/>
      </w:pPr>
      <w:r>
        <w:rPr>
          <w:b/>
        </w:rPr>
        <w:t xml:space="preserve">• </w:t>
      </w:r>
      <w:r>
        <w:t>RSI.</w:t>
      </w:r>
    </w:p>
    <w:p>
      <w:pPr>
        <w:pStyle w:val="ListBody"/>
        <w:ind w:left="490" w:hanging="331"/>
      </w:pPr>
      <w:r>
        <w:rPr>
          <w:b/>
        </w:rPr>
        <w:t xml:space="preserve">• </w:t>
      </w:r>
      <w:r>
        <w:t>ADX.</w:t>
      </w:r>
    </w:p>
    <w:p>
      <w:pPr>
        <w:pStyle w:val="ListBody"/>
        <w:ind w:left="490" w:hanging="331"/>
      </w:pPr>
      <w:r>
        <w:rPr>
          <w:b/>
        </w:rPr>
        <w:t xml:space="preserve">• </w:t>
      </w:r>
      <w:r>
        <w:t>ATR.</w:t>
      </w:r>
    </w:p>
    <w:p>
      <w:pPr>
        <w:pStyle w:val="ListBody"/>
        <w:ind w:left="490" w:hanging="331"/>
      </w:pPr>
      <w:r>
        <w:rPr>
          <w:b/>
        </w:rPr>
        <w:t xml:space="preserve">• </w:t>
      </w:r>
      <w:r>
        <w:t>20-day breakout.</w:t>
      </w:r>
    </w:p>
    <w:p>
      <w:pPr>
        <w:pStyle w:val="ListBody"/>
        <w:ind w:left="490" w:hanging="331"/>
      </w:pPr>
      <w:r>
        <w:rPr>
          <w:b/>
        </w:rPr>
        <w:t xml:space="preserve">• </w:t>
      </w:r>
      <w:r>
        <w:t>55-day breakout.</w:t>
      </w:r>
    </w:p>
    <w:p>
      <w:pPr>
        <w:pStyle w:val="ListBody"/>
        <w:ind w:left="490" w:hanging="331"/>
      </w:pPr>
      <w:r>
        <w:rPr>
          <w:b/>
        </w:rPr>
        <w:t xml:space="preserve">• </w:t>
      </w:r>
      <w:r>
        <w:t>Relative volume.</w:t>
      </w:r>
    </w:p>
    <w:p>
      <w:pPr>
        <w:pStyle w:val="ListBody"/>
        <w:ind w:left="490" w:hanging="331"/>
      </w:pPr>
      <w:r>
        <w:rPr>
          <w:b/>
        </w:rPr>
        <w:t xml:space="preserve">• </w:t>
      </w:r>
      <w:r>
        <w:t>Relative strength.</w:t>
      </w:r>
    </w:p>
    <w:p>
      <w:pPr>
        <w:pStyle w:val="ListBody"/>
        <w:ind w:left="490" w:hanging="331"/>
      </w:pPr>
      <w:r>
        <w:rPr>
          <w:b/>
        </w:rPr>
        <w:t xml:space="preserve">• </w:t>
      </w:r>
      <w:r>
        <w:t>Gap structure.</w:t>
      </w:r>
    </w:p>
    <w:p>
      <w:pPr>
        <w:pStyle w:val="ListBody"/>
        <w:ind w:left="490" w:hanging="331"/>
      </w:pPr>
      <w:r>
        <w:rPr>
          <w:b/>
        </w:rPr>
        <w:t xml:space="preserve">• </w:t>
      </w:r>
      <w:r>
        <w:t>Volatility contraction.</w:t>
      </w:r>
    </w:p>
    <w:p>
      <w:pPr>
        <w:pStyle w:val="ListBody"/>
        <w:ind w:left="490" w:hanging="331"/>
      </w:pPr>
      <w:r>
        <w:rPr>
          <w:b/>
        </w:rPr>
        <w:t xml:space="preserve">• </w:t>
      </w:r>
      <w:r>
        <w:t>Drawdown.</w:t>
      </w:r>
    </w:p>
    <w:p>
      <w:pPr>
        <w:pStyle w:val="ListBody"/>
        <w:ind w:left="490" w:hanging="331"/>
      </w:pPr>
      <w:r>
        <w:rPr>
          <w:b/>
        </w:rPr>
        <w:t xml:space="preserve">• </w:t>
      </w:r>
      <w:r>
        <w:t>Event risk.</w:t>
      </w:r>
    </w:p>
    <w:p>
      <w:pPr>
        <w:pStyle w:val="ListBody"/>
        <w:ind w:left="490" w:hanging="331"/>
      </w:pPr>
      <w:r>
        <w:rPr>
          <w:b/>
        </w:rPr>
        <w:t xml:space="preserve">• </w:t>
      </w:r>
      <w:r>
        <w:t>Regime.</w:t>
      </w:r>
    </w:p>
    <w:p>
      <w:pPr/>
      <w:r>
        <w:t>Entry types:</w:t>
      </w:r>
    </w:p>
    <w:p>
      <w:pPr>
        <w:pStyle w:val="ListBody"/>
        <w:ind w:left="490" w:hanging="331"/>
      </w:pPr>
      <w:r>
        <w:rPr>
          <w:b/>
        </w:rPr>
        <w:t xml:space="preserve">• </w:t>
      </w:r>
      <w:r>
        <w:t>Breakout.</w:t>
      </w:r>
    </w:p>
    <w:p>
      <w:pPr>
        <w:pStyle w:val="ListBody"/>
        <w:ind w:left="490" w:hanging="331"/>
      </w:pPr>
      <w:r>
        <w:rPr>
          <w:b/>
        </w:rPr>
        <w:t xml:space="preserve">• </w:t>
      </w:r>
      <w:r>
        <w:t>Pullback.</w:t>
      </w:r>
    </w:p>
    <w:p>
      <w:pPr>
        <w:pStyle w:val="ListBody"/>
        <w:ind w:left="490" w:hanging="331"/>
      </w:pPr>
      <w:r>
        <w:rPr>
          <w:b/>
        </w:rPr>
        <w:t xml:space="preserve">• </w:t>
      </w:r>
      <w:r>
        <w:t>Continuation.</w:t>
      </w:r>
    </w:p>
    <w:p>
      <w:pPr>
        <w:pStyle w:val="ListBody"/>
        <w:ind w:left="490" w:hanging="331"/>
      </w:pPr>
      <w:r>
        <w:rPr>
          <w:b/>
        </w:rPr>
        <w:t xml:space="preserve">• </w:t>
      </w:r>
      <w:r>
        <w:t>Reversal.</w:t>
      </w:r>
    </w:p>
    <w:p>
      <w:pPr>
        <w:pStyle w:val="ListBody"/>
        <w:ind w:left="490" w:hanging="331"/>
      </w:pPr>
      <w:r>
        <w:rPr>
          <w:b/>
        </w:rPr>
        <w:t xml:space="preserve">• </w:t>
      </w:r>
      <w:r>
        <w:t>Post-result continuation.</w:t>
      </w:r>
    </w:p>
    <w:p>
      <w:pPr>
        <w:spacing w:after="0"/>
      </w:pPr>
      <w:r/>
    </w:p>
    <w:p>
      <w:pPr>
        <w:pStyle w:val="Heading1"/>
        <w:pBdr>
          <w:bottom w:val="single" w:sz="4" w:space="5" w:color="7A9AAA"/>
        </w:pBdr>
        <w:keepNext/>
      </w:pPr>
      <w:r>
        <w:t>68. Weekly engine</w:t>
      </w:r>
    </w:p>
    <w:p>
      <w:pPr/>
      <w:r>
        <w:t>Features:</w:t>
      </w:r>
    </w:p>
    <w:p>
      <w:pPr>
        <w:pStyle w:val="ListBody"/>
        <w:ind w:left="490" w:hanging="331"/>
      </w:pPr>
      <w:r>
        <w:rPr>
          <w:b/>
        </w:rPr>
        <w:t xml:space="preserve">• </w:t>
      </w:r>
      <w:r>
        <w:t>10-week EMA.</w:t>
      </w:r>
    </w:p>
    <w:p>
      <w:pPr>
        <w:pStyle w:val="ListBody"/>
        <w:ind w:left="490" w:hanging="331"/>
      </w:pPr>
      <w:r>
        <w:rPr>
          <w:b/>
        </w:rPr>
        <w:t xml:space="preserve">• </w:t>
      </w:r>
      <w:r>
        <w:t>20-week EMA.</w:t>
      </w:r>
    </w:p>
    <w:p>
      <w:pPr>
        <w:pStyle w:val="ListBody"/>
        <w:ind w:left="490" w:hanging="331"/>
      </w:pPr>
      <w:r>
        <w:rPr>
          <w:b/>
        </w:rPr>
        <w:t xml:space="preserve">• </w:t>
      </w:r>
      <w:r>
        <w:t>40-week EMA.</w:t>
      </w:r>
    </w:p>
    <w:p>
      <w:pPr>
        <w:pStyle w:val="ListBody"/>
        <w:ind w:left="490" w:hanging="331"/>
      </w:pPr>
      <w:r>
        <w:rPr>
          <w:b/>
        </w:rPr>
        <w:t xml:space="preserve">• </w:t>
      </w:r>
      <w:r>
        <w:t>13-week momentum.</w:t>
      </w:r>
    </w:p>
    <w:p>
      <w:pPr>
        <w:pStyle w:val="ListBody"/>
        <w:ind w:left="490" w:hanging="331"/>
      </w:pPr>
      <w:r>
        <w:rPr>
          <w:b/>
        </w:rPr>
        <w:t xml:space="preserve">• </w:t>
      </w:r>
      <w:r>
        <w:t>26-week momentum.</w:t>
      </w:r>
    </w:p>
    <w:p>
      <w:pPr>
        <w:pStyle w:val="ListBody"/>
        <w:ind w:left="490" w:hanging="331"/>
      </w:pPr>
      <w:r>
        <w:rPr>
          <w:b/>
        </w:rPr>
        <w:t xml:space="preserve">• </w:t>
      </w:r>
      <w:r>
        <w:t>52-week momentum.</w:t>
      </w:r>
    </w:p>
    <w:p>
      <w:pPr>
        <w:pStyle w:val="ListBody"/>
        <w:ind w:left="490" w:hanging="331"/>
      </w:pPr>
      <w:r>
        <w:rPr>
          <w:b/>
        </w:rPr>
        <w:t xml:space="preserve">• </w:t>
      </w:r>
      <w:r>
        <w:t>Weekly RSI.</w:t>
      </w:r>
    </w:p>
    <w:p>
      <w:pPr>
        <w:pStyle w:val="ListBody"/>
        <w:ind w:left="490" w:hanging="331"/>
      </w:pPr>
      <w:r>
        <w:rPr>
          <w:b/>
        </w:rPr>
        <w:t xml:space="preserve">• </w:t>
      </w:r>
      <w:r>
        <w:t>Weekly ADX.</w:t>
      </w:r>
    </w:p>
    <w:p>
      <w:pPr>
        <w:pStyle w:val="ListBody"/>
        <w:ind w:left="490" w:hanging="331"/>
      </w:pPr>
      <w:r>
        <w:rPr>
          <w:b/>
        </w:rPr>
        <w:t xml:space="preserve">• </w:t>
      </w:r>
      <w:r>
        <w:t>Weekly ATR.</w:t>
      </w:r>
    </w:p>
    <w:p>
      <w:pPr>
        <w:pStyle w:val="ListBody"/>
        <w:ind w:left="490" w:hanging="331"/>
      </w:pPr>
      <w:r>
        <w:rPr>
          <w:b/>
        </w:rPr>
        <w:t xml:space="preserve">• </w:t>
      </w:r>
      <w:r>
        <w:t>Base breakout.</w:t>
      </w:r>
    </w:p>
    <w:p>
      <w:pPr>
        <w:pStyle w:val="ListBody"/>
        <w:ind w:left="490" w:hanging="331"/>
      </w:pPr>
      <w:r>
        <w:rPr>
          <w:b/>
        </w:rPr>
        <w:t xml:space="preserve">• </w:t>
      </w:r>
      <w:r>
        <w:t>Relative strength.</w:t>
      </w:r>
    </w:p>
    <w:p>
      <w:pPr>
        <w:pStyle w:val="ListBody"/>
        <w:ind w:left="490" w:hanging="331"/>
      </w:pPr>
      <w:r>
        <w:rPr>
          <w:b/>
        </w:rPr>
        <w:t xml:space="preserve">• </w:t>
      </w:r>
      <w:r>
        <w:t>Earnings trend.</w:t>
      </w:r>
    </w:p>
    <w:p>
      <w:pPr>
        <w:pStyle w:val="ListBody"/>
        <w:ind w:left="490" w:hanging="331"/>
      </w:pPr>
      <w:r>
        <w:rPr>
          <w:b/>
        </w:rPr>
        <w:t xml:space="preserve">• </w:t>
      </w:r>
      <w:r>
        <w:t>Sector regime.</w:t>
      </w:r>
    </w:p>
    <w:p>
      <w:pPr>
        <w:spacing w:after="0"/>
      </w:pPr>
      <w:r/>
    </w:p>
    <w:p>
      <w:pPr>
        <w:pStyle w:val="Heading1"/>
        <w:pBdr>
          <w:bottom w:val="single" w:sz="4" w:space="5" w:color="7A9AAA"/>
        </w:pBdr>
        <w:keepNext/>
      </w:pPr>
      <w:r>
        <w:t>69. Monthly engine</w:t>
      </w:r>
    </w:p>
    <w:p>
      <w:pPr/>
      <w:r>
        <w:t>Features:</w:t>
      </w:r>
    </w:p>
    <w:p>
      <w:pPr>
        <w:pStyle w:val="ListBody"/>
        <w:ind w:left="490" w:hanging="331"/>
      </w:pPr>
      <w:r>
        <w:rPr>
          <w:b/>
        </w:rPr>
        <w:t xml:space="preserve">• </w:t>
      </w:r>
      <w:r>
        <w:t>Six-month momentum.</w:t>
      </w:r>
    </w:p>
    <w:p>
      <w:pPr>
        <w:pStyle w:val="ListBody"/>
        <w:ind w:left="490" w:hanging="331"/>
      </w:pPr>
      <w:r>
        <w:rPr>
          <w:b/>
        </w:rPr>
        <w:t xml:space="preserve">• </w:t>
      </w:r>
      <w:r>
        <w:t>12–1 momentum.</w:t>
      </w:r>
    </w:p>
    <w:p>
      <w:pPr>
        <w:pStyle w:val="ListBody"/>
        <w:ind w:left="490" w:hanging="331"/>
      </w:pPr>
      <w:r>
        <w:rPr>
          <w:b/>
        </w:rPr>
        <w:t xml:space="preserve">• </w:t>
      </w:r>
      <w:r>
        <w:t>10-month average.</w:t>
      </w:r>
    </w:p>
    <w:p>
      <w:pPr>
        <w:pStyle w:val="ListBody"/>
        <w:ind w:left="490" w:hanging="331"/>
      </w:pPr>
      <w:r>
        <w:rPr>
          <w:b/>
        </w:rPr>
        <w:t xml:space="preserve">• </w:t>
      </w:r>
      <w:r>
        <w:t>20-month average.</w:t>
      </w:r>
    </w:p>
    <w:p>
      <w:pPr>
        <w:pStyle w:val="ListBody"/>
        <w:ind w:left="490" w:hanging="331"/>
      </w:pPr>
      <w:r>
        <w:rPr>
          <w:b/>
        </w:rPr>
        <w:t xml:space="preserve">• </w:t>
      </w:r>
      <w:r>
        <w:t>Monthly breakout.</w:t>
      </w:r>
    </w:p>
    <w:p>
      <w:pPr>
        <w:pStyle w:val="ListBody"/>
        <w:ind w:left="490" w:hanging="331"/>
      </w:pPr>
      <w:r>
        <w:rPr>
          <w:b/>
        </w:rPr>
        <w:t xml:space="preserve">• </w:t>
      </w:r>
      <w:r>
        <w:t>Drawdown.</w:t>
      </w:r>
    </w:p>
    <w:p>
      <w:pPr>
        <w:pStyle w:val="ListBody"/>
        <w:ind w:left="490" w:hanging="331"/>
      </w:pPr>
      <w:r>
        <w:rPr>
          <w:b/>
        </w:rPr>
        <w:t xml:space="preserve">• </w:t>
      </w:r>
      <w:r>
        <w:t>Fundamental direction.</w:t>
      </w:r>
    </w:p>
    <w:p>
      <w:pPr>
        <w:pStyle w:val="ListBody"/>
        <w:ind w:left="490" w:hanging="331"/>
      </w:pPr>
      <w:r>
        <w:rPr>
          <w:b/>
        </w:rPr>
        <w:t xml:space="preserve">• </w:t>
      </w:r>
      <w:r>
        <w:t>Earnings momentum.</w:t>
      </w:r>
    </w:p>
    <w:p>
      <w:pPr>
        <w:pStyle w:val="ListBody"/>
        <w:ind w:left="490" w:hanging="331"/>
      </w:pPr>
      <w:r>
        <w:rPr>
          <w:b/>
        </w:rPr>
        <w:t xml:space="preserve">• </w:t>
      </w:r>
      <w:r>
        <w:t>Valuation.</w:t>
      </w:r>
    </w:p>
    <w:p>
      <w:pPr>
        <w:pStyle w:val="ListBody"/>
        <w:ind w:left="490" w:hanging="331"/>
      </w:pPr>
      <w:r>
        <w:rPr>
          <w:b/>
        </w:rPr>
        <w:t xml:space="preserve">• </w:t>
      </w:r>
      <w:r>
        <w:t>Sector regime.</w:t>
      </w:r>
    </w:p>
    <w:p>
      <w:pPr>
        <w:spacing w:after="0"/>
      </w:pPr>
      <w:r/>
    </w:p>
    <w:p>
      <w:pPr>
        <w:pStyle w:val="Heading1"/>
        <w:pBdr>
          <w:bottom w:val="single" w:sz="4" w:space="5" w:color="7A9AAA"/>
        </w:pBdr>
        <w:keepNext/>
      </w:pPr>
      <w:r>
        <w:t>70. Medium-term engine</w:t>
      </w:r>
    </w:p>
    <w:p>
      <w:pPr/>
      <w:r>
        <w:t>Requires:</w:t>
      </w:r>
    </w:p>
    <w:p>
      <w:pPr>
        <w:pStyle w:val="ListBody"/>
        <w:ind w:left="490" w:hanging="331"/>
      </w:pPr>
      <w:r>
        <w:rPr>
          <w:b/>
        </w:rPr>
        <w:t xml:space="preserve">• </w:t>
      </w:r>
      <w:r>
        <w:t>Candidate Score.</w:t>
      </w:r>
    </w:p>
    <w:p>
      <w:pPr>
        <w:pStyle w:val="ListBody"/>
        <w:ind w:left="490" w:hanging="331"/>
      </w:pPr>
      <w:r>
        <w:rPr>
          <w:b/>
        </w:rPr>
        <w:t xml:space="preserve">• </w:t>
      </w:r>
      <w:r>
        <w:t>Research Score where available.</w:t>
      </w:r>
    </w:p>
    <w:p>
      <w:pPr>
        <w:pStyle w:val="ListBody"/>
        <w:ind w:left="490" w:hanging="331"/>
      </w:pPr>
      <w:r>
        <w:rPr>
          <w:b/>
        </w:rPr>
        <w:t xml:space="preserve">• </w:t>
      </w:r>
      <w:r>
        <w:t>Data Confidence.</w:t>
      </w:r>
    </w:p>
    <w:p>
      <w:pPr>
        <w:pStyle w:val="ListBody"/>
        <w:ind w:left="490" w:hanging="331"/>
      </w:pPr>
      <w:r>
        <w:rPr>
          <w:b/>
        </w:rPr>
        <w:t xml:space="preserve">• </w:t>
      </w:r>
      <w:r>
        <w:t>Quarterly trend.</w:t>
      </w:r>
    </w:p>
    <w:p>
      <w:pPr>
        <w:pStyle w:val="ListBody"/>
        <w:ind w:left="490" w:hanging="331"/>
      </w:pPr>
      <w:r>
        <w:rPr>
          <w:b/>
        </w:rPr>
        <w:t xml:space="preserve">• </w:t>
      </w:r>
      <w:r>
        <w:t>Earnings momentum.</w:t>
      </w:r>
    </w:p>
    <w:p>
      <w:pPr>
        <w:pStyle w:val="ListBody"/>
        <w:ind w:left="490" w:hanging="331"/>
      </w:pPr>
      <w:r>
        <w:rPr>
          <w:b/>
        </w:rPr>
        <w:t xml:space="preserve">• </w:t>
      </w:r>
      <w:r>
        <w:t>Valuation.</w:t>
      </w:r>
    </w:p>
    <w:p>
      <w:pPr>
        <w:pStyle w:val="ListBody"/>
        <w:ind w:left="490" w:hanging="331"/>
      </w:pPr>
      <w:r>
        <w:rPr>
          <w:b/>
        </w:rPr>
        <w:t xml:space="preserve">• </w:t>
      </w:r>
      <w:r>
        <w:t>Catalysts.</w:t>
      </w:r>
    </w:p>
    <w:p>
      <w:pPr>
        <w:pStyle w:val="ListBody"/>
        <w:ind w:left="490" w:hanging="331"/>
      </w:pPr>
      <w:r>
        <w:rPr>
          <w:b/>
        </w:rPr>
        <w:t xml:space="preserve">• </w:t>
      </w:r>
      <w:r>
        <w:t>Monthly trend.</w:t>
      </w:r>
    </w:p>
    <w:p>
      <w:pPr>
        <w:pStyle w:val="ListBody"/>
        <w:ind w:left="490" w:hanging="331"/>
      </w:pPr>
      <w:r>
        <w:rPr>
          <w:b/>
        </w:rPr>
        <w:t xml:space="preserve">• </w:t>
      </w:r>
      <w:r>
        <w:t>Governance.</w:t>
      </w:r>
    </w:p>
    <w:p>
      <w:pPr>
        <w:pStyle w:val="ListBody"/>
        <w:ind w:left="490" w:hanging="331"/>
      </w:pPr>
      <w:r>
        <w:rPr>
          <w:b/>
        </w:rPr>
        <w:t xml:space="preserve">• </w:t>
      </w:r>
      <w:r>
        <w:t>Liquidity.</w:t>
      </w:r>
    </w:p>
    <w:p>
      <w:pPr/>
      <w:r>
        <w:t>Quant-only ceiling:</w:t>
      </w:r>
    </w:p>
    <w:p>
      <w:pPr>
        <w:pStyle w:val="CodeLine"/>
      </w:pPr>
      <w:r>
        <w:t>ACCUMULATE_RESEARCH_PENDING</w:t>
      </w:r>
    </w:p>
    <w:p>
      <w:pPr>
        <w:spacing w:after="0"/>
      </w:pPr>
      <w:r/>
    </w:p>
    <w:p>
      <w:pPr>
        <w:pStyle w:val="Heading1"/>
        <w:pBdr>
          <w:bottom w:val="single" w:sz="4" w:space="5" w:color="7A9AAA"/>
        </w:pBdr>
        <w:keepNext/>
      </w:pPr>
      <w:r>
        <w:t>71. Long-term engine</w:t>
      </w:r>
    </w:p>
    <w:p>
      <w:pPr/>
      <w:r>
        <w:t>Requires:</w:t>
      </w:r>
    </w:p>
    <w:p>
      <w:pPr>
        <w:pStyle w:val="ListBody"/>
        <w:ind w:left="490" w:hanging="331"/>
      </w:pPr>
      <w:r>
        <w:rPr>
          <w:b/>
        </w:rPr>
        <w:t xml:space="preserve">• </w:t>
      </w:r>
      <w:r>
        <w:t>Full research.</w:t>
      </w:r>
    </w:p>
    <w:p>
      <w:pPr>
        <w:pStyle w:val="ListBody"/>
        <w:ind w:left="490" w:hanging="331"/>
      </w:pPr>
      <w:r>
        <w:rPr>
          <w:b/>
        </w:rPr>
        <w:t xml:space="preserve">• </w:t>
      </w:r>
      <w:r>
        <w:t>Evidence ledger.</w:t>
      </w:r>
    </w:p>
    <w:p>
      <w:pPr>
        <w:pStyle w:val="ListBody"/>
        <w:ind w:left="490" w:hanging="331"/>
      </w:pPr>
      <w:r>
        <w:rPr>
          <w:b/>
        </w:rPr>
        <w:t xml:space="preserve">• </w:t>
      </w:r>
      <w:r>
        <w:t>Forecast.</w:t>
      </w:r>
    </w:p>
    <w:p>
      <w:pPr>
        <w:pStyle w:val="ListBody"/>
        <w:ind w:left="490" w:hanging="331"/>
      </w:pPr>
      <w:r>
        <w:rPr>
          <w:b/>
        </w:rPr>
        <w:t xml:space="preserve">• </w:t>
      </w:r>
      <w:r>
        <w:t>Scenario valuation.</w:t>
      </w:r>
    </w:p>
    <w:p>
      <w:pPr>
        <w:pStyle w:val="ListBody"/>
        <w:ind w:left="490" w:hanging="331"/>
      </w:pPr>
      <w:r>
        <w:rPr>
          <w:b/>
        </w:rPr>
        <w:t xml:space="preserve">• </w:t>
      </w:r>
      <w:r>
        <w:t>Governance.</w:t>
      </w:r>
    </w:p>
    <w:p>
      <w:pPr>
        <w:pStyle w:val="ListBody"/>
        <w:ind w:left="490" w:hanging="331"/>
      </w:pPr>
      <w:r>
        <w:rPr>
          <w:b/>
        </w:rPr>
        <w:t xml:space="preserve">• </w:t>
      </w:r>
      <w:r>
        <w:t>Capital allocation.</w:t>
      </w:r>
    </w:p>
    <w:p>
      <w:pPr>
        <w:pStyle w:val="ListBody"/>
        <w:ind w:left="490" w:hanging="331"/>
      </w:pPr>
      <w:r>
        <w:rPr>
          <w:b/>
        </w:rPr>
        <w:t xml:space="preserve">• </w:t>
      </w:r>
      <w:r>
        <w:t>Research Confidence.</w:t>
      </w:r>
    </w:p>
    <w:p>
      <w:pPr>
        <w:pStyle w:val="ListBody"/>
        <w:ind w:left="490" w:hanging="331"/>
      </w:pPr>
      <w:r>
        <w:rPr>
          <w:b/>
        </w:rPr>
        <w:t xml:space="preserve">• </w:t>
      </w:r>
      <w:r>
        <w:t>Thesis invalidators.</w:t>
      </w:r>
    </w:p>
    <w:p>
      <w:pPr>
        <w:pStyle w:val="ListBody"/>
        <w:ind w:left="490" w:hanging="331"/>
      </w:pPr>
      <w:r>
        <w:rPr>
          <w:b/>
        </w:rPr>
        <w:t xml:space="preserve">• </w:t>
      </w:r>
      <w:r>
        <w:t>Portfolio suitability.</w:t>
      </w:r>
    </w:p>
    <w:p>
      <w:pPr/>
      <w:r>
        <w:t>A daily technical break does not automatically invalidate a long-term thesis.</w:t>
      </w:r>
    </w:p>
    <w:p>
      <w:pPr>
        <w:spacing w:after="0"/>
      </w:pPr>
      <w:r/>
    </w:p>
    <w:p>
      <w:pPr>
        <w:pStyle w:val="Heading1"/>
        <w:pBdr>
          <w:bottom w:val="single" w:sz="4" w:space="5" w:color="7A9AAA"/>
        </w:pBdr>
        <w:keepNext/>
      </w:pPr>
      <w:r>
        <w:t>72. Regime engine</w:t>
      </w:r>
    </w:p>
    <w:p>
      <w:pPr/>
      <w:r>
        <w:t>States:</w:t>
      </w:r>
    </w:p>
    <w:p>
      <w:pPr>
        <w:pStyle w:val="ListBody"/>
        <w:ind w:left="490" w:hanging="331"/>
      </w:pPr>
      <w:r>
        <w:rPr>
          <w:b/>
        </w:rPr>
        <w:t xml:space="preserve">• </w:t>
      </w:r>
      <w:r>
        <w:t>Strong Bull.</w:t>
      </w:r>
    </w:p>
    <w:p>
      <w:pPr>
        <w:pStyle w:val="ListBody"/>
        <w:ind w:left="490" w:hanging="331"/>
      </w:pPr>
      <w:r>
        <w:rPr>
          <w:b/>
        </w:rPr>
        <w:t xml:space="preserve">• </w:t>
      </w:r>
      <w:r>
        <w:t>Bull.</w:t>
      </w:r>
    </w:p>
    <w:p>
      <w:pPr>
        <w:pStyle w:val="ListBody"/>
        <w:ind w:left="490" w:hanging="331"/>
      </w:pPr>
      <w:r>
        <w:rPr>
          <w:b/>
        </w:rPr>
        <w:t xml:space="preserve">• </w:t>
      </w:r>
      <w:r>
        <w:t>Neutral.</w:t>
      </w:r>
    </w:p>
    <w:p>
      <w:pPr>
        <w:pStyle w:val="ListBody"/>
        <w:ind w:left="490" w:hanging="331"/>
      </w:pPr>
      <w:r>
        <w:rPr>
          <w:b/>
        </w:rPr>
        <w:t xml:space="preserve">• </w:t>
      </w:r>
      <w:r>
        <w:t>Range.</w:t>
      </w:r>
    </w:p>
    <w:p>
      <w:pPr>
        <w:pStyle w:val="ListBody"/>
        <w:ind w:left="490" w:hanging="331"/>
      </w:pPr>
      <w:r>
        <w:rPr>
          <w:b/>
        </w:rPr>
        <w:t xml:space="preserve">• </w:t>
      </w:r>
      <w:r>
        <w:t>Bear.</w:t>
      </w:r>
    </w:p>
    <w:p>
      <w:pPr>
        <w:pStyle w:val="ListBody"/>
        <w:ind w:left="490" w:hanging="331"/>
      </w:pPr>
      <w:r>
        <w:rPr>
          <w:b/>
        </w:rPr>
        <w:t xml:space="preserve">• </w:t>
      </w:r>
      <w:r>
        <w:t>Strong Bear.</w:t>
      </w:r>
    </w:p>
    <w:p>
      <w:pPr>
        <w:pStyle w:val="ListBody"/>
        <w:ind w:left="490" w:hanging="331"/>
      </w:pPr>
      <w:r>
        <w:rPr>
          <w:b/>
        </w:rPr>
        <w:t xml:space="preserve">• </w:t>
      </w:r>
      <w:r>
        <w:t>Crisis.</w:t>
      </w:r>
    </w:p>
    <w:p>
      <w:pPr/>
      <w:r>
        <w:t>Inputs:</w:t>
      </w:r>
    </w:p>
    <w:p>
      <w:pPr>
        <w:pStyle w:val="ListBody"/>
        <w:ind w:left="490" w:hanging="331"/>
      </w:pPr>
      <w:r>
        <w:rPr>
          <w:b/>
        </w:rPr>
        <w:t xml:space="preserve">• </w:t>
      </w:r>
      <w:r>
        <w:t>Index trend.</w:t>
      </w:r>
    </w:p>
    <w:p>
      <w:pPr>
        <w:pStyle w:val="ListBody"/>
        <w:ind w:left="490" w:hanging="331"/>
      </w:pPr>
      <w:r>
        <w:rPr>
          <w:b/>
        </w:rPr>
        <w:t xml:space="preserve">• </w:t>
      </w:r>
      <w:r>
        <w:t>Weekly trend.</w:t>
      </w:r>
    </w:p>
    <w:p>
      <w:pPr>
        <w:pStyle w:val="ListBody"/>
        <w:ind w:left="490" w:hanging="331"/>
      </w:pPr>
      <w:r>
        <w:rPr>
          <w:b/>
        </w:rPr>
        <w:t xml:space="preserve">• </w:t>
      </w:r>
      <w:r>
        <w:t>Monthly trend.</w:t>
      </w:r>
    </w:p>
    <w:p>
      <w:pPr>
        <w:pStyle w:val="ListBody"/>
        <w:ind w:left="490" w:hanging="331"/>
      </w:pPr>
      <w:r>
        <w:rPr>
          <w:b/>
        </w:rPr>
        <w:t xml:space="preserve">• </w:t>
      </w:r>
      <w:r>
        <w:t>Breadth.</w:t>
      </w:r>
    </w:p>
    <w:p>
      <w:pPr>
        <w:pStyle w:val="ListBody"/>
        <w:ind w:left="490" w:hanging="331"/>
      </w:pPr>
      <w:r>
        <w:rPr>
          <w:b/>
        </w:rPr>
        <w:t xml:space="preserve">• </w:t>
      </w:r>
      <w:r>
        <w:t>Sector breadth.</w:t>
      </w:r>
    </w:p>
    <w:p>
      <w:pPr>
        <w:pStyle w:val="ListBody"/>
        <w:ind w:left="490" w:hanging="331"/>
      </w:pPr>
      <w:r>
        <w:rPr>
          <w:b/>
        </w:rPr>
        <w:t xml:space="preserve">• </w:t>
      </w:r>
      <w:r>
        <w:t>Volatility index.</w:t>
      </w:r>
    </w:p>
    <w:p>
      <w:pPr>
        <w:pStyle w:val="ListBody"/>
        <w:ind w:left="490" w:hanging="331"/>
      </w:pPr>
      <w:r>
        <w:rPr>
          <w:b/>
        </w:rPr>
        <w:t xml:space="preserve">• </w:t>
      </w:r>
      <w:r>
        <w:t>Drawdown.</w:t>
      </w:r>
    </w:p>
    <w:p>
      <w:pPr>
        <w:pStyle w:val="ListBody"/>
        <w:ind w:left="490" w:hanging="331"/>
      </w:pPr>
      <w:r>
        <w:rPr>
          <w:b/>
        </w:rPr>
        <w:t xml:space="preserve">• </w:t>
      </w:r>
      <w:r>
        <w:t>Correlation.</w:t>
      </w:r>
    </w:p>
    <w:p>
      <w:pPr>
        <w:pStyle w:val="ListBody"/>
        <w:ind w:left="490" w:hanging="331"/>
      </w:pPr>
      <w:r>
        <w:rPr>
          <w:b/>
        </w:rPr>
        <w:t xml:space="preserve">• </w:t>
      </w:r>
      <w:r>
        <w:t>Liquidity.</w:t>
      </w:r>
    </w:p>
    <w:p>
      <w:pPr>
        <w:spacing w:after="0"/>
      </w:pPr>
      <w:r/>
    </w:p>
    <w:p>
      <w:pPr>
        <w:pStyle w:val="Heading1"/>
        <w:pBdr>
          <w:bottom w:val="single" w:sz="4" w:space="5" w:color="7A9AAA"/>
        </w:pBdr>
        <w:keepNext/>
      </w:pPr>
      <w:r>
        <w:t>73. Cross-horizon resolution</w:t>
      </w:r>
    </w:p>
    <w:p>
      <w:pPr/>
      <w:r>
        <w:t>Priority:</w:t>
      </w:r>
    </w:p>
    <w:p>
      <w:pPr/>
      <w:r>
        <w:t>Hard Gate</w:t>
        <w:br/>
        <w:t xml:space="preserve">    -&gt;</w:t>
        <w:br/>
        <w:t>Long-Term Thesis Risk</w:t>
        <w:br/>
        <w:t xml:space="preserve">    -&gt;</w:t>
        <w:br/>
        <w:t>Portfolio Risk</w:t>
        <w:br/>
        <w:t xml:space="preserve">    -&gt;</w:t>
        <w:br/>
        <w:t>Medium-Term Fundamentals</w:t>
        <w:br/>
        <w:t xml:space="preserve">    -&gt;</w:t>
        <w:br/>
        <w:t>Monthly Position</w:t>
        <w:br/>
        <w:t xml:space="preserve">    -&gt;</w:t>
        <w:br/>
        <w:t>Weekly Swing</w:t>
        <w:br/>
        <w:t xml:space="preserve">    -&gt;</w:t>
        <w:br/>
        <w:t>Daily Tactical</w:t>
      </w:r>
    </w:p>
    <w:p>
      <w:pPr/>
      <w:r>
        <w:t>Each position has one declared horizon.</w:t>
      </w:r>
    </w:p>
    <w:p>
      <w:pPr>
        <w:spacing w:after="0"/>
      </w:pPr>
      <w:r/>
    </w:p>
    <w:p>
      <w:pPr>
        <w:pStyle w:val="Heading1"/>
        <w:pBdr>
          <w:bottom w:val="single" w:sz="4" w:space="5" w:color="7A9AAA"/>
        </w:pBdr>
        <w:keepNext/>
      </w:pPr>
      <w:r>
        <w:t>74. Alignment Score</w:t>
      </w:r>
    </w:p>
    <w:p>
      <w:pPr/>
      <w:r>
        <w:t>Directions:</w:t>
      </w:r>
    </w:p>
    <w:p>
      <w:pPr/>
      <w:r>
        <w:t>Strong Buy = +1.00</w:t>
        <w:br/>
        <w:t>Buy = +0.75</w:t>
        <w:br/>
        <w:t>Accumulate = +0.50</w:t>
        <w:br/>
        <w:t>Watch = +0.25</w:t>
        <w:br/>
        <w:t>Hold = 0.00</w:t>
        <w:br/>
        <w:t>Reduce = -0.50</w:t>
        <w:br/>
        <w:t>Exit = -0.75</w:t>
        <w:br/>
        <w:t>Avoid = -1.00</w:t>
      </w:r>
    </w:p>
    <w:p>
      <w:pPr/>
      <w:r>
        <w:t>Formula:</w:t>
      </w:r>
    </w:p>
    <w:p>
      <w:pPr>
        <w:pStyle w:val="FormulaBlock"/>
        <w:shd w:fill="F5F8FA"/>
      </w:pPr>
      <w:r>
        <w:t>AlignmentScore =</w:t>
        <w:br/>
        <w:t xml:space="preserve">    sum(HorizonImportance[h] * DirectionValue[h])</w:t>
        <w:br/>
        <w:t xml:space="preserve">    / sum(HorizonImportance[h])</w:t>
      </w:r>
    </w:p>
    <w:p>
      <w:pPr/>
      <w:r>
        <w:t>Output range:</w:t>
      </w:r>
    </w:p>
    <w:p>
      <w:pPr/>
      <w:r>
        <w:t>-1 to +1</w:t>
      </w:r>
    </w:p>
    <w:p>
      <w:pPr>
        <w:spacing w:after="0"/>
      </w:pPr>
      <w:r/>
    </w:p>
    <w:p>
      <w:pPr>
        <w:pStyle w:val="Heading1"/>
        <w:pBdr>
          <w:bottom w:val="single" w:sz="4" w:space="5" w:color="7A9AAA"/>
        </w:pBdr>
        <w:keepNext/>
      </w:pPr>
      <w:r>
        <w:t>75. Signal expiry</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blHeader w:val="true"/>
        </w:trPr>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Horizon</w:t>
            </w:r>
          </w:p>
        </w:tc>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Default</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Daily</w:t>
            </w:r>
          </w:p>
        </w:tc>
        <w:tc>
          <w:tcPr>
            <w:tcW w:type="dxa" w:w="4997"/>
            <w:vAlign w:val="center"/>
            <w:tcMar>
              <w:top w:w="55" w:type="dxa"/>
              <w:start w:w="65" w:type="dxa"/>
              <w:bottom w:w="55" w:type="dxa"/>
              <w:end w:w="65" w:type="dxa"/>
            </w:tcMar>
          </w:tcPr>
          <w:p>
            <w:pPr>
              <w:spacing w:after="0"/>
            </w:pPr>
            <w:r>
              <w:rPr>
                <w:rFonts w:ascii="Cambria" w:hAnsi="Cambria"/>
                <w:sz w:val="18"/>
              </w:rPr>
              <w:t>3 sessions</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Weekly</w:t>
            </w:r>
          </w:p>
        </w:tc>
        <w:tc>
          <w:tcPr>
            <w:tcW w:type="dxa" w:w="4997"/>
            <w:vAlign w:val="center"/>
            <w:tcMar>
              <w:top w:w="55" w:type="dxa"/>
              <w:start w:w="65" w:type="dxa"/>
              <w:bottom w:w="55" w:type="dxa"/>
              <w:end w:w="65" w:type="dxa"/>
            </w:tcMar>
            <w:shd w:fill="F8FAFB"/>
          </w:tcPr>
          <w:p>
            <w:pPr>
              <w:spacing w:after="0"/>
            </w:pPr>
            <w:r>
              <w:rPr>
                <w:rFonts w:ascii="Cambria" w:hAnsi="Cambria"/>
                <w:sz w:val="18"/>
              </w:rPr>
              <w:t>2 weeks</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Monthly</w:t>
            </w:r>
          </w:p>
        </w:tc>
        <w:tc>
          <w:tcPr>
            <w:tcW w:type="dxa" w:w="4997"/>
            <w:vAlign w:val="center"/>
            <w:tcMar>
              <w:top w:w="55" w:type="dxa"/>
              <w:start w:w="65" w:type="dxa"/>
              <w:bottom w:w="55" w:type="dxa"/>
              <w:end w:w="65" w:type="dxa"/>
            </w:tcMar>
          </w:tcPr>
          <w:p>
            <w:pPr>
              <w:spacing w:after="0"/>
            </w:pPr>
            <w:r>
              <w:rPr>
                <w:rFonts w:ascii="Cambria" w:hAnsi="Cambria"/>
                <w:sz w:val="18"/>
              </w:rPr>
              <w:t>1 month</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Medium</w:t>
            </w:r>
          </w:p>
        </w:tc>
        <w:tc>
          <w:tcPr>
            <w:tcW w:type="dxa" w:w="4997"/>
            <w:vAlign w:val="center"/>
            <w:tcMar>
              <w:top w:w="55" w:type="dxa"/>
              <w:start w:w="65" w:type="dxa"/>
              <w:bottom w:w="55" w:type="dxa"/>
              <w:end w:w="65" w:type="dxa"/>
            </w:tcMar>
            <w:shd w:fill="F8FAFB"/>
          </w:tcPr>
          <w:p>
            <w:pPr>
              <w:spacing w:after="0"/>
            </w:pPr>
            <w:r>
              <w:rPr>
                <w:rFonts w:ascii="Cambria" w:hAnsi="Cambria"/>
                <w:sz w:val="18"/>
              </w:rPr>
              <w:t>Next result/event</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Long</w:t>
            </w:r>
          </w:p>
        </w:tc>
        <w:tc>
          <w:tcPr>
            <w:tcW w:type="dxa" w:w="4997"/>
            <w:vAlign w:val="center"/>
            <w:tcMar>
              <w:top w:w="55" w:type="dxa"/>
              <w:start w:w="65" w:type="dxa"/>
              <w:bottom w:w="55" w:type="dxa"/>
              <w:end w:w="65" w:type="dxa"/>
            </w:tcMar>
          </w:tcPr>
          <w:p>
            <w:pPr>
              <w:spacing w:after="0"/>
            </w:pPr>
            <w:r>
              <w:rPr>
                <w:rFonts w:ascii="Cambria" w:hAnsi="Cambria"/>
                <w:sz w:val="18"/>
              </w:rPr>
              <w:t>Next formal review/event</w:t>
            </w:r>
          </w:p>
        </w:tc>
      </w:tr>
    </w:tbl>
    <w:p>
      <w:pPr>
        <w:spacing w:after="20"/>
      </w:pPr>
    </w:p>
    <w:p>
      <w:pPr/>
      <w:r>
        <w:t>Expired signals must be recalculated.</w:t>
      </w:r>
    </w:p>
    <w:p>
      <w:pPr>
        <w:spacing w:after="0"/>
      </w:pPr>
      <w:r/>
    </w:p>
    <w:p>
      <w:pPr>
        <w:pStyle w:val="Heading1"/>
        <w:pBdr>
          <w:bottom w:val="single" w:sz="4" w:space="5" w:color="7A9AAA"/>
        </w:pBdr>
        <w:keepNext/>
      </w:pPr>
      <w:r>
        <w:t>76. Position Suitability Score</w:t>
      </w:r>
    </w:p>
    <w:p>
      <w:pPr/>
      <w:r>
        <w:t>This formula must not be blank.</w:t>
      </w:r>
    </w:p>
    <w:p>
      <w:pPr>
        <w:pStyle w:val="Heading2"/>
        <w:keepNext/>
      </w:pPr>
      <w:r>
        <w:t>76.1 Inputs</w:t>
      </w:r>
    </w:p>
    <w:p>
      <w:pPr/>
      <w:r>
        <w:t>All normalized to 0–1 unless otherwise specified.</w:t>
      </w:r>
    </w:p>
    <w:p>
      <w:pPr/>
      <w:r>
        <w:t>ExpectedExcessReturn =</w:t>
        <w:br/>
        <w:t xml:space="preserve">    ExpectedAnnualizedReturn - RequiredReturn</w:t>
        <w:br/>
        <w:br/>
        <w:t>ReturnScore =</w:t>
        <w:br/>
        <w:t xml:space="preserve">    clip(</w:t>
        <w:br/>
        <w:t xml:space="preserve">        ExpectedExcessReturn / PositiveReturnReference,</w:t>
        <w:br/>
        <w:t xml:space="preserve">        0,</w:t>
        <w:br/>
        <w:t xml:space="preserve">        1</w:t>
        <w:br/>
        <w:t xml:space="preserve">    )</w:t>
        <w:br/>
        <w:br/>
        <w:t>ConfidenceFactor =</w:t>
        <w:br/>
        <w:t xml:space="preserve">    ResearchConfidence / 100</w:t>
        <w:br/>
        <w:br/>
        <w:t>LiquidityFactor =</w:t>
        <w:br/>
        <w:t xml:space="preserve">    LiquidityScore / 100</w:t>
        <w:br/>
        <w:br/>
        <w:t>DownsidePenalty =</w:t>
        <w:br/>
        <w:t xml:space="preserve">    1 + abs(SevereDownsidePct) / DownsideReferencePct</w:t>
        <w:br/>
        <w:br/>
        <w:t>VolatilityPenalty =</w:t>
        <w:br/>
        <w:t xml:space="preserve">    1 + AnnualizedVolatilityPct / VolatilityReferencePct</w:t>
        <w:br/>
        <w:br/>
        <w:t>CorrelationExcess =</w:t>
        <w:br/>
        <w:t xml:space="preserve">    max(0, AveragePortfolioCorrelation - CorrelationLimit)</w:t>
        <w:br/>
        <w:br/>
        <w:t>CorrelationPenalty =</w:t>
        <w:br/>
        <w:t xml:space="preserve">    1 + CorrelationExcess</w:t>
        <w:br/>
        <w:br/>
        <w:t>EventPenalty =</w:t>
        <w:br/>
        <w:t xml:space="preserve">    1 + EventRiskScore / 100</w:t>
      </w:r>
    </w:p>
    <w:p>
      <w:pPr>
        <w:pStyle w:val="Heading2"/>
        <w:keepNext/>
      </w:pPr>
      <w:r>
        <w:t>76.2 Formula</w:t>
      </w:r>
    </w:p>
    <w:p>
      <w:pPr/>
      <w:r>
        <w:t>RawPositionSuitability =</w:t>
        <w:br/>
        <w:t xml:space="preserve">    100</w:t>
        <w:br/>
        <w:t xml:space="preserve">    * ReturnScore</w:t>
        <w:br/>
        <w:t xml:space="preserve">    * ConfidenceFactor</w:t>
        <w:br/>
        <w:t xml:space="preserve">    * LiquidityFactor</w:t>
        <w:br/>
        <w:t xml:space="preserve">    / (</w:t>
        <w:br/>
        <w:t xml:space="preserve">        DownsidePenalty</w:t>
        <w:br/>
        <w:t xml:space="preserve">        * VolatilityPenalty</w:t>
        <w:br/>
        <w:t xml:space="preserve">        * CorrelationPenalty</w:t>
        <w:br/>
        <w:t xml:space="preserve">        * EventPenalty</w:t>
        <w:br/>
        <w:t xml:space="preserve">      )</w:t>
        <w:br/>
        <w:br/>
        <w:t>PositionSuitability =</w:t>
        <w:br/>
        <w:t xml:space="preserve">    clip(RawPositionSuitability, 0, 100)</w:t>
      </w:r>
    </w:p>
    <w:p>
      <w:pPr>
        <w:pStyle w:val="Heading2"/>
        <w:keepNext/>
      </w:pPr>
      <w:r>
        <w:t>76.3 Rules</w:t>
      </w:r>
    </w:p>
    <w:p>
      <w:pPr>
        <w:pStyle w:val="ListBody"/>
        <w:ind w:left="490" w:hanging="331"/>
      </w:pPr>
      <w:r>
        <w:rPr>
          <w:b/>
        </w:rPr>
        <w:t xml:space="preserve">• </w:t>
      </w:r>
      <w:r>
        <w:t>PositiveReturnReference &gt; 0</w:t>
      </w:r>
    </w:p>
    <w:p>
      <w:pPr>
        <w:pStyle w:val="ListBody"/>
        <w:ind w:left="490" w:hanging="331"/>
      </w:pPr>
      <w:r>
        <w:rPr>
          <w:b/>
        </w:rPr>
        <w:t xml:space="preserve">• </w:t>
      </w:r>
      <w:r>
        <w:t>DownsideReferencePct &gt; 0</w:t>
      </w:r>
    </w:p>
    <w:p>
      <w:pPr>
        <w:pStyle w:val="ListBody"/>
        <w:ind w:left="490" w:hanging="331"/>
      </w:pPr>
      <w:r>
        <w:rPr>
          <w:b/>
        </w:rPr>
        <w:t xml:space="preserve">• </w:t>
      </w:r>
      <w:r>
        <w:t>VolatilityReferencePct &gt; 0</w:t>
      </w:r>
    </w:p>
    <w:p>
      <w:pPr>
        <w:pStyle w:val="ListBody"/>
        <w:ind w:left="490" w:hanging="331"/>
      </w:pPr>
      <w:r>
        <w:rPr>
          <w:b/>
        </w:rPr>
        <w:t xml:space="preserve">• </w:t>
      </w:r>
      <w:r>
        <w:t>Negative expected excess return produces ReturnScore = 0.</w:t>
      </w:r>
    </w:p>
    <w:p>
      <w:pPr>
        <w:pStyle w:val="ListBody"/>
        <w:ind w:left="490" w:hanging="331"/>
      </w:pPr>
      <w:r>
        <w:rPr>
          <w:b/>
        </w:rPr>
        <w:t xml:space="preserve">• </w:t>
      </w:r>
      <w:r>
        <w:t>Hard gates override Position Suitability.</w:t>
      </w:r>
    </w:p>
    <w:p>
      <w:pPr>
        <w:pStyle w:val="ListBody"/>
        <w:ind w:left="490" w:hanging="331"/>
      </w:pPr>
      <w:r>
        <w:rPr>
          <w:b/>
        </w:rPr>
        <w:t xml:space="preserve">• </w:t>
      </w:r>
      <w:r>
        <w:t>Position Suitability does not directly determine quantity.</w:t>
      </w:r>
    </w:p>
    <w:p>
      <w:pPr>
        <w:pStyle w:val="ListBody"/>
        <w:ind w:left="490" w:hanging="331"/>
      </w:pPr>
      <w:r>
        <w:rPr>
          <w:b/>
        </w:rPr>
        <w:t xml:space="preserve">• </w:t>
      </w:r>
      <w:r>
        <w:t>Quantity remains subject to hard caps.</w:t>
      </w:r>
    </w:p>
    <w:p>
      <w:pPr>
        <w:spacing w:after="0"/>
      </w:pPr>
      <w:r/>
    </w:p>
    <w:p>
      <w:pPr>
        <w:pStyle w:val="Heading1"/>
        <w:pBdr>
          <w:bottom w:val="single" w:sz="4" w:space="5" w:color="7A9AAA"/>
        </w:pBdr>
        <w:keepNext/>
      </w:pPr>
      <w:r>
        <w:t>77. Position sizing</w:t>
      </w:r>
    </w:p>
    <w:p>
      <w:pPr>
        <w:pStyle w:val="Heading2"/>
        <w:keepNext/>
      </w:pPr>
      <w:r>
        <w:t>77.1 Risk budget</w:t>
      </w:r>
    </w:p>
    <w:p>
      <w:pPr/>
      <w:r>
        <w:t>RiskBudget =</w:t>
        <w:br/>
        <w:t xml:space="preserve">    PortfolioCapital * RiskPercent</w:t>
      </w:r>
    </w:p>
    <w:p>
      <w:pPr>
        <w:pStyle w:val="Heading2"/>
        <w:keepNext/>
      </w:pPr>
      <w:r>
        <w:t>77.2 Per-unit risk</w:t>
      </w:r>
    </w:p>
    <w:p>
      <w:pPr/>
      <w:r>
        <w:t>PerUnitRisk =</w:t>
        <w:br/>
        <w:t xml:space="preserve">    abs(EntryPrice - StopPrice)</w:t>
        <w:br/>
        <w:t xml:space="preserve">    + EstimatedRoundTripCostPerUnit</w:t>
      </w:r>
    </w:p>
    <w:p>
      <w:pPr>
        <w:pStyle w:val="Heading2"/>
        <w:keepNext/>
      </w:pPr>
      <w:r>
        <w:t>77.3 Quantity by risk</w:t>
      </w:r>
    </w:p>
    <w:p>
      <w:pPr>
        <w:pStyle w:val="FormulaBlock"/>
        <w:shd w:fill="F5F8FA"/>
      </w:pPr>
      <w:r>
        <w:t>QuantityByRisk =</w:t>
        <w:br/>
        <w:t xml:space="preserve">    floor(</w:t>
        <w:br/>
        <w:t xml:space="preserve">        RiskBudget</w:t>
        <w:br/>
        <w:t xml:space="preserve">        / max(PerUnitRisk, MinimumPriceRisk)</w:t>
        <w:br/>
        <w:t xml:space="preserve">    )</w:t>
      </w:r>
    </w:p>
    <w:p>
      <w:pPr>
        <w:pStyle w:val="Heading2"/>
        <w:keepNext/>
      </w:pPr>
      <w:r>
        <w:t>77.4 Liquidity cap</w:t>
      </w:r>
    </w:p>
    <w:p>
      <w:pPr>
        <w:pStyle w:val="FormulaBlock"/>
        <w:shd w:fill="F5F8FA"/>
      </w:pPr>
      <w:r>
        <w:t>LiquidityCapacityValue =</w:t>
        <w:br/>
        <w:t xml:space="preserve">    MedianDailyTradedValue</w:t>
        <w:br/>
        <w:t xml:space="preserve">    * AllowedParticipationRate</w:t>
        <w:br/>
        <w:t xml:space="preserve">    * MaximumExitDays</w:t>
        <w:br/>
        <w:br/>
        <w:t>QuantityByLiquidity =</w:t>
        <w:br/>
        <w:t xml:space="preserve">    floor(LiquidityCapacityValue / EntryPrice)</w:t>
      </w:r>
    </w:p>
    <w:p>
      <w:pPr>
        <w:pStyle w:val="Heading2"/>
        <w:keepNext/>
      </w:pPr>
      <w:r>
        <w:t>77.5 Company cap</w:t>
      </w:r>
    </w:p>
    <w:p>
      <w:pPr>
        <w:pStyle w:val="FormulaBlock"/>
        <w:shd w:fill="F5F8FA"/>
      </w:pPr>
      <w:r>
        <w:t>QuantityByCompanyCap =</w:t>
        <w:br/>
        <w:t xml:space="preserve">    floor(</w:t>
        <w:br/>
        <w:t xml:space="preserve">        PortfolioCapital</w:t>
        <w:br/>
        <w:t xml:space="preserve">        * MaximumCompanyWeight</w:t>
        <w:br/>
        <w:t xml:space="preserve">        / EntryPrice</w:t>
        <w:br/>
        <w:t xml:space="preserve">    )</w:t>
      </w:r>
    </w:p>
    <w:p>
      <w:pPr>
        <w:pStyle w:val="Heading2"/>
        <w:keepNext/>
      </w:pPr>
      <w:r>
        <w:t>77.6 Final quantity</w:t>
      </w:r>
    </w:p>
    <w:p>
      <w:pPr/>
      <w:r>
        <w:t>FinalQuantity =</w:t>
        <w:br/>
        <w:t xml:space="preserve">    max(</w:t>
        <w:br/>
        <w:t xml:space="preserve">        0,</w:t>
        <w:br/>
        <w:t xml:space="preserve">        min(</w:t>
        <w:br/>
        <w:t xml:space="preserve">            QuantityByRisk,</w:t>
        <w:br/>
        <w:t xml:space="preserve">            QuantityByLiquidity,</w:t>
        <w:br/>
        <w:t xml:space="preserve">            QuantityByCompanyCap,</w:t>
        <w:br/>
        <w:t xml:space="preserve">            QuantityBySectorCap,</w:t>
        <w:br/>
        <w:t xml:space="preserve">            QuantityByHorizonCap,</w:t>
        <w:br/>
        <w:t xml:space="preserve">            QuantityByEventCap</w:t>
        <w:br/>
        <w:t xml:space="preserve">        )</w:t>
        <w:br/>
        <w:t xml:space="preserve">    )</w:t>
      </w:r>
    </w:p>
    <w:p>
      <w:pPr/>
      <w:r>
        <w:t>For derivatives:</w:t>
      </w:r>
    </w:p>
    <w:p>
      <w:pPr>
        <w:pStyle w:val="ListBody"/>
        <w:ind w:left="490" w:hanging="331"/>
      </w:pPr>
      <w:r>
        <w:rPr>
          <w:b/>
        </w:rPr>
        <w:t xml:space="preserve">• </w:t>
      </w:r>
      <w:r>
        <w:t>Round down to lot size.</w:t>
      </w:r>
    </w:p>
    <w:p>
      <w:pPr>
        <w:pStyle w:val="ListBody"/>
        <w:ind w:left="490" w:hanging="331"/>
      </w:pPr>
      <w:r>
        <w:rPr>
          <w:b/>
        </w:rPr>
        <w:t xml:space="preserve">• </w:t>
      </w:r>
      <w:r>
        <w:t>Validate margin.</w:t>
      </w:r>
    </w:p>
    <w:p>
      <w:pPr>
        <w:pStyle w:val="ListBody"/>
        <w:ind w:left="490" w:hanging="331"/>
      </w:pPr>
      <w:r>
        <w:rPr>
          <w:b/>
        </w:rPr>
        <w:t xml:space="preserve">• </w:t>
      </w:r>
      <w:r>
        <w:t>Validate expiry.</w:t>
      </w:r>
    </w:p>
    <w:p>
      <w:pPr>
        <w:pStyle w:val="ListBody"/>
        <w:ind w:left="490" w:hanging="331"/>
      </w:pPr>
      <w:r>
        <w:rPr>
          <w:b/>
        </w:rPr>
        <w:t xml:space="preserve">• </w:t>
      </w:r>
      <w:r>
        <w:t>Validate spread.</w:t>
      </w:r>
    </w:p>
    <w:p>
      <w:pPr>
        <w:pStyle w:val="ListBody"/>
        <w:ind w:left="490" w:hanging="331"/>
      </w:pPr>
      <w:r>
        <w:rPr>
          <w:b/>
        </w:rPr>
        <w:t xml:space="preserve">• </w:t>
      </w:r>
      <w:r>
        <w:t>Validate open interest.</w:t>
      </w:r>
    </w:p>
    <w:p>
      <w:pPr>
        <w:spacing w:after="0"/>
      </w:pPr>
      <w:r/>
    </w:p>
    <w:p>
      <w:pPr>
        <w:pStyle w:val="Heading1"/>
        <w:pBdr>
          <w:bottom w:val="single" w:sz="4" w:space="5" w:color="7A9AAA"/>
        </w:pBdr>
        <w:keepNext/>
      </w:pPr>
      <w:r>
        <w:t>78. Broker order lifecycle</w:t>
      </w:r>
    </w:p>
    <w:p>
      <w:pPr/>
      <w:r>
        <w:t>SIGNAL_CONFIRMED</w:t>
        <w:br/>
        <w:t xml:space="preserve">    -&gt;</w:t>
        <w:br/>
        <w:t>RISK_CHECKED</w:t>
        <w:br/>
        <w:t xml:space="preserve">    -&gt;</w:t>
        <w:br/>
        <w:t>ORDER_PREVIEWED</w:t>
        <w:br/>
        <w:t xml:space="preserve">    -&gt;</w:t>
        <w:br/>
        <w:t>APPROVED</w:t>
        <w:br/>
        <w:t xml:space="preserve">    -&gt;</w:t>
        <w:br/>
        <w:t>SUBMISSION_PENDING</w:t>
        <w:br/>
        <w:t xml:space="preserve">    -&gt;</w:t>
        <w:br/>
        <w:t>SUBMITTED</w:t>
        <w:br/>
        <w:t xml:space="preserve">    -&gt;</w:t>
        <w:br/>
        <w:t>ACKNOWLEDGED</w:t>
        <w:br/>
        <w:t xml:space="preserve">    -&gt;</w:t>
        <w:br/>
        <w:t>PARTIALLY_FILLED</w:t>
        <w:br/>
        <w:t xml:space="preserve">    -&gt;</w:t>
        <w:br/>
        <w:t>FILLED</w:t>
        <w:br/>
        <w:t xml:space="preserve">    -&gt;</w:t>
        <w:br/>
        <w:t>POSITION_RECONCILED</w:t>
      </w:r>
    </w:p>
    <w:p>
      <w:pPr/>
      <w:r>
        <w:t>Failure states:</w:t>
      </w:r>
    </w:p>
    <w:p>
      <w:pPr/>
      <w:r>
        <w:t>REJECTED</w:t>
        <w:br/>
        <w:t>CANCEL_PENDING</w:t>
        <w:br/>
        <w:t>CANCELLED</w:t>
        <w:br/>
        <w:t>STALE</w:t>
        <w:br/>
        <w:t>ORPHANED</w:t>
        <w:br/>
        <w:t>BROKER_UNKNOWN</w:t>
        <w:br/>
        <w:t>MANUAL_REVIEW</w:t>
      </w:r>
    </w:p>
    <w:p>
      <w:pPr>
        <w:spacing w:after="0"/>
      </w:pPr>
      <w:r/>
    </w:p>
    <w:p>
      <w:pPr>
        <w:pStyle w:val="Heading1"/>
        <w:pBdr>
          <w:bottom w:val="single" w:sz="4" w:space="5" w:color="7A9AAA"/>
        </w:pBdr>
        <w:keepNext/>
      </w:pPr>
      <w:r>
        <w:t>79. Duplicate-order protection</w:t>
      </w:r>
    </w:p>
    <w:p>
      <w:pPr>
        <w:pStyle w:val="FormulaBlock"/>
        <w:shd w:fill="F5F8FA"/>
      </w:pPr>
      <w:r>
        <w:t>IdempotencyKey =</w:t>
        <w:br/>
        <w:t xml:space="preserve">    security_id</w:t>
        <w:br/>
        <w:t xml:space="preserve">    + horizon</w:t>
        <w:br/>
        <w:t xml:space="preserve">    + signal_id</w:t>
        <w:br/>
        <w:t xml:space="preserve">    + action</w:t>
        <w:br/>
        <w:t xml:space="preserve">    + trade_date</w:t>
      </w:r>
    </w:p>
    <w:p>
      <w:pPr/>
      <w:r>
        <w:t>Retries use the same key.</w:t>
      </w:r>
    </w:p>
    <w:p>
      <w:pPr>
        <w:spacing w:after="0"/>
      </w:pPr>
      <w:r/>
    </w:p>
    <w:p>
      <w:pPr>
        <w:pStyle w:val="Heading1"/>
        <w:pBdr>
          <w:bottom w:val="single" w:sz="4" w:space="5" w:color="7A9AAA"/>
        </w:pBdr>
        <w:keepNext/>
      </w:pPr>
      <w:r>
        <w:t>80. Broker failover</w:t>
      </w:r>
    </w:p>
    <w:p>
      <w:pPr>
        <w:pStyle w:val="ListBody"/>
        <w:ind w:left="490" w:hanging="331"/>
      </w:pPr>
      <w:r>
        <w:rPr>
          <w:b/>
        </w:rPr>
        <w:t xml:space="preserve">1. </w:t>
      </w:r>
      <w:r>
        <w:t>Query original order.</w:t>
      </w:r>
    </w:p>
    <w:p>
      <w:pPr>
        <w:pStyle w:val="ListBody"/>
        <w:ind w:left="490" w:hanging="331"/>
      </w:pPr>
      <w:r>
        <w:rPr>
          <w:b/>
        </w:rPr>
        <w:t xml:space="preserve">2. </w:t>
      </w:r>
      <w:r>
        <w:t>Query order history.</w:t>
      </w:r>
    </w:p>
    <w:p>
      <w:pPr>
        <w:pStyle w:val="ListBody"/>
        <w:ind w:left="490" w:hanging="331"/>
      </w:pPr>
      <w:r>
        <w:rPr>
          <w:b/>
        </w:rPr>
        <w:t xml:space="preserve">3. </w:t>
      </w:r>
      <w:r>
        <w:t>Query trade book.</w:t>
      </w:r>
    </w:p>
    <w:p>
      <w:pPr>
        <w:pStyle w:val="ListBody"/>
        <w:ind w:left="490" w:hanging="331"/>
      </w:pPr>
      <w:r>
        <w:rPr>
          <w:b/>
        </w:rPr>
        <w:t xml:space="preserve">4. </w:t>
      </w:r>
      <w:r>
        <w:t>Query position.</w:t>
      </w:r>
    </w:p>
    <w:p>
      <w:pPr>
        <w:pStyle w:val="ListBody"/>
        <w:ind w:left="490" w:hanging="331"/>
      </w:pPr>
      <w:r>
        <w:rPr>
          <w:b/>
        </w:rPr>
        <w:t xml:space="preserve">5. </w:t>
      </w:r>
      <w:r>
        <w:t>Calculate actual fill.</w:t>
      </w:r>
    </w:p>
    <w:p>
      <w:pPr>
        <w:pStyle w:val="ListBody"/>
        <w:ind w:left="490" w:hanging="331"/>
      </w:pPr>
      <w:r>
        <w:rPr>
          <w:b/>
        </w:rPr>
        <w:t xml:space="preserve">6. </w:t>
      </w:r>
      <w:r>
        <w:t>Reconcile.</w:t>
      </w:r>
    </w:p>
    <w:p>
      <w:pPr>
        <w:pStyle w:val="ListBody"/>
        <w:ind w:left="490" w:hanging="331"/>
      </w:pPr>
      <w:r>
        <w:rPr>
          <w:b/>
        </w:rPr>
        <w:t xml:space="preserve">7. </w:t>
      </w:r>
      <w:r>
        <w:t>Submit only remainder.</w:t>
      </w:r>
    </w:p>
    <w:p>
      <w:pPr>
        <w:pStyle w:val="ListBody"/>
        <w:ind w:left="490" w:hanging="331"/>
      </w:pPr>
      <w:r>
        <w:rPr>
          <w:b/>
        </w:rPr>
        <w:t xml:space="preserve">8. </w:t>
      </w:r>
      <w:r>
        <w:t>Record failover.</w:t>
      </w:r>
    </w:p>
    <w:p>
      <w:pPr/>
      <w:r>
        <w:t>A timeout is not a rejection.</w:t>
      </w:r>
    </w:p>
    <w:p>
      <w:pPr>
        <w:spacing w:after="0"/>
      </w:pPr>
      <w:r/>
    </w:p>
    <w:p>
      <w:pPr>
        <w:pStyle w:val="Heading1"/>
        <w:pBdr>
          <w:bottom w:val="single" w:sz="4" w:space="5" w:color="7A9AAA"/>
        </w:pBdr>
        <w:keepNext/>
      </w:pPr>
      <w:r>
        <w:t>81. Dashboard</w:t>
      </w:r>
    </w:p>
    <w:p>
      <w:pPr/>
      <w:r>
        <w:t>Navigation:</w:t>
      </w:r>
    </w:p>
    <w:p>
      <w:pPr/>
      <w:r>
        <w:t>Overview</w:t>
        <w:br/>
        <w:t>Signals</w:t>
        <w:br/>
        <w:t>Screener</w:t>
        <w:br/>
        <w:t>Rankings</w:t>
        <w:br/>
        <w:t>Watchlists</w:t>
        <w:br/>
        <w:t>Company Research</w:t>
        <w:br/>
        <w:t>Portfolio</w:t>
        <w:br/>
        <w:t>Orders</w:t>
        <w:br/>
        <w:t>Alerts</w:t>
        <w:br/>
        <w:t>Backtesting</w:t>
        <w:br/>
        <w:t>Data Quality</w:t>
        <w:br/>
        <w:t>Model Governance</w:t>
        <w:br/>
        <w:t>Resources</w:t>
        <w:br/>
        <w:t>Settings</w:t>
        <w:br/>
        <w:t>Audit</w:t>
      </w:r>
    </w:p>
    <w:p>
      <w:pPr>
        <w:spacing w:after="0"/>
      </w:pPr>
      <w:r/>
    </w:p>
    <w:p>
      <w:pPr>
        <w:pStyle w:val="Heading1"/>
        <w:pBdr>
          <w:bottom w:val="single" w:sz="4" w:space="5" w:color="7A9AAA"/>
        </w:pBdr>
        <w:keepNext/>
      </w:pPr>
      <w:r>
        <w:t>82. Master control bar</w:t>
      </w:r>
    </w:p>
    <w:p>
      <w:pPr/>
      <w:r>
        <w:t>Display:</w:t>
      </w:r>
    </w:p>
    <w:p>
      <w:pPr>
        <w:pStyle w:val="ListBody"/>
        <w:ind w:left="490" w:hanging="331"/>
      </w:pPr>
      <w:r>
        <w:rPr>
          <w:b/>
        </w:rPr>
        <w:t xml:space="preserve">• </w:t>
      </w:r>
      <w:r>
        <w:t>Mode.</w:t>
      </w:r>
    </w:p>
    <w:p>
      <w:pPr>
        <w:pStyle w:val="ListBody"/>
        <w:ind w:left="490" w:hanging="331"/>
      </w:pPr>
      <w:r>
        <w:rPr>
          <w:b/>
        </w:rPr>
        <w:t xml:space="preserve">• </w:t>
      </w:r>
      <w:r>
        <w:t>Market status.</w:t>
      </w:r>
    </w:p>
    <w:p>
      <w:pPr>
        <w:pStyle w:val="ListBody"/>
        <w:ind w:left="490" w:hanging="331"/>
      </w:pPr>
      <w:r>
        <w:rPr>
          <w:b/>
        </w:rPr>
        <w:t xml:space="preserve">• </w:t>
      </w:r>
      <w:r>
        <w:t>IST time.</w:t>
      </w:r>
    </w:p>
    <w:p>
      <w:pPr>
        <w:pStyle w:val="ListBody"/>
        <w:ind w:left="490" w:hanging="331"/>
      </w:pPr>
      <w:r>
        <w:rPr>
          <w:b/>
        </w:rPr>
        <w:t xml:space="preserve">• </w:t>
      </w:r>
      <w:r>
        <w:t>Data time.</w:t>
      </w:r>
    </w:p>
    <w:p>
      <w:pPr>
        <w:pStyle w:val="ListBody"/>
        <w:ind w:left="490" w:hanging="331"/>
      </w:pPr>
      <w:r>
        <w:rPr>
          <w:b/>
        </w:rPr>
        <w:t xml:space="preserve">• </w:t>
      </w:r>
      <w:r>
        <w:t>Broker health.</w:t>
      </w:r>
    </w:p>
    <w:p>
      <w:pPr>
        <w:pStyle w:val="ListBody"/>
        <w:ind w:left="490" w:hanging="331"/>
      </w:pPr>
      <w:r>
        <w:rPr>
          <w:b/>
        </w:rPr>
        <w:t xml:space="preserve">• </w:t>
      </w:r>
      <w:r>
        <w:t>Price-feed health.</w:t>
      </w:r>
    </w:p>
    <w:p>
      <w:pPr>
        <w:pStyle w:val="ListBody"/>
        <w:ind w:left="490" w:hanging="331"/>
      </w:pPr>
      <w:r>
        <w:rPr>
          <w:b/>
        </w:rPr>
        <w:t xml:space="preserve">• </w:t>
      </w:r>
      <w:r>
        <w:t>Fundamental health.</w:t>
      </w:r>
    </w:p>
    <w:p>
      <w:pPr>
        <w:pStyle w:val="ListBody"/>
        <w:ind w:left="490" w:hanging="331"/>
      </w:pPr>
      <w:r>
        <w:rPr>
          <w:b/>
        </w:rPr>
        <w:t xml:space="preserve">• </w:t>
      </w:r>
      <w:r>
        <w:t>Universe count.</w:t>
      </w:r>
    </w:p>
    <w:p>
      <w:pPr>
        <w:pStyle w:val="ListBody"/>
        <w:ind w:left="490" w:hanging="331"/>
      </w:pPr>
      <w:r>
        <w:rPr>
          <w:b/>
        </w:rPr>
        <w:t xml:space="preserve">• </w:t>
      </w:r>
      <w:r>
        <w:t>Signal count.</w:t>
      </w:r>
    </w:p>
    <w:p>
      <w:pPr>
        <w:pStyle w:val="ListBody"/>
        <w:ind w:left="490" w:hanging="331"/>
      </w:pPr>
      <w:r>
        <w:rPr>
          <w:b/>
        </w:rPr>
        <w:t xml:space="preserve">• </w:t>
      </w:r>
      <w:r>
        <w:t>Positions.</w:t>
      </w:r>
    </w:p>
    <w:p>
      <w:pPr>
        <w:pStyle w:val="ListBody"/>
        <w:ind w:left="490" w:hanging="331"/>
      </w:pPr>
      <w:r>
        <w:rPr>
          <w:b/>
        </w:rPr>
        <w:t xml:space="preserve">• </w:t>
      </w:r>
      <w:r>
        <w:t>Daily P&amp;L.</w:t>
      </w:r>
    </w:p>
    <w:p>
      <w:pPr>
        <w:pStyle w:val="ListBody"/>
        <w:ind w:left="490" w:hanging="331"/>
      </w:pPr>
      <w:r>
        <w:rPr>
          <w:b/>
        </w:rPr>
        <w:t xml:space="preserve">• </w:t>
      </w:r>
      <w:r>
        <w:t>Total P&amp;L.</w:t>
      </w:r>
    </w:p>
    <w:p>
      <w:pPr>
        <w:pStyle w:val="ListBody"/>
        <w:ind w:left="490" w:hanging="331"/>
      </w:pPr>
      <w:r>
        <w:rPr>
          <w:b/>
        </w:rPr>
        <w:t xml:space="preserve">• </w:t>
      </w:r>
      <w:r>
        <w:t>Drawdown.</w:t>
      </w:r>
    </w:p>
    <w:p>
      <w:pPr>
        <w:pStyle w:val="ListBody"/>
        <w:ind w:left="490" w:hanging="331"/>
      </w:pPr>
      <w:r>
        <w:rPr>
          <w:b/>
        </w:rPr>
        <w:t xml:space="preserve">• </w:t>
      </w:r>
      <w:r>
        <w:t>Risk utilization.</w:t>
      </w:r>
    </w:p>
    <w:p>
      <w:pPr>
        <w:pStyle w:val="ListBody"/>
        <w:ind w:left="490" w:hanging="331"/>
      </w:pPr>
      <w:r>
        <w:rPr>
          <w:b/>
        </w:rPr>
        <w:t xml:space="preserve">• </w:t>
      </w:r>
      <w:r>
        <w:t>Resource mode.</w:t>
      </w:r>
    </w:p>
    <w:p>
      <w:pPr>
        <w:pStyle w:val="ListBody"/>
        <w:ind w:left="490" w:hanging="331"/>
      </w:pPr>
      <w:r>
        <w:rPr>
          <w:b/>
        </w:rPr>
        <w:t xml:space="preserve">• </w:t>
      </w:r>
      <w:r>
        <w:t>Kill switch.</w:t>
      </w:r>
    </w:p>
    <w:p>
      <w:pPr>
        <w:spacing w:after="0"/>
      </w:pPr>
      <w:r/>
    </w:p>
    <w:p>
      <w:pPr>
        <w:pStyle w:val="Heading1"/>
        <w:pBdr>
          <w:bottom w:val="single" w:sz="4" w:space="5" w:color="7A9AAA"/>
        </w:pBdr>
        <w:keepNext/>
      </w:pPr>
      <w:r>
        <w:t>83. Screener table</w:t>
      </w:r>
    </w:p>
    <w:p>
      <w:pPr/>
      <w:r>
        <w:t>Columns:</w:t>
      </w:r>
    </w:p>
    <w:p>
      <w:pPr/>
      <w:r>
        <w:t>Symbol</w:t>
        <w:br/>
        <w:t>Company</w:t>
        <w:br/>
        <w:t>Sector</w:t>
        <w:br/>
        <w:t>MarketCap</w:t>
        <w:br/>
        <w:t>CandidateScore</w:t>
        <w:br/>
        <w:t>ResearchScore</w:t>
        <w:br/>
        <w:t>DataConfidence</w:t>
        <w:br/>
        <w:t>DailySignal</w:t>
        <w:br/>
        <w:t>WeeklySignal</w:t>
        <w:br/>
        <w:t>MonthlySignal</w:t>
        <w:br/>
        <w:t>MediumSignal</w:t>
        <w:br/>
        <w:t>LongSignal</w:t>
        <w:br/>
        <w:t>Alignment</w:t>
        <w:br/>
        <w:t>Quality</w:t>
        <w:br/>
        <w:t>Growth</w:t>
        <w:br/>
        <w:t>Value</w:t>
        <w:br/>
        <w:t>BalanceSheet</w:t>
        <w:br/>
        <w:t>CapitalAllocation</w:t>
        <w:br/>
        <w:t>Integrity</w:t>
        <w:br/>
        <w:t>Momentum</w:t>
        <w:br/>
        <w:t>Liquidity</w:t>
        <w:br/>
        <w:t>ExpectedReturn</w:t>
        <w:br/>
        <w:t>FairValue</w:t>
        <w:br/>
        <w:t>SectorRank</w:t>
        <w:br/>
        <w:t>SizeRank</w:t>
        <w:br/>
        <w:t>HardGate</w:t>
        <w:br/>
        <w:t>ResearchStatus</w:t>
        <w:br/>
        <w:t>LastFiling</w:t>
        <w:br/>
        <w:t>LastScoreChange</w:t>
      </w:r>
    </w:p>
    <w:p>
      <w:pPr/>
      <w:r>
        <w:t>Features:</w:t>
      </w:r>
    </w:p>
    <w:p>
      <w:pPr>
        <w:pStyle w:val="ListBody"/>
        <w:ind w:left="490" w:hanging="331"/>
      </w:pPr>
      <w:r>
        <w:rPr>
          <w:b/>
        </w:rPr>
        <w:t xml:space="preserve">• </w:t>
      </w:r>
      <w:r>
        <w:t>Server-side pagination.</w:t>
      </w:r>
    </w:p>
    <w:p>
      <w:pPr>
        <w:pStyle w:val="ListBody"/>
        <w:ind w:left="490" w:hanging="331"/>
      </w:pPr>
      <w:r>
        <w:rPr>
          <w:b/>
        </w:rPr>
        <w:t xml:space="preserve">• </w:t>
      </w:r>
      <w:r>
        <w:t>Server-side filters.</w:t>
      </w:r>
    </w:p>
    <w:p>
      <w:pPr>
        <w:pStyle w:val="ListBody"/>
        <w:ind w:left="490" w:hanging="331"/>
      </w:pPr>
      <w:r>
        <w:rPr>
          <w:b/>
        </w:rPr>
        <w:t xml:space="preserve">• </w:t>
      </w:r>
      <w:r>
        <w:t>Virtualized rows.</w:t>
      </w:r>
    </w:p>
    <w:p>
      <w:pPr>
        <w:pStyle w:val="ListBody"/>
        <w:ind w:left="490" w:hanging="331"/>
      </w:pPr>
      <w:r>
        <w:rPr>
          <w:b/>
        </w:rPr>
        <w:t xml:space="preserve">• </w:t>
      </w:r>
      <w:r>
        <w:t>Saved filters.</w:t>
      </w:r>
    </w:p>
    <w:p>
      <w:pPr>
        <w:pStyle w:val="ListBody"/>
        <w:ind w:left="490" w:hanging="331"/>
      </w:pPr>
      <w:r>
        <w:rPr>
          <w:b/>
        </w:rPr>
        <w:t xml:space="preserve">• </w:t>
      </w:r>
      <w:r>
        <w:t>Column selector.</w:t>
      </w:r>
    </w:p>
    <w:p>
      <w:pPr>
        <w:pStyle w:val="ListBody"/>
        <w:ind w:left="490" w:hanging="331"/>
      </w:pPr>
      <w:r>
        <w:rPr>
          <w:b/>
        </w:rPr>
        <w:t xml:space="preserve">• </w:t>
      </w:r>
      <w:r>
        <w:t>Watchlist action.</w:t>
      </w:r>
    </w:p>
    <w:p>
      <w:pPr>
        <w:pStyle w:val="ListBody"/>
        <w:ind w:left="490" w:hanging="331"/>
      </w:pPr>
      <w:r>
        <w:rPr>
          <w:b/>
        </w:rPr>
        <w:t xml:space="preserve">• </w:t>
      </w:r>
      <w:r>
        <w:t>Legally permitted export.</w:t>
      </w:r>
    </w:p>
    <w:p>
      <w:pPr>
        <w:spacing w:after="0"/>
      </w:pPr>
      <w:r/>
    </w:p>
    <w:p>
      <w:pPr>
        <w:pStyle w:val="Heading1"/>
        <w:pBdr>
          <w:bottom w:val="single" w:sz="4" w:space="5" w:color="7A9AAA"/>
        </w:pBdr>
        <w:keepNext/>
      </w:pPr>
      <w:r>
        <w:t>84. Company dashboard</w:t>
      </w:r>
    </w:p>
    <w:p>
      <w:pPr/>
      <w:r>
        <w:t>Tabs:</w:t>
      </w:r>
    </w:p>
    <w:p>
      <w:pPr>
        <w:pStyle w:val="ListBody"/>
        <w:ind w:left="490" w:hanging="331"/>
      </w:pPr>
      <w:r>
        <w:rPr>
          <w:b/>
        </w:rPr>
        <w:t xml:space="preserve">1. </w:t>
      </w:r>
      <w:r>
        <w:t>Summary.</w:t>
      </w:r>
    </w:p>
    <w:p>
      <w:pPr>
        <w:pStyle w:val="ListBody"/>
        <w:ind w:left="490" w:hanging="331"/>
      </w:pPr>
      <w:r>
        <w:rPr>
          <w:b/>
        </w:rPr>
        <w:t xml:space="preserve">2. </w:t>
      </w:r>
      <w:r>
        <w:t>Signals.</w:t>
      </w:r>
    </w:p>
    <w:p>
      <w:pPr>
        <w:pStyle w:val="ListBody"/>
        <w:ind w:left="490" w:hanging="331"/>
      </w:pPr>
      <w:r>
        <w:rPr>
          <w:b/>
        </w:rPr>
        <w:t xml:space="preserve">3. </w:t>
      </w:r>
      <w:r>
        <w:t>Financials.</w:t>
      </w:r>
    </w:p>
    <w:p>
      <w:pPr>
        <w:pStyle w:val="ListBody"/>
        <w:ind w:left="490" w:hanging="331"/>
      </w:pPr>
      <w:r>
        <w:rPr>
          <w:b/>
        </w:rPr>
        <w:t xml:space="preserve">4. </w:t>
      </w:r>
      <w:r>
        <w:t>Sector Metrics.</w:t>
      </w:r>
    </w:p>
    <w:p>
      <w:pPr>
        <w:pStyle w:val="ListBody"/>
        <w:ind w:left="490" w:hanging="331"/>
      </w:pPr>
      <w:r>
        <w:rPr>
          <w:b/>
        </w:rPr>
        <w:t xml:space="preserve">5. </w:t>
      </w:r>
      <w:r>
        <w:t>Cash Flow.</w:t>
      </w:r>
    </w:p>
    <w:p>
      <w:pPr>
        <w:pStyle w:val="ListBody"/>
        <w:ind w:left="490" w:hanging="331"/>
      </w:pPr>
      <w:r>
        <w:rPr>
          <w:b/>
        </w:rPr>
        <w:t xml:space="preserve">6. </w:t>
      </w:r>
      <w:r>
        <w:t>Balance Sheet.</w:t>
      </w:r>
    </w:p>
    <w:p>
      <w:pPr>
        <w:pStyle w:val="ListBody"/>
        <w:ind w:left="490" w:hanging="331"/>
      </w:pPr>
      <w:r>
        <w:rPr>
          <w:b/>
        </w:rPr>
        <w:t xml:space="preserve">7. </w:t>
      </w:r>
      <w:r>
        <w:t>Valuation.</w:t>
      </w:r>
    </w:p>
    <w:p>
      <w:pPr>
        <w:pStyle w:val="ListBody"/>
        <w:ind w:left="490" w:hanging="331"/>
      </w:pPr>
      <w:r>
        <w:rPr>
          <w:b/>
        </w:rPr>
        <w:t xml:space="preserve">8. </w:t>
      </w:r>
      <w:r>
        <w:t>Governance.</w:t>
      </w:r>
    </w:p>
    <w:p>
      <w:pPr>
        <w:pStyle w:val="ListBody"/>
        <w:ind w:left="490" w:hanging="331"/>
      </w:pPr>
      <w:r>
        <w:rPr>
          <w:b/>
        </w:rPr>
        <w:t xml:space="preserve">9. </w:t>
      </w:r>
      <w:r>
        <w:t>Shareholding.</w:t>
      </w:r>
    </w:p>
    <w:p>
      <w:pPr>
        <w:pStyle w:val="ListBody"/>
        <w:ind w:left="490" w:hanging="331"/>
      </w:pPr>
      <w:r>
        <w:rPr>
          <w:b/>
        </w:rPr>
        <w:t xml:space="preserve">10. </w:t>
      </w:r>
      <w:r>
        <w:t>Technicals.</w:t>
      </w:r>
    </w:p>
    <w:p>
      <w:pPr>
        <w:pStyle w:val="ListBody"/>
        <w:ind w:left="490" w:hanging="331"/>
      </w:pPr>
      <w:r>
        <w:rPr>
          <w:b/>
        </w:rPr>
        <w:t xml:space="preserve">11. </w:t>
      </w:r>
      <w:r>
        <w:t>Forecast.</w:t>
      </w:r>
    </w:p>
    <w:p>
      <w:pPr>
        <w:pStyle w:val="ListBody"/>
        <w:ind w:left="490" w:hanging="331"/>
      </w:pPr>
      <w:r>
        <w:rPr>
          <w:b/>
        </w:rPr>
        <w:t xml:space="preserve">12. </w:t>
      </w:r>
      <w:r>
        <w:t>Scenarios.</w:t>
      </w:r>
    </w:p>
    <w:p>
      <w:pPr>
        <w:pStyle w:val="ListBody"/>
        <w:ind w:left="490" w:hanging="331"/>
      </w:pPr>
      <w:r>
        <w:rPr>
          <w:b/>
        </w:rPr>
        <w:t xml:space="preserve">13. </w:t>
      </w:r>
      <w:r>
        <w:t>Catalysts.</w:t>
      </w:r>
    </w:p>
    <w:p>
      <w:pPr>
        <w:pStyle w:val="ListBody"/>
        <w:ind w:left="490" w:hanging="331"/>
      </w:pPr>
      <w:r>
        <w:rPr>
          <w:b/>
        </w:rPr>
        <w:t xml:space="preserve">14. </w:t>
      </w:r>
      <w:r>
        <w:t>Risks.</w:t>
      </w:r>
    </w:p>
    <w:p>
      <w:pPr>
        <w:pStyle w:val="ListBody"/>
        <w:ind w:left="490" w:hanging="331"/>
      </w:pPr>
      <w:r>
        <w:rPr>
          <w:b/>
        </w:rPr>
        <w:t xml:space="preserve">15. </w:t>
      </w:r>
      <w:r>
        <w:t>Evidence.</w:t>
      </w:r>
    </w:p>
    <w:p>
      <w:pPr>
        <w:pStyle w:val="ListBody"/>
        <w:ind w:left="490" w:hanging="331"/>
      </w:pPr>
      <w:r>
        <w:rPr>
          <w:b/>
        </w:rPr>
        <w:t xml:space="preserve">16. </w:t>
      </w:r>
      <w:r>
        <w:t>Signal History.</w:t>
      </w:r>
    </w:p>
    <w:p>
      <w:pPr>
        <w:pStyle w:val="ListBody"/>
        <w:ind w:left="490" w:hanging="331"/>
      </w:pPr>
      <w:r>
        <w:rPr>
          <w:b/>
        </w:rPr>
        <w:t xml:space="preserve">17. </w:t>
      </w:r>
      <w:r>
        <w:t>Position History.</w:t>
      </w:r>
    </w:p>
    <w:p>
      <w:pPr>
        <w:pStyle w:val="ListBody"/>
        <w:ind w:left="490" w:hanging="331"/>
      </w:pPr>
      <w:r>
        <w:rPr>
          <w:b/>
        </w:rPr>
        <w:t xml:space="preserve">18. </w:t>
      </w:r>
      <w:r>
        <w:t>Documents.</w:t>
      </w:r>
    </w:p>
    <w:p>
      <w:pPr>
        <w:pStyle w:val="ListBody"/>
        <w:ind w:left="490" w:hanging="331"/>
      </w:pPr>
      <w:r>
        <w:rPr>
          <w:b/>
        </w:rPr>
        <w:t xml:space="preserve">19. </w:t>
      </w:r>
      <w:r>
        <w:t>Audit Trail.</w:t>
      </w:r>
    </w:p>
    <w:p>
      <w:pPr>
        <w:spacing w:after="0"/>
      </w:pPr>
      <w:r/>
    </w:p>
    <w:p>
      <w:pPr>
        <w:pStyle w:val="Heading1"/>
        <w:pBdr>
          <w:bottom w:val="single" w:sz="4" w:space="5" w:color="7A9AAA"/>
        </w:pBdr>
        <w:keepNext/>
      </w:pPr>
      <w:r>
        <w:t>85. Settings</w:t>
      </w:r>
    </w:p>
    <w:p>
      <w:pPr>
        <w:pStyle w:val="Heading2"/>
        <w:keepNext/>
      </w:pPr>
      <w:r>
        <w:t>General</w:t>
      </w:r>
    </w:p>
    <w:p>
      <w:pPr>
        <w:pStyle w:val="ListBody"/>
        <w:ind w:left="490" w:hanging="331"/>
      </w:pPr>
      <w:r>
        <w:rPr>
          <w:b/>
        </w:rPr>
        <w:t xml:space="preserve">• </w:t>
      </w:r>
      <w:r>
        <w:t>Time zone.</w:t>
      </w:r>
    </w:p>
    <w:p>
      <w:pPr>
        <w:pStyle w:val="ListBody"/>
        <w:ind w:left="490" w:hanging="331"/>
      </w:pPr>
      <w:r>
        <w:rPr>
          <w:b/>
        </w:rPr>
        <w:t xml:space="preserve">• </w:t>
      </w:r>
      <w:r>
        <w:t>Benchmark.</w:t>
      </w:r>
    </w:p>
    <w:p>
      <w:pPr>
        <w:pStyle w:val="ListBody"/>
        <w:ind w:left="490" w:hanging="331"/>
      </w:pPr>
      <w:r>
        <w:rPr>
          <w:b/>
        </w:rPr>
        <w:t xml:space="preserve">• </w:t>
      </w:r>
      <w:r>
        <w:t>Universe.</w:t>
      </w:r>
    </w:p>
    <w:p>
      <w:pPr>
        <w:pStyle w:val="ListBody"/>
        <w:ind w:left="490" w:hanging="331"/>
      </w:pPr>
      <w:r>
        <w:rPr>
          <w:b/>
        </w:rPr>
        <w:t xml:space="preserve">• </w:t>
      </w:r>
      <w:r>
        <w:t>SME toggle.</w:t>
      </w:r>
    </w:p>
    <w:p>
      <w:pPr>
        <w:pStyle w:val="ListBody"/>
        <w:ind w:left="490" w:hanging="331"/>
      </w:pPr>
      <w:r>
        <w:rPr>
          <w:b/>
        </w:rPr>
        <w:t xml:space="preserve">• </w:t>
      </w:r>
      <w:r>
        <w:t>New-listing toggle.</w:t>
      </w:r>
    </w:p>
    <w:p>
      <w:pPr>
        <w:pStyle w:val="ListBody"/>
        <w:ind w:left="490" w:hanging="331"/>
      </w:pPr>
      <w:r>
        <w:rPr>
          <w:b/>
        </w:rPr>
        <w:t xml:space="preserve">• </w:t>
      </w:r>
      <w:r>
        <w:t>F&amp;O toggle.</w:t>
      </w:r>
    </w:p>
    <w:p>
      <w:pPr>
        <w:pStyle w:val="ListBody"/>
        <w:ind w:left="490" w:hanging="331"/>
      </w:pPr>
      <w:r>
        <w:rPr>
          <w:b/>
        </w:rPr>
        <w:t xml:space="preserve">• </w:t>
      </w:r>
      <w:r>
        <w:t>Currency.</w:t>
      </w:r>
    </w:p>
    <w:p>
      <w:pPr>
        <w:pStyle w:val="ListBody"/>
        <w:ind w:left="490" w:hanging="331"/>
      </w:pPr>
      <w:r>
        <w:rPr>
          <w:b/>
        </w:rPr>
        <w:t xml:space="preserve">• </w:t>
      </w:r>
      <w:r>
        <w:t>Trading calendar.</w:t>
      </w:r>
    </w:p>
    <w:p>
      <w:pPr>
        <w:pStyle w:val="Heading2"/>
        <w:keepNext/>
      </w:pPr>
      <w:r>
        <w:t>Scoring</w:t>
      </w:r>
    </w:p>
    <w:p>
      <w:pPr>
        <w:pStyle w:val="ListBody"/>
        <w:ind w:left="490" w:hanging="331"/>
      </w:pPr>
      <w:r>
        <w:rPr>
          <w:b/>
        </w:rPr>
        <w:t xml:space="preserve">• </w:t>
      </w:r>
      <w:r>
        <w:t>Weights.</w:t>
      </w:r>
    </w:p>
    <w:p>
      <w:pPr>
        <w:pStyle w:val="ListBody"/>
        <w:ind w:left="490" w:hanging="331"/>
      </w:pPr>
      <w:r>
        <w:rPr>
          <w:b/>
        </w:rPr>
        <w:t xml:space="preserve">• </w:t>
      </w:r>
      <w:r>
        <w:t>Data Confidence threshold.</w:t>
      </w:r>
    </w:p>
    <w:p>
      <w:pPr>
        <w:pStyle w:val="ListBody"/>
        <w:ind w:left="490" w:hanging="331"/>
      </w:pPr>
      <w:r>
        <w:rPr>
          <w:b/>
        </w:rPr>
        <w:t xml:space="preserve">• </w:t>
      </w:r>
      <w:r>
        <w:t>Missing-data rule.</w:t>
      </w:r>
    </w:p>
    <w:p>
      <w:pPr>
        <w:pStyle w:val="ListBody"/>
        <w:ind w:left="490" w:hanging="331"/>
      </w:pPr>
      <w:r>
        <w:rPr>
          <w:b/>
        </w:rPr>
        <w:t xml:space="preserve">• </w:t>
      </w:r>
      <w:r>
        <w:t>Sector blend.</w:t>
      </w:r>
    </w:p>
    <w:p>
      <w:pPr>
        <w:pStyle w:val="ListBody"/>
        <w:ind w:left="490" w:hanging="331"/>
      </w:pPr>
      <w:r>
        <w:rPr>
          <w:b/>
        </w:rPr>
        <w:t xml:space="preserve">• </w:t>
      </w:r>
      <w:r>
        <w:t>Size blend.</w:t>
      </w:r>
    </w:p>
    <w:p>
      <w:pPr>
        <w:pStyle w:val="ListBody"/>
        <w:ind w:left="490" w:hanging="331"/>
      </w:pPr>
      <w:r>
        <w:rPr>
          <w:b/>
        </w:rPr>
        <w:t xml:space="preserve">• </w:t>
      </w:r>
      <w:r>
        <w:t>Hard-gate caps.</w:t>
      </w:r>
    </w:p>
    <w:p>
      <w:pPr>
        <w:pStyle w:val="Heading2"/>
        <w:keepNext/>
      </w:pPr>
      <w:r>
        <w:t>Horizon</w:t>
      </w:r>
    </w:p>
    <w:p>
      <w:pPr>
        <w:pStyle w:val="ListBody"/>
        <w:ind w:left="490" w:hanging="331"/>
      </w:pPr>
      <w:r>
        <w:rPr>
          <w:b/>
        </w:rPr>
        <w:t xml:space="preserve">• </w:t>
      </w:r>
      <w:r>
        <w:t>Enabled.</w:t>
      </w:r>
    </w:p>
    <w:p>
      <w:pPr>
        <w:pStyle w:val="ListBody"/>
        <w:ind w:left="490" w:hanging="331"/>
      </w:pPr>
      <w:r>
        <w:rPr>
          <w:b/>
        </w:rPr>
        <w:t xml:space="preserve">• </w:t>
      </w:r>
      <w:r>
        <w:t>Entry threshold.</w:t>
      </w:r>
    </w:p>
    <w:p>
      <w:pPr>
        <w:pStyle w:val="ListBody"/>
        <w:ind w:left="490" w:hanging="331"/>
      </w:pPr>
      <w:r>
        <w:rPr>
          <w:b/>
        </w:rPr>
        <w:t xml:space="preserve">• </w:t>
      </w:r>
      <w:r>
        <w:t>Exit threshold.</w:t>
      </w:r>
    </w:p>
    <w:p>
      <w:pPr>
        <w:pStyle w:val="ListBody"/>
        <w:ind w:left="490" w:hanging="331"/>
      </w:pPr>
      <w:r>
        <w:rPr>
          <w:b/>
        </w:rPr>
        <w:t xml:space="preserve">• </w:t>
      </w:r>
      <w:r>
        <w:t>Confidence.</w:t>
      </w:r>
    </w:p>
    <w:p>
      <w:pPr>
        <w:pStyle w:val="ListBody"/>
        <w:ind w:left="490" w:hanging="331"/>
      </w:pPr>
      <w:r>
        <w:rPr>
          <w:b/>
        </w:rPr>
        <w:t xml:space="preserve">• </w:t>
      </w:r>
      <w:r>
        <w:t>Cooldown.</w:t>
      </w:r>
    </w:p>
    <w:p>
      <w:pPr>
        <w:pStyle w:val="ListBody"/>
        <w:ind w:left="490" w:hanging="331"/>
      </w:pPr>
      <w:r>
        <w:rPr>
          <w:b/>
        </w:rPr>
        <w:t xml:space="preserve">• </w:t>
      </w:r>
      <w:r>
        <w:t>Expiry.</w:t>
      </w:r>
    </w:p>
    <w:p>
      <w:pPr>
        <w:pStyle w:val="ListBody"/>
        <w:ind w:left="490" w:hanging="331"/>
      </w:pPr>
      <w:r>
        <w:rPr>
          <w:b/>
        </w:rPr>
        <w:t xml:space="preserve">• </w:t>
      </w:r>
      <w:r>
        <w:t>Holding period.</w:t>
      </w:r>
    </w:p>
    <w:p>
      <w:pPr>
        <w:pStyle w:val="ListBody"/>
        <w:ind w:left="490" w:hanging="331"/>
      </w:pPr>
      <w:r>
        <w:rPr>
          <w:b/>
        </w:rPr>
        <w:t xml:space="preserve">• </w:t>
      </w:r>
      <w:r>
        <w:t>Regime sensitivity.</w:t>
      </w:r>
    </w:p>
    <w:p>
      <w:pPr>
        <w:pStyle w:val="ListBody"/>
        <w:ind w:left="490" w:hanging="331"/>
      </w:pPr>
      <w:r>
        <w:rPr>
          <w:b/>
        </w:rPr>
        <w:t xml:space="preserve">• </w:t>
      </w:r>
      <w:r>
        <w:t>Liquidity threshold.</w:t>
      </w:r>
    </w:p>
    <w:p>
      <w:pPr>
        <w:pStyle w:val="ListBody"/>
        <w:ind w:left="490" w:hanging="331"/>
      </w:pPr>
      <w:r>
        <w:rPr>
          <w:b/>
        </w:rPr>
        <w:t xml:space="preserve">• </w:t>
      </w:r>
      <w:r>
        <w:t>Stop method.</w:t>
      </w:r>
    </w:p>
    <w:p>
      <w:pPr>
        <w:pStyle w:val="ListBody"/>
        <w:ind w:left="490" w:hanging="331"/>
      </w:pPr>
      <w:r>
        <w:rPr>
          <w:b/>
        </w:rPr>
        <w:t xml:space="preserve">• </w:t>
      </w:r>
      <w:r>
        <w:t>Re-entry.</w:t>
      </w:r>
    </w:p>
    <w:p>
      <w:pPr>
        <w:pStyle w:val="Heading2"/>
        <w:keepNext/>
      </w:pPr>
      <w:r>
        <w:t>Data</w:t>
      </w:r>
    </w:p>
    <w:p>
      <w:pPr>
        <w:pStyle w:val="ListBody"/>
        <w:ind w:left="490" w:hanging="331"/>
      </w:pPr>
      <w:r>
        <w:rPr>
          <w:b/>
        </w:rPr>
        <w:t xml:space="preserve">• </w:t>
      </w:r>
      <w:r>
        <w:t>Primary source.</w:t>
      </w:r>
    </w:p>
    <w:p>
      <w:pPr>
        <w:pStyle w:val="ListBody"/>
        <w:ind w:left="490" w:hanging="331"/>
      </w:pPr>
      <w:r>
        <w:rPr>
          <w:b/>
        </w:rPr>
        <w:t xml:space="preserve">• </w:t>
      </w:r>
      <w:r>
        <w:t>Secondary source.</w:t>
      </w:r>
    </w:p>
    <w:p>
      <w:pPr>
        <w:pStyle w:val="ListBody"/>
        <w:ind w:left="490" w:hanging="331"/>
      </w:pPr>
      <w:r>
        <w:rPr>
          <w:b/>
        </w:rPr>
        <w:t xml:space="preserve">• </w:t>
      </w:r>
      <w:r>
        <w:t>Yahoo diagnostic toggle.</w:t>
      </w:r>
    </w:p>
    <w:p>
      <w:pPr>
        <w:pStyle w:val="ListBody"/>
        <w:ind w:left="490" w:hanging="331"/>
      </w:pPr>
      <w:r>
        <w:rPr>
          <w:b/>
        </w:rPr>
        <w:t xml:space="preserve">• </w:t>
      </w:r>
      <w:r>
        <w:t>Screener import.</w:t>
      </w:r>
    </w:p>
    <w:p>
      <w:pPr>
        <w:pStyle w:val="ListBody"/>
        <w:ind w:left="490" w:hanging="331"/>
      </w:pPr>
      <w:r>
        <w:rPr>
          <w:b/>
        </w:rPr>
        <w:t xml:space="preserve">• </w:t>
      </w:r>
      <w:r>
        <w:t>Conflict tolerance.</w:t>
      </w:r>
    </w:p>
    <w:p>
      <w:pPr>
        <w:pStyle w:val="ListBody"/>
        <w:ind w:left="490" w:hanging="331"/>
      </w:pPr>
      <w:r>
        <w:rPr>
          <w:b/>
        </w:rPr>
        <w:t xml:space="preserve">• </w:t>
      </w:r>
      <w:r>
        <w:t>Staleness.</w:t>
      </w:r>
    </w:p>
    <w:p>
      <w:pPr>
        <w:pStyle w:val="ListBody"/>
        <w:ind w:left="490" w:hanging="331"/>
      </w:pPr>
      <w:r>
        <w:rPr>
          <w:b/>
        </w:rPr>
        <w:t xml:space="preserve">• </w:t>
      </w:r>
      <w:r>
        <w:t>Retry.</w:t>
      </w:r>
    </w:p>
    <w:p>
      <w:pPr>
        <w:pStyle w:val="ListBody"/>
        <w:ind w:left="490" w:hanging="331"/>
      </w:pPr>
      <w:r>
        <w:rPr>
          <w:b/>
        </w:rPr>
        <w:t xml:space="preserve">• </w:t>
      </w:r>
      <w:r>
        <w:t>Quarantine.</w:t>
      </w:r>
    </w:p>
    <w:p>
      <w:pPr>
        <w:pStyle w:val="Heading2"/>
        <w:keepNext/>
      </w:pPr>
      <w:r>
        <w:t>Portfolio</w:t>
      </w:r>
    </w:p>
    <w:p>
      <w:pPr>
        <w:pStyle w:val="ListBody"/>
        <w:ind w:left="490" w:hanging="331"/>
      </w:pPr>
      <w:r>
        <w:rPr>
          <w:b/>
        </w:rPr>
        <w:t xml:space="preserve">• </w:t>
      </w:r>
      <w:r>
        <w:t>Capital.</w:t>
      </w:r>
    </w:p>
    <w:p>
      <w:pPr>
        <w:pStyle w:val="ListBody"/>
        <w:ind w:left="490" w:hanging="331"/>
      </w:pPr>
      <w:r>
        <w:rPr>
          <w:b/>
        </w:rPr>
        <w:t xml:space="preserve">• </w:t>
      </w:r>
      <w:r>
        <w:t>Cash reserve.</w:t>
      </w:r>
    </w:p>
    <w:p>
      <w:pPr>
        <w:pStyle w:val="ListBody"/>
        <w:ind w:left="490" w:hanging="331"/>
      </w:pPr>
      <w:r>
        <w:rPr>
          <w:b/>
        </w:rPr>
        <w:t xml:space="preserve">• </w:t>
      </w:r>
      <w:r>
        <w:t>Risk percent.</w:t>
      </w:r>
    </w:p>
    <w:p>
      <w:pPr>
        <w:pStyle w:val="ListBody"/>
        <w:ind w:left="490" w:hanging="331"/>
      </w:pPr>
      <w:r>
        <w:rPr>
          <w:b/>
        </w:rPr>
        <w:t xml:space="preserve">• </w:t>
      </w:r>
      <w:r>
        <w:t>Company cap.</w:t>
      </w:r>
    </w:p>
    <w:p>
      <w:pPr>
        <w:pStyle w:val="ListBody"/>
        <w:ind w:left="490" w:hanging="331"/>
      </w:pPr>
      <w:r>
        <w:rPr>
          <w:b/>
        </w:rPr>
        <w:t xml:space="preserve">• </w:t>
      </w:r>
      <w:r>
        <w:t>Sector cap.</w:t>
      </w:r>
    </w:p>
    <w:p>
      <w:pPr>
        <w:pStyle w:val="ListBody"/>
        <w:ind w:left="490" w:hanging="331"/>
      </w:pPr>
      <w:r>
        <w:rPr>
          <w:b/>
        </w:rPr>
        <w:t xml:space="preserve">• </w:t>
      </w:r>
      <w:r>
        <w:t>SME cap.</w:t>
      </w:r>
    </w:p>
    <w:p>
      <w:pPr>
        <w:pStyle w:val="ListBody"/>
        <w:ind w:left="490" w:hanging="331"/>
      </w:pPr>
      <w:r>
        <w:rPr>
          <w:b/>
        </w:rPr>
        <w:t xml:space="preserve">• </w:t>
      </w:r>
      <w:r>
        <w:t>Tactical cap.</w:t>
      </w:r>
    </w:p>
    <w:p>
      <w:pPr>
        <w:pStyle w:val="ListBody"/>
        <w:ind w:left="490" w:hanging="331"/>
      </w:pPr>
      <w:r>
        <w:rPr>
          <w:b/>
        </w:rPr>
        <w:t xml:space="preserve">• </w:t>
      </w:r>
      <w:r>
        <w:t>F&amp;O cap.</w:t>
      </w:r>
    </w:p>
    <w:p>
      <w:pPr>
        <w:pStyle w:val="ListBody"/>
        <w:ind w:left="490" w:hanging="331"/>
      </w:pPr>
      <w:r>
        <w:rPr>
          <w:b/>
        </w:rPr>
        <w:t xml:space="preserve">• </w:t>
      </w:r>
      <w:r>
        <w:t>Drawdown cap.</w:t>
      </w:r>
    </w:p>
    <w:p>
      <w:pPr>
        <w:pStyle w:val="ListBody"/>
        <w:ind w:left="490" w:hanging="331"/>
      </w:pPr>
      <w:r>
        <w:rPr>
          <w:b/>
        </w:rPr>
        <w:t xml:space="preserve">• </w:t>
      </w:r>
      <w:r>
        <w:t>Exit days.</w:t>
      </w:r>
    </w:p>
    <w:p>
      <w:pPr>
        <w:pStyle w:val="ListBody"/>
        <w:ind w:left="490" w:hanging="331"/>
      </w:pPr>
      <w:r>
        <w:rPr>
          <w:b/>
        </w:rPr>
        <w:t xml:space="preserve">• </w:t>
      </w:r>
      <w:r>
        <w:t>Correlation cap.</w:t>
      </w:r>
    </w:p>
    <w:p>
      <w:pPr>
        <w:pStyle w:val="Heading2"/>
        <w:keepNext/>
      </w:pPr>
      <w:r>
        <w:t>Broker</w:t>
      </w:r>
    </w:p>
    <w:p>
      <w:pPr>
        <w:pStyle w:val="ListBody"/>
        <w:ind w:left="490" w:hanging="331"/>
      </w:pPr>
      <w:r>
        <w:rPr>
          <w:b/>
        </w:rPr>
        <w:t xml:space="preserve">• </w:t>
      </w:r>
      <w:r>
        <w:t>Primary broker.</w:t>
      </w:r>
    </w:p>
    <w:p>
      <w:pPr>
        <w:pStyle w:val="ListBody"/>
        <w:ind w:left="490" w:hanging="331"/>
      </w:pPr>
      <w:r>
        <w:rPr>
          <w:b/>
        </w:rPr>
        <w:t xml:space="preserve">• </w:t>
      </w:r>
      <w:r>
        <w:t>Secondary broker.</w:t>
      </w:r>
    </w:p>
    <w:p>
      <w:pPr>
        <w:pStyle w:val="ListBody"/>
        <w:ind w:left="490" w:hanging="331"/>
      </w:pPr>
      <w:r>
        <w:rPr>
          <w:b/>
        </w:rPr>
        <w:t xml:space="preserve">• </w:t>
      </w:r>
      <w:r>
        <w:t>Product.</w:t>
      </w:r>
    </w:p>
    <w:p>
      <w:pPr>
        <w:pStyle w:val="ListBody"/>
        <w:ind w:left="490" w:hanging="331"/>
      </w:pPr>
      <w:r>
        <w:rPr>
          <w:b/>
        </w:rPr>
        <w:t xml:space="preserve">• </w:t>
      </w:r>
      <w:r>
        <w:t>Order type.</w:t>
      </w:r>
    </w:p>
    <w:p>
      <w:pPr>
        <w:pStyle w:val="ListBody"/>
        <w:ind w:left="490" w:hanging="331"/>
      </w:pPr>
      <w:r>
        <w:rPr>
          <w:b/>
        </w:rPr>
        <w:t xml:space="preserve">• </w:t>
      </w:r>
      <w:r>
        <w:t>Slippage.</w:t>
      </w:r>
    </w:p>
    <w:p>
      <w:pPr>
        <w:pStyle w:val="ListBody"/>
        <w:ind w:left="490" w:hanging="331"/>
      </w:pPr>
      <w:r>
        <w:rPr>
          <w:b/>
        </w:rPr>
        <w:t xml:space="preserve">• </w:t>
      </w:r>
      <w:r>
        <w:t>Maximum value.</w:t>
      </w:r>
    </w:p>
    <w:p>
      <w:pPr>
        <w:pStyle w:val="ListBody"/>
        <w:ind w:left="490" w:hanging="331"/>
      </w:pPr>
      <w:r>
        <w:rPr>
          <w:b/>
        </w:rPr>
        <w:t xml:space="preserve">• </w:t>
      </w:r>
      <w:r>
        <w:t>Split size.</w:t>
      </w:r>
    </w:p>
    <w:p>
      <w:pPr>
        <w:pStyle w:val="ListBody"/>
        <w:ind w:left="490" w:hanging="331"/>
      </w:pPr>
      <w:r>
        <w:rPr>
          <w:b/>
        </w:rPr>
        <w:t xml:space="preserve">• </w:t>
      </w:r>
      <w:r>
        <w:t>Approval requirement.</w:t>
      </w:r>
    </w:p>
    <w:p>
      <w:pPr>
        <w:pStyle w:val="ListBody"/>
        <w:ind w:left="490" w:hanging="331"/>
      </w:pPr>
      <w:r>
        <w:rPr>
          <w:b/>
        </w:rPr>
        <w:t xml:space="preserve">• </w:t>
      </w:r>
      <w:r>
        <w:t>Retry.</w:t>
      </w:r>
    </w:p>
    <w:p>
      <w:pPr>
        <w:pStyle w:val="ListBody"/>
        <w:ind w:left="490" w:hanging="331"/>
      </w:pPr>
      <w:r>
        <w:rPr>
          <w:b/>
        </w:rPr>
        <w:t xml:space="preserve">• </w:t>
      </w:r>
      <w:r>
        <w:t>Partial fills.</w:t>
      </w:r>
    </w:p>
    <w:p>
      <w:pPr>
        <w:pStyle w:val="ListBody"/>
        <w:ind w:left="490" w:hanging="331"/>
      </w:pPr>
      <w:r>
        <w:rPr>
          <w:b/>
        </w:rPr>
        <w:t xml:space="preserve">• </w:t>
      </w:r>
      <w:r>
        <w:t>Static IP status.</w:t>
      </w:r>
    </w:p>
    <w:p>
      <w:pPr>
        <w:pStyle w:val="ListBody"/>
        <w:ind w:left="490" w:hanging="331"/>
      </w:pPr>
      <w:r>
        <w:rPr>
          <w:b/>
        </w:rPr>
        <w:t xml:space="preserve">• </w:t>
      </w:r>
      <w:r>
        <w:t>Algo registration status.</w:t>
      </w:r>
    </w:p>
    <w:p>
      <w:pPr>
        <w:pStyle w:val="ListBody"/>
        <w:ind w:left="490" w:hanging="331"/>
      </w:pPr>
      <w:r>
        <w:rPr>
          <w:b/>
        </w:rPr>
        <w:t xml:space="preserve">• </w:t>
      </w:r>
      <w:r>
        <w:t>Kill switch.</w:t>
      </w:r>
    </w:p>
    <w:p>
      <w:pPr>
        <w:spacing w:after="0"/>
      </w:pPr>
      <w:r/>
    </w:p>
    <w:p>
      <w:pPr>
        <w:pStyle w:val="Heading1"/>
        <w:pBdr>
          <w:bottom w:val="single" w:sz="4" w:space="5" w:color="7A9AAA"/>
        </w:pBdr>
        <w:keepNext/>
      </w:pPr>
      <w:r>
        <w:t>86. Database tables</w:t>
      </w:r>
    </w:p>
    <w:p>
      <w:pPr/>
      <w:r>
        <w:t>companies</w:t>
        <w:br/>
        <w:t>securities</w:t>
        <w:br/>
        <w:t>listings</w:t>
        <w:br/>
        <w:t>security_identifiers</w:t>
        <w:br/>
        <w:t>identifier_history</w:t>
        <w:br/>
        <w:t>security_status_history</w:t>
        <w:br/>
        <w:t>sector_history</w:t>
        <w:br/>
        <w:t>index_membership_history</w:t>
        <w:br/>
        <w:t>corporate_actions</w:t>
        <w:br/>
        <w:t>documents</w:t>
        <w:br/>
        <w:t>document_versions</w:t>
        <w:br/>
        <w:t>financial_facts</w:t>
        <w:br/>
        <w:t>normalized_financial_facts</w:t>
        <w:br/>
        <w:t>sector_facts</w:t>
        <w:br/>
        <w:t>governance_events</w:t>
        <w:br/>
        <w:t>shareholding</w:t>
        <w:br/>
        <w:t>credit_ratings</w:t>
        <w:br/>
        <w:t>daily_prices</w:t>
        <w:br/>
        <w:t>liquidity_metrics</w:t>
        <w:br/>
        <w:t>feature_definitions</w:t>
        <w:br/>
        <w:t>feature_values</w:t>
        <w:br/>
        <w:t>candidate_scores</w:t>
        <w:br/>
        <w:t>research_scores</w:t>
        <w:br/>
        <w:t>research_confidence</w:t>
        <w:br/>
        <w:t>hard_gate_events</w:t>
        <w:br/>
        <w:t>market_regimes</w:t>
        <w:br/>
        <w:t>horizon_scores</w:t>
        <w:br/>
        <w:t>signal_events</w:t>
        <w:br/>
        <w:t>signal_state_history</w:t>
        <w:br/>
        <w:t>watchlists</w:t>
        <w:br/>
        <w:t>forecasts</w:t>
        <w:br/>
        <w:t>valuation_models</w:t>
        <w:br/>
        <w:t>scenario_models</w:t>
        <w:br/>
        <w:t>portfolios</w:t>
        <w:br/>
        <w:t>positions</w:t>
        <w:br/>
        <w:t>orders</w:t>
        <w:br/>
        <w:t>fills</w:t>
        <w:br/>
        <w:t>broker_reconciliation</w:t>
        <w:br/>
        <w:t>alerts</w:t>
        <w:br/>
        <w:t>model_registry</w:t>
        <w:br/>
        <w:t>formula_registry</w:t>
        <w:br/>
        <w:t>data_licenses</w:t>
        <w:br/>
        <w:t>audit_logs</w:t>
      </w:r>
    </w:p>
    <w:p>
      <w:pPr>
        <w:spacing w:after="0"/>
      </w:pPr>
      <w:r/>
    </w:p>
    <w:p>
      <w:pPr>
        <w:pStyle w:val="Heading1"/>
        <w:pBdr>
          <w:bottom w:val="single" w:sz="4" w:space="5" w:color="7A9AAA"/>
        </w:pBdr>
        <w:keepNext/>
      </w:pPr>
      <w:r>
        <w:t>87. Laptop deployment</w:t>
      </w:r>
    </w:p>
    <w:p>
      <w:pPr/>
      <w:r>
        <w:t>Supported profiles:</w:t>
      </w:r>
    </w:p>
    <w:p>
      <w:pPr>
        <w:pStyle w:val="Heading2"/>
        <w:keepNext/>
      </w:pPr>
      <w:r>
        <w:t>16 GB RAM</w:t>
      </w:r>
    </w:p>
    <w:p>
      <w:pPr>
        <w:pStyle w:val="ListBody"/>
        <w:ind w:left="490" w:hanging="331"/>
      </w:pPr>
      <w:r>
        <w:rPr>
          <w:b/>
        </w:rPr>
        <w:t xml:space="preserve">• </w:t>
      </w:r>
      <w:r>
        <w:t>4 analytics workers maximum.</w:t>
      </w:r>
    </w:p>
    <w:p>
      <w:pPr>
        <w:pStyle w:val="ListBody"/>
        <w:ind w:left="490" w:hanging="331"/>
      </w:pPr>
      <w:r>
        <w:rPr>
          <w:b/>
        </w:rPr>
        <w:t xml:space="preserve">• </w:t>
      </w:r>
      <w:r>
        <w:t>2 document workers.</w:t>
      </w:r>
    </w:p>
    <w:p>
      <w:pPr>
        <w:pStyle w:val="ListBody"/>
        <w:ind w:left="490" w:hanging="331"/>
      </w:pPr>
      <w:r>
        <w:rPr>
          <w:b/>
        </w:rPr>
        <w:t xml:space="preserve">• </w:t>
      </w:r>
      <w:r>
        <w:t>One API worker.</w:t>
      </w:r>
    </w:p>
    <w:p>
      <w:pPr>
        <w:pStyle w:val="ListBody"/>
        <w:ind w:left="490" w:hanging="331"/>
      </w:pPr>
      <w:r>
        <w:rPr>
          <w:b/>
        </w:rPr>
        <w:t xml:space="preserve">• </w:t>
      </w:r>
      <w:r>
        <w:t>DuckDB memory limit approximately 5 GB.</w:t>
      </w:r>
    </w:p>
    <w:p>
      <w:pPr>
        <w:pStyle w:val="ListBody"/>
        <w:ind w:left="490" w:hanging="331"/>
      </w:pPr>
      <w:r>
        <w:rPr>
          <w:b/>
        </w:rPr>
        <w:t xml:space="preserve">• </w:t>
      </w:r>
      <w:r>
        <w:t>Restricted AI.</w:t>
      </w:r>
    </w:p>
    <w:p>
      <w:pPr>
        <w:pStyle w:val="Heading2"/>
        <w:keepNext/>
      </w:pPr>
      <w:r>
        <w:t>24 GB RAM</w:t>
      </w:r>
    </w:p>
    <w:p>
      <w:pPr>
        <w:pStyle w:val="ListBody"/>
        <w:ind w:left="490" w:hanging="331"/>
      </w:pPr>
      <w:r>
        <w:rPr>
          <w:b/>
        </w:rPr>
        <w:t xml:space="preserve">• </w:t>
      </w:r>
      <w:r>
        <w:t>6 analytics workers.</w:t>
      </w:r>
    </w:p>
    <w:p>
      <w:pPr>
        <w:pStyle w:val="ListBody"/>
        <w:ind w:left="490" w:hanging="331"/>
      </w:pPr>
      <w:r>
        <w:rPr>
          <w:b/>
        </w:rPr>
        <w:t xml:space="preserve">• </w:t>
      </w:r>
      <w:r>
        <w:t>3 document workers.</w:t>
      </w:r>
    </w:p>
    <w:p>
      <w:pPr>
        <w:pStyle w:val="ListBody"/>
        <w:ind w:left="490" w:hanging="331"/>
      </w:pPr>
      <w:r>
        <w:rPr>
          <w:b/>
        </w:rPr>
        <w:t xml:space="preserve">• </w:t>
      </w:r>
      <w:r>
        <w:t>Up to 2 API workers.</w:t>
      </w:r>
    </w:p>
    <w:p>
      <w:pPr>
        <w:pStyle w:val="ListBody"/>
        <w:ind w:left="490" w:hanging="331"/>
      </w:pPr>
      <w:r>
        <w:rPr>
          <w:b/>
        </w:rPr>
        <w:t xml:space="preserve">• </w:t>
      </w:r>
      <w:r>
        <w:t>DuckDB memory limit approximately 9 GB.</w:t>
      </w:r>
    </w:p>
    <w:p>
      <w:pPr>
        <w:pStyle w:val="Heading2"/>
        <w:keepNext/>
      </w:pPr>
      <w:r>
        <w:t>32 GB RAM</w:t>
      </w:r>
    </w:p>
    <w:p>
      <w:pPr>
        <w:pStyle w:val="ListBody"/>
        <w:ind w:left="490" w:hanging="331"/>
      </w:pPr>
      <w:r>
        <w:rPr>
          <w:b/>
        </w:rPr>
        <w:t xml:space="preserve">• </w:t>
      </w:r>
      <w:r>
        <w:t>6–8 analytics workers after benchmarking.</w:t>
      </w:r>
    </w:p>
    <w:p>
      <w:pPr>
        <w:pStyle w:val="ListBody"/>
        <w:ind w:left="490" w:hanging="331"/>
      </w:pPr>
      <w:r>
        <w:rPr>
          <w:b/>
        </w:rPr>
        <w:t xml:space="preserve">• </w:t>
      </w:r>
      <w:r>
        <w:t>3–4 document workers.</w:t>
      </w:r>
    </w:p>
    <w:p>
      <w:pPr>
        <w:pStyle w:val="ListBody"/>
        <w:ind w:left="490" w:hanging="331"/>
      </w:pPr>
      <w:r>
        <w:rPr>
          <w:b/>
        </w:rPr>
        <w:t xml:space="preserve">• </w:t>
      </w:r>
      <w:r>
        <w:t>2 API workers.</w:t>
      </w:r>
    </w:p>
    <w:p>
      <w:pPr>
        <w:pStyle w:val="ListBody"/>
        <w:ind w:left="490" w:hanging="331"/>
      </w:pPr>
      <w:r>
        <w:rPr>
          <w:b/>
        </w:rPr>
        <w:t xml:space="preserve">• </w:t>
      </w:r>
      <w:r>
        <w:t>DuckDB memory limit approximately 12–14 GB.</w:t>
      </w:r>
    </w:p>
    <w:p>
      <w:pPr>
        <w:pStyle w:val="ListBody"/>
        <w:ind w:left="490" w:hanging="331"/>
      </w:pPr>
      <w:r>
        <w:rPr>
          <w:b/>
        </w:rPr>
        <w:t xml:space="preserve">• </w:t>
      </w:r>
      <w:r>
        <w:t>More file-cache headroom.</w:t>
      </w:r>
    </w:p>
    <w:p>
      <w:pPr/>
      <w:r>
        <w:t>Do not use all CPU threads continuously.</w:t>
      </w:r>
    </w:p>
    <w:p>
      <w:pPr>
        <w:spacing w:after="0"/>
      </w:pPr>
      <w:r/>
    </w:p>
    <w:p>
      <w:pPr>
        <w:pStyle w:val="Heading1"/>
        <w:pBdr>
          <w:bottom w:val="single" w:sz="4" w:space="5" w:color="7A9AAA"/>
        </w:pBdr>
        <w:keepNext/>
      </w:pPr>
      <w:r>
        <w:t>88. Storage policy</w:t>
      </w:r>
    </w:p>
    <w:p>
      <w:pPr/>
      <w:r>
        <w:t>The application must detect actual available disk rather than assume nominal capacity.</w:t>
      </w:r>
    </w:p>
    <w:p>
      <w:pPr>
        <w:pStyle w:val="Heading2"/>
        <w:keepNext/>
      </w:pPr>
      <w:r>
        <w:t>88.1 Internal-disk quota</w:t>
      </w:r>
    </w:p>
    <w:p>
      <w:pPr/>
      <w:r>
        <w:t>For a laptop with approximately 350–400 GB total storage shared with the operating system:</w:t>
      </w:r>
    </w:p>
    <w:p>
      <w:pPr/>
      <w:r>
        <w:t>Maximum application-managed storage: 220–260 GB</w:t>
        <w:br/>
        <w:t>Minimum protected free space: 50–70 GB</w:t>
      </w:r>
    </w:p>
    <w:p>
      <w:pPr/>
      <w:r>
        <w:t>Suggested budget:</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blHeader w:val="true"/>
        </w:trPr>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Category</w:t>
            </w:r>
          </w:p>
        </w:tc>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Budget</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PostgreSQL</w:t>
            </w:r>
          </w:p>
        </w:tc>
        <w:tc>
          <w:tcPr>
            <w:tcW w:type="dxa" w:w="4997"/>
            <w:vAlign w:val="center"/>
            <w:tcMar>
              <w:top w:w="55" w:type="dxa"/>
              <w:start w:w="65" w:type="dxa"/>
              <w:bottom w:w="55" w:type="dxa"/>
              <w:end w:w="65" w:type="dxa"/>
            </w:tcMar>
          </w:tcPr>
          <w:p>
            <w:pPr>
              <w:spacing w:after="0"/>
            </w:pPr>
            <w:r>
              <w:rPr>
                <w:rFonts w:ascii="Cambria" w:hAnsi="Cambria"/>
                <w:sz w:val="18"/>
              </w:rPr>
              <w:t>15 GB</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Daily/Weekly/Monthly Parquet</w:t>
            </w:r>
          </w:p>
        </w:tc>
        <w:tc>
          <w:tcPr>
            <w:tcW w:type="dxa" w:w="4997"/>
            <w:vAlign w:val="center"/>
            <w:tcMar>
              <w:top w:w="55" w:type="dxa"/>
              <w:start w:w="65" w:type="dxa"/>
              <w:bottom w:w="55" w:type="dxa"/>
              <w:end w:w="65" w:type="dxa"/>
            </w:tcMar>
            <w:shd w:fill="F8FAFB"/>
          </w:tcPr>
          <w:p>
            <w:pPr>
              <w:spacing w:after="0"/>
            </w:pPr>
            <w:r>
              <w:rPr>
                <w:rFonts w:ascii="Cambria" w:hAnsi="Cambria"/>
                <w:sz w:val="18"/>
              </w:rPr>
              <w:t>12 GB</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Fundamentals and Features</w:t>
            </w:r>
          </w:p>
        </w:tc>
        <w:tc>
          <w:tcPr>
            <w:tcW w:type="dxa" w:w="4997"/>
            <w:vAlign w:val="center"/>
            <w:tcMar>
              <w:top w:w="55" w:type="dxa"/>
              <w:start w:w="65" w:type="dxa"/>
              <w:bottom w:w="55" w:type="dxa"/>
              <w:end w:w="65" w:type="dxa"/>
            </w:tcMar>
          </w:tcPr>
          <w:p>
            <w:pPr>
              <w:spacing w:after="0"/>
            </w:pPr>
            <w:r>
              <w:rPr>
                <w:rFonts w:ascii="Cambria" w:hAnsi="Cambria"/>
                <w:sz w:val="18"/>
              </w:rPr>
              <w:t>25 GB</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Backtest Snapshots</w:t>
            </w:r>
          </w:p>
        </w:tc>
        <w:tc>
          <w:tcPr>
            <w:tcW w:type="dxa" w:w="4997"/>
            <w:vAlign w:val="center"/>
            <w:tcMar>
              <w:top w:w="55" w:type="dxa"/>
              <w:start w:w="65" w:type="dxa"/>
              <w:bottom w:w="55" w:type="dxa"/>
              <w:end w:w="65" w:type="dxa"/>
            </w:tcMar>
            <w:shd w:fill="F8FAFB"/>
          </w:tcPr>
          <w:p>
            <w:pPr>
              <w:spacing w:after="0"/>
            </w:pPr>
            <w:r>
              <w:rPr>
                <w:rFonts w:ascii="Cambria" w:hAnsi="Cambria"/>
                <w:sz w:val="18"/>
              </w:rPr>
              <w:t>20 GB</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Documents</w:t>
            </w:r>
          </w:p>
        </w:tc>
        <w:tc>
          <w:tcPr>
            <w:tcW w:type="dxa" w:w="4997"/>
            <w:vAlign w:val="center"/>
            <w:tcMar>
              <w:top w:w="55" w:type="dxa"/>
              <w:start w:w="65" w:type="dxa"/>
              <w:bottom w:w="55" w:type="dxa"/>
              <w:end w:w="65" w:type="dxa"/>
            </w:tcMar>
          </w:tcPr>
          <w:p>
            <w:pPr>
              <w:spacing w:after="0"/>
            </w:pPr>
            <w:r>
              <w:rPr>
                <w:rFonts w:ascii="Cambria" w:hAnsi="Cambria"/>
                <w:sz w:val="18"/>
              </w:rPr>
              <w:t>45 GB</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Restricted Intraday</w:t>
            </w:r>
          </w:p>
        </w:tc>
        <w:tc>
          <w:tcPr>
            <w:tcW w:type="dxa" w:w="4997"/>
            <w:vAlign w:val="center"/>
            <w:tcMar>
              <w:top w:w="55" w:type="dxa"/>
              <w:start w:w="65" w:type="dxa"/>
              <w:bottom w:w="55" w:type="dxa"/>
              <w:end w:w="65" w:type="dxa"/>
            </w:tcMar>
            <w:shd w:fill="F8FAFB"/>
          </w:tcPr>
          <w:p>
            <w:pPr>
              <w:spacing w:after="0"/>
            </w:pPr>
            <w:r>
              <w:rPr>
                <w:rFonts w:ascii="Cambria" w:hAnsi="Cambria"/>
                <w:sz w:val="18"/>
              </w:rPr>
              <w:t>35 GB</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Models and Embeddings</w:t>
            </w:r>
          </w:p>
        </w:tc>
        <w:tc>
          <w:tcPr>
            <w:tcW w:type="dxa" w:w="4997"/>
            <w:vAlign w:val="center"/>
            <w:tcMar>
              <w:top w:w="55" w:type="dxa"/>
              <w:start w:w="65" w:type="dxa"/>
              <w:bottom w:w="55" w:type="dxa"/>
              <w:end w:w="65" w:type="dxa"/>
            </w:tcMar>
          </w:tcPr>
          <w:p>
            <w:pPr>
              <w:spacing w:after="0"/>
            </w:pPr>
            <w:r>
              <w:rPr>
                <w:rFonts w:ascii="Cambria" w:hAnsi="Cambria"/>
                <w:sz w:val="18"/>
              </w:rPr>
              <w:t>15 GB</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Backups</w:t>
            </w:r>
          </w:p>
        </w:tc>
        <w:tc>
          <w:tcPr>
            <w:tcW w:type="dxa" w:w="4997"/>
            <w:vAlign w:val="center"/>
            <w:tcMar>
              <w:top w:w="55" w:type="dxa"/>
              <w:start w:w="65" w:type="dxa"/>
              <w:bottom w:w="55" w:type="dxa"/>
              <w:end w:w="65" w:type="dxa"/>
            </w:tcMar>
            <w:shd w:fill="F8FAFB"/>
          </w:tcPr>
          <w:p>
            <w:pPr>
              <w:spacing w:after="0"/>
            </w:pPr>
            <w:r>
              <w:rPr>
                <w:rFonts w:ascii="Cambria" w:hAnsi="Cambria"/>
                <w:sz w:val="18"/>
              </w:rPr>
              <w:t>25 GB</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Temporary Workspace</w:t>
            </w:r>
          </w:p>
        </w:tc>
        <w:tc>
          <w:tcPr>
            <w:tcW w:type="dxa" w:w="4997"/>
            <w:vAlign w:val="center"/>
            <w:tcMar>
              <w:top w:w="55" w:type="dxa"/>
              <w:start w:w="65" w:type="dxa"/>
              <w:bottom w:w="55" w:type="dxa"/>
              <w:end w:w="65" w:type="dxa"/>
            </w:tcMar>
          </w:tcPr>
          <w:p>
            <w:pPr>
              <w:spacing w:after="0"/>
            </w:pPr>
            <w:r>
              <w:rPr>
                <w:rFonts w:ascii="Cambria" w:hAnsi="Cambria"/>
                <w:sz w:val="18"/>
              </w:rPr>
              <w:t>25 GB</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Protected OS/Free Reserve</w:t>
            </w:r>
          </w:p>
        </w:tc>
        <w:tc>
          <w:tcPr>
            <w:tcW w:type="dxa" w:w="4997"/>
            <w:vAlign w:val="center"/>
            <w:tcMar>
              <w:top w:w="55" w:type="dxa"/>
              <w:start w:w="65" w:type="dxa"/>
              <w:bottom w:w="55" w:type="dxa"/>
              <w:end w:w="65" w:type="dxa"/>
            </w:tcMar>
            <w:shd w:fill="F8FAFB"/>
          </w:tcPr>
          <w:p>
            <w:pPr>
              <w:spacing w:after="0"/>
            </w:pPr>
            <w:r>
              <w:rPr>
                <w:rFonts w:ascii="Cambria" w:hAnsi="Cambria"/>
                <w:sz w:val="18"/>
              </w:rPr>
              <w:t>50–70 GB</w:t>
            </w:r>
          </w:p>
        </w:tc>
      </w:tr>
    </w:tbl>
    <w:p>
      <w:pPr>
        <w:spacing w:after="20"/>
      </w:pPr>
    </w:p>
    <w:p>
      <w:pPr/>
      <w:r>
        <w:t>An external SSD is recommended for:</w:t>
      </w:r>
    </w:p>
    <w:p>
      <w:pPr>
        <w:pStyle w:val="ListBody"/>
        <w:ind w:left="490" w:hanging="331"/>
      </w:pPr>
      <w:r>
        <w:rPr>
          <w:b/>
        </w:rPr>
        <w:t xml:space="preserve">• </w:t>
      </w:r>
      <w:r>
        <w:t>PDFs.</w:t>
      </w:r>
    </w:p>
    <w:p>
      <w:pPr>
        <w:pStyle w:val="ListBody"/>
        <w:ind w:left="490" w:hanging="331"/>
      </w:pPr>
      <w:r>
        <w:rPr>
          <w:b/>
        </w:rPr>
        <w:t xml:space="preserve">• </w:t>
      </w:r>
      <w:r>
        <w:t>Intraday data.</w:t>
      </w:r>
    </w:p>
    <w:p>
      <w:pPr>
        <w:pStyle w:val="ListBody"/>
        <w:ind w:left="490" w:hanging="331"/>
      </w:pPr>
      <w:r>
        <w:rPr>
          <w:b/>
        </w:rPr>
        <w:t xml:space="preserve">• </w:t>
      </w:r>
      <w:r>
        <w:t>Backtest archives.</w:t>
      </w:r>
    </w:p>
    <w:p>
      <w:pPr>
        <w:pStyle w:val="ListBody"/>
        <w:ind w:left="490" w:hanging="331"/>
      </w:pPr>
      <w:r>
        <w:rPr>
          <w:b/>
        </w:rPr>
        <w:t xml:space="preserve">• </w:t>
      </w:r>
      <w:r>
        <w:t>Backups.</w:t>
      </w:r>
    </w:p>
    <w:p>
      <w:pPr>
        <w:spacing w:after="0"/>
      </w:pPr>
      <w:r/>
    </w:p>
    <w:p>
      <w:pPr>
        <w:pStyle w:val="Heading1"/>
        <w:pBdr>
          <w:bottom w:val="single" w:sz="4" w:space="5" w:color="7A9AAA"/>
        </w:pBdr>
        <w:keepNext/>
      </w:pPr>
      <w:r>
        <w:t>89. Real-time hot universe</w:t>
      </w:r>
    </w:p>
    <w:p>
      <w:pPr/>
      <w:r>
        <w:t>Full universe:</w:t>
      </w:r>
    </w:p>
    <w:p>
      <w:pPr>
        <w:pStyle w:val="ListBody"/>
        <w:ind w:left="490" w:hanging="331"/>
      </w:pPr>
      <w:r>
        <w:rPr>
          <w:b/>
        </w:rPr>
        <w:t xml:space="preserve">• </w:t>
      </w:r>
      <w:r>
        <w:t>EOD batch.</w:t>
      </w:r>
    </w:p>
    <w:p>
      <w:pPr>
        <w:pStyle w:val="ListBody"/>
        <w:ind w:left="490" w:hanging="331"/>
      </w:pPr>
      <w:r>
        <w:rPr>
          <w:b/>
        </w:rPr>
        <w:t xml:space="preserve">• </w:t>
      </w:r>
      <w:r>
        <w:t>Filing event.</w:t>
      </w:r>
    </w:p>
    <w:p>
      <w:pPr>
        <w:pStyle w:val="ListBody"/>
        <w:ind w:left="490" w:hanging="331"/>
      </w:pPr>
      <w:r>
        <w:rPr>
          <w:b/>
        </w:rPr>
        <w:t xml:space="preserve">• </w:t>
      </w:r>
      <w:r>
        <w:t>Scheduled ranking.</w:t>
      </w:r>
    </w:p>
    <w:p>
      <w:pPr/>
      <w:r>
        <w:t>Live universe:</w:t>
      </w:r>
    </w:p>
    <w:p>
      <w:pPr>
        <w:pStyle w:val="ListBody"/>
        <w:ind w:left="490" w:hanging="331"/>
      </w:pPr>
      <w:r>
        <w:rPr>
          <w:b/>
        </w:rPr>
        <w:t xml:space="preserve">• </w:t>
      </w:r>
      <w:r>
        <w:t>Holdings.</w:t>
      </w:r>
    </w:p>
    <w:p>
      <w:pPr>
        <w:pStyle w:val="ListBody"/>
        <w:ind w:left="490" w:hanging="331"/>
      </w:pPr>
      <w:r>
        <w:rPr>
          <w:b/>
        </w:rPr>
        <w:t xml:space="preserve">• </w:t>
      </w:r>
      <w:r>
        <w:t>Open orders.</w:t>
      </w:r>
    </w:p>
    <w:p>
      <w:pPr>
        <w:pStyle w:val="ListBody"/>
        <w:ind w:left="490" w:hanging="331"/>
      </w:pPr>
      <w:r>
        <w:rPr>
          <w:b/>
        </w:rPr>
        <w:t xml:space="preserve">• </w:t>
      </w:r>
      <w:r>
        <w:t>Active signals.</w:t>
      </w:r>
    </w:p>
    <w:p>
      <w:pPr>
        <w:pStyle w:val="ListBody"/>
        <w:ind w:left="490" w:hanging="331"/>
      </w:pPr>
      <w:r>
        <w:rPr>
          <w:b/>
        </w:rPr>
        <w:t xml:space="preserve">• </w:t>
      </w:r>
      <w:r>
        <w:t>Top ranks.</w:t>
      </w:r>
    </w:p>
    <w:p>
      <w:pPr>
        <w:pStyle w:val="ListBody"/>
        <w:ind w:left="490" w:hanging="331"/>
      </w:pPr>
      <w:r>
        <w:rPr>
          <w:b/>
        </w:rPr>
        <w:t xml:space="preserve">• </w:t>
      </w:r>
      <w:r>
        <w:t>Event alerts.</w:t>
      </w:r>
    </w:p>
    <w:p>
      <w:pPr>
        <w:pStyle w:val="ListBody"/>
        <w:ind w:left="490" w:hanging="331"/>
      </w:pPr>
      <w:r>
        <w:rPr>
          <w:b/>
        </w:rPr>
        <w:t xml:space="preserve">• </w:t>
      </w:r>
      <w:r>
        <w:t>Watchlists.</w:t>
      </w:r>
    </w:p>
    <w:p>
      <w:pPr>
        <w:pStyle w:val="ListBody"/>
        <w:ind w:left="490" w:hanging="331"/>
      </w:pPr>
      <w:r>
        <w:rPr>
          <w:b/>
        </w:rPr>
        <w:t xml:space="preserve">• </w:t>
      </w:r>
      <w:r>
        <w:t>F&amp;O candidates.</w:t>
      </w:r>
    </w:p>
    <w:p>
      <w:pPr/>
      <w:r>
        <w:t>Recommended:</w:t>
      </w:r>
    </w:p>
    <w:p>
      <w:pPr/>
      <w:r>
        <w:t>Normal live universe: 100–200</w:t>
        <w:br/>
        <w:t>Maximum laptop live universe: 300</w:t>
      </w:r>
    </w:p>
    <w:p>
      <w:pPr>
        <w:spacing w:after="0"/>
      </w:pPr>
      <w:r/>
    </w:p>
    <w:p>
      <w:pPr>
        <w:pStyle w:val="Heading1"/>
        <w:pBdr>
          <w:bottom w:val="single" w:sz="4" w:space="5" w:color="7A9AAA"/>
        </w:pBdr>
        <w:keepNext/>
      </w:pPr>
      <w:r>
        <w:t>90. Resource governor</w:t>
      </w:r>
    </w:p>
    <w:p>
      <w:pPr/>
      <w:r>
        <w:t>States:</w:t>
      </w:r>
    </w:p>
    <w:p>
      <w:pPr>
        <w:pStyle w:val="ListBody"/>
        <w:ind w:left="490" w:hanging="331"/>
      </w:pPr>
      <w:r>
        <w:rPr>
          <w:b/>
        </w:rPr>
        <w:t xml:space="preserve">• </w:t>
      </w:r>
      <w:r>
        <w:t>Normal.</w:t>
      </w:r>
    </w:p>
    <w:p>
      <w:pPr>
        <w:pStyle w:val="ListBody"/>
        <w:ind w:left="490" w:hanging="331"/>
      </w:pPr>
      <w:r>
        <w:rPr>
          <w:b/>
        </w:rPr>
        <w:t xml:space="preserve">• </w:t>
      </w:r>
      <w:r>
        <w:t>Busy.</w:t>
      </w:r>
    </w:p>
    <w:p>
      <w:pPr>
        <w:pStyle w:val="ListBody"/>
        <w:ind w:left="490" w:hanging="331"/>
      </w:pPr>
      <w:r>
        <w:rPr>
          <w:b/>
        </w:rPr>
        <w:t xml:space="preserve">• </w:t>
      </w:r>
      <w:r>
        <w:t>Throttled.</w:t>
      </w:r>
    </w:p>
    <w:p>
      <w:pPr>
        <w:pStyle w:val="ListBody"/>
        <w:ind w:left="490" w:hanging="331"/>
      </w:pPr>
      <w:r>
        <w:rPr>
          <w:b/>
        </w:rPr>
        <w:t xml:space="preserve">• </w:t>
      </w:r>
      <w:r>
        <w:t>Low Memory.</w:t>
      </w:r>
    </w:p>
    <w:p>
      <w:pPr>
        <w:pStyle w:val="ListBody"/>
        <w:ind w:left="490" w:hanging="331"/>
      </w:pPr>
      <w:r>
        <w:rPr>
          <w:b/>
        </w:rPr>
        <w:t xml:space="preserve">• </w:t>
      </w:r>
      <w:r>
        <w:t>Low Storage.</w:t>
      </w:r>
    </w:p>
    <w:p>
      <w:pPr>
        <w:pStyle w:val="ListBody"/>
        <w:ind w:left="490" w:hanging="331"/>
      </w:pPr>
      <w:r>
        <w:rPr>
          <w:b/>
        </w:rPr>
        <w:t xml:space="preserve">• </w:t>
      </w:r>
      <w:r>
        <w:t>GPU Limited.</w:t>
      </w:r>
    </w:p>
    <w:p>
      <w:pPr>
        <w:pStyle w:val="ListBody"/>
        <w:ind w:left="490" w:hanging="331"/>
      </w:pPr>
      <w:r>
        <w:rPr>
          <w:b/>
        </w:rPr>
        <w:t xml:space="preserve">• </w:t>
      </w:r>
      <w:r>
        <w:t>Market Priority.</w:t>
      </w:r>
    </w:p>
    <w:p>
      <w:pPr>
        <w:pStyle w:val="ListBody"/>
        <w:ind w:left="490" w:hanging="331"/>
      </w:pPr>
      <w:r>
        <w:rPr>
          <w:b/>
        </w:rPr>
        <w:t xml:space="preserve">• </w:t>
      </w:r>
      <w:r>
        <w:t>Emergency.</w:t>
      </w:r>
    </w:p>
    <w:p>
      <w:pPr/>
      <w:r>
        <w:t>Rules:</w:t>
      </w:r>
    </w:p>
    <w:p>
      <w:pPr/>
      <w:r>
        <w:t>def apply_resource_governor(metrics):</w:t>
        <w:br/>
        <w:t xml:space="preserve">    if metrics.free_ram_gb &lt; 2:</w:t>
        <w:br/>
        <w:t xml:space="preserve">        pause_document_jobs()</w:t>
        <w:br/>
        <w:t xml:space="preserve">        reduce_cpu_workers(2)</w:t>
        <w:br/>
        <w:t xml:space="preserve">        cancel_noncritical_backtests()</w:t>
        <w:br/>
        <w:br/>
        <w:t xml:space="preserve">    if metrics.disk_free_gb &lt; 50:</w:t>
        <w:br/>
        <w:t xml:space="preserve">        block_new_backtests()</w:t>
        <w:br/>
        <w:t xml:space="preserve">        clear_expired_temp_files()</w:t>
        <w:br/>
        <w:t xml:space="preserve">        archive_old_documents()</w:t>
        <w:br/>
        <w:br/>
        <w:t xml:space="preserve">    if metrics.gpu_vram_percent &gt; 85:</w:t>
        <w:br/>
        <w:t xml:space="preserve">        reduce_gpu_batch_size()</w:t>
        <w:br/>
        <w:t xml:space="preserve">        reject_new_gpu_jobs()</w:t>
        <w:br/>
        <w:br/>
        <w:t xml:space="preserve">    if metrics.market_is_open:</w:t>
        <w:br/>
        <w:t xml:space="preserve">        prioritize_broker_and_risk_jobs()</w:t>
        <w:br/>
        <w:t xml:space="preserve">        pause_background_research()</w:t>
      </w:r>
    </w:p>
    <w:p>
      <w:pPr>
        <w:spacing w:after="0"/>
      </w:pPr>
      <w:r/>
    </w:p>
    <w:p>
      <w:pPr>
        <w:pStyle w:val="Heading1"/>
        <w:pBdr>
          <w:bottom w:val="single" w:sz="4" w:space="5" w:color="7A9AAA"/>
        </w:pBdr>
        <w:keepNext/>
      </w:pPr>
      <w:r>
        <w:t>91. Backtesting</w:t>
      </w:r>
    </w:p>
    <w:p>
      <w:pPr/>
      <w:r>
        <w:t>Must include:</w:t>
      </w:r>
    </w:p>
    <w:p>
      <w:pPr>
        <w:pStyle w:val="ListBody"/>
        <w:ind w:left="490" w:hanging="331"/>
      </w:pPr>
      <w:r>
        <w:rPr>
          <w:b/>
        </w:rPr>
        <w:t xml:space="preserve">• </w:t>
      </w:r>
      <w:r>
        <w:t>Point-in-time filings.</w:t>
      </w:r>
    </w:p>
    <w:p>
      <w:pPr>
        <w:pStyle w:val="ListBody"/>
        <w:ind w:left="490" w:hanging="331"/>
      </w:pPr>
      <w:r>
        <w:rPr>
          <w:b/>
        </w:rPr>
        <w:t xml:space="preserve">• </w:t>
      </w:r>
      <w:r>
        <w:t>Original filing versions.</w:t>
      </w:r>
    </w:p>
    <w:p>
      <w:pPr>
        <w:pStyle w:val="ListBody"/>
        <w:ind w:left="490" w:hanging="331"/>
      </w:pPr>
      <w:r>
        <w:rPr>
          <w:b/>
        </w:rPr>
        <w:t xml:space="preserve">• </w:t>
      </w:r>
      <w:r>
        <w:t>Delisted stocks.</w:t>
      </w:r>
    </w:p>
    <w:p>
      <w:pPr>
        <w:pStyle w:val="ListBody"/>
        <w:ind w:left="490" w:hanging="331"/>
      </w:pPr>
      <w:r>
        <w:rPr>
          <w:b/>
        </w:rPr>
        <w:t xml:space="preserve">• </w:t>
      </w:r>
      <w:r>
        <w:t>Suspended stocks.</w:t>
      </w:r>
    </w:p>
    <w:p>
      <w:pPr>
        <w:pStyle w:val="ListBody"/>
        <w:ind w:left="490" w:hanging="331"/>
      </w:pPr>
      <w:r>
        <w:rPr>
          <w:b/>
        </w:rPr>
        <w:t xml:space="preserve">• </w:t>
      </w:r>
      <w:r>
        <w:t>Historical sector classifications.</w:t>
      </w:r>
    </w:p>
    <w:p>
      <w:pPr>
        <w:pStyle w:val="ListBody"/>
        <w:ind w:left="490" w:hanging="331"/>
      </w:pPr>
      <w:r>
        <w:rPr>
          <w:b/>
        </w:rPr>
        <w:t xml:space="preserve">• </w:t>
      </w:r>
      <w:r>
        <w:t>Historical index membership.</w:t>
      </w:r>
    </w:p>
    <w:p>
      <w:pPr>
        <w:pStyle w:val="ListBody"/>
        <w:ind w:left="490" w:hanging="331"/>
      </w:pPr>
      <w:r>
        <w:rPr>
          <w:b/>
        </w:rPr>
        <w:t xml:space="preserve">• </w:t>
      </w:r>
      <w:r>
        <w:t>Symbol changes.</w:t>
      </w:r>
    </w:p>
    <w:p>
      <w:pPr>
        <w:pStyle w:val="ListBody"/>
        <w:ind w:left="490" w:hanging="331"/>
      </w:pPr>
      <w:r>
        <w:rPr>
          <w:b/>
        </w:rPr>
        <w:t xml:space="preserve">• </w:t>
      </w:r>
      <w:r>
        <w:t>Corporate actions.</w:t>
      </w:r>
    </w:p>
    <w:p>
      <w:pPr>
        <w:pStyle w:val="ListBody"/>
        <w:ind w:left="490" w:hanging="331"/>
      </w:pPr>
      <w:r>
        <w:rPr>
          <w:b/>
        </w:rPr>
        <w:t xml:space="preserve">• </w:t>
      </w:r>
      <w:r>
        <w:t>Dividends.</w:t>
      </w:r>
    </w:p>
    <w:p>
      <w:pPr>
        <w:pStyle w:val="ListBody"/>
        <w:ind w:left="490" w:hanging="331"/>
      </w:pPr>
      <w:r>
        <w:rPr>
          <w:b/>
        </w:rPr>
        <w:t xml:space="preserve">• </w:t>
      </w:r>
      <w:r>
        <w:t>Costs.</w:t>
      </w:r>
    </w:p>
    <w:p>
      <w:pPr>
        <w:pStyle w:val="ListBody"/>
        <w:ind w:left="490" w:hanging="331"/>
      </w:pPr>
      <w:r>
        <w:rPr>
          <w:b/>
        </w:rPr>
        <w:t xml:space="preserve">• </w:t>
      </w:r>
      <w:r>
        <w:t>Taxes.</w:t>
      </w:r>
    </w:p>
    <w:p>
      <w:pPr>
        <w:pStyle w:val="ListBody"/>
        <w:ind w:left="490" w:hanging="331"/>
      </w:pPr>
      <w:r>
        <w:rPr>
          <w:b/>
        </w:rPr>
        <w:t xml:space="preserve">• </w:t>
      </w:r>
      <w:r>
        <w:t>Slippage.</w:t>
      </w:r>
    </w:p>
    <w:p>
      <w:pPr>
        <w:pStyle w:val="ListBody"/>
        <w:ind w:left="490" w:hanging="331"/>
      </w:pPr>
      <w:r>
        <w:rPr>
          <w:b/>
        </w:rPr>
        <w:t xml:space="preserve">• </w:t>
      </w:r>
      <w:r>
        <w:t>Market impact.</w:t>
      </w:r>
    </w:p>
    <w:p>
      <w:pPr>
        <w:pStyle w:val="ListBody"/>
        <w:ind w:left="490" w:hanging="331"/>
      </w:pPr>
      <w:r>
        <w:rPr>
          <w:b/>
        </w:rPr>
        <w:t xml:space="preserve">• </w:t>
      </w:r>
      <w:r>
        <w:t>Execution lag.</w:t>
      </w:r>
    </w:p>
    <w:p>
      <w:pPr>
        <w:pStyle w:val="ListBody"/>
        <w:ind w:left="490" w:hanging="331"/>
      </w:pPr>
      <w:r>
        <w:rPr>
          <w:b/>
        </w:rPr>
        <w:t xml:space="preserve">• </w:t>
      </w:r>
      <w:r>
        <w:t>Liquidity.</w:t>
      </w:r>
    </w:p>
    <w:p>
      <w:pPr>
        <w:pStyle w:val="ListBody"/>
        <w:ind w:left="490" w:hanging="331"/>
      </w:pPr>
      <w:r>
        <w:rPr>
          <w:b/>
        </w:rPr>
        <w:t xml:space="preserve">• </w:t>
      </w:r>
      <w:r>
        <w:t>Signal expiry.</w:t>
      </w:r>
    </w:p>
    <w:p>
      <w:pPr>
        <w:pStyle w:val="ListBody"/>
        <w:ind w:left="490" w:hanging="331"/>
      </w:pPr>
      <w:r>
        <w:rPr>
          <w:b/>
        </w:rPr>
        <w:t xml:space="preserve">• </w:t>
      </w:r>
      <w:r>
        <w:t>Hard-gate history.</w:t>
      </w:r>
    </w:p>
    <w:p>
      <w:pPr>
        <w:spacing w:after="0"/>
      </w:pPr>
      <w:r/>
    </w:p>
    <w:p>
      <w:pPr>
        <w:pStyle w:val="Heading1"/>
        <w:pBdr>
          <w:bottom w:val="single" w:sz="4" w:space="5" w:color="7A9AAA"/>
        </w:pBdr>
        <w:keepNext/>
      </w:pPr>
      <w:r>
        <w:t>92. Walk-forward testing</w:t>
      </w:r>
    </w:p>
    <w:p>
      <w:pPr/>
      <w:r>
        <w:t>Example:</w:t>
      </w:r>
    </w:p>
    <w:p>
      <w:pPr/>
      <w:r>
        <w:t>Train = 5 years</w:t>
        <w:br/>
        <w:t>Validate = 1 year</w:t>
        <w:br/>
        <w:t>Test = 1 year</w:t>
        <w:br/>
        <w:t>Roll = 1 year</w:t>
      </w:r>
    </w:p>
    <w:p>
      <w:pPr/>
      <w:r>
        <w:t>Parameters frozen during test.</w:t>
      </w:r>
    </w:p>
    <w:p>
      <w:pPr>
        <w:spacing w:after="0"/>
      </w:pPr>
      <w:r/>
    </w:p>
    <w:p>
      <w:pPr>
        <w:pStyle w:val="Heading1"/>
        <w:pBdr>
          <w:bottom w:val="single" w:sz="4" w:space="5" w:color="7A9AAA"/>
        </w:pBdr>
        <w:keepNext/>
      </w:pPr>
      <w:r>
        <w:t>93. Performance measures</w:t>
      </w:r>
    </w:p>
    <w:p>
      <w:pPr/>
      <w:r>
        <w:t>Returns:</w:t>
      </w:r>
    </w:p>
    <w:p>
      <w:pPr>
        <w:pStyle w:val="ListBody"/>
        <w:ind w:left="490" w:hanging="331"/>
      </w:pPr>
      <w:r>
        <w:rPr>
          <w:b/>
        </w:rPr>
        <w:t xml:space="preserve">• </w:t>
      </w:r>
      <w:r>
        <w:t>CAGR.</w:t>
      </w:r>
    </w:p>
    <w:p>
      <w:pPr>
        <w:pStyle w:val="ListBody"/>
        <w:ind w:left="490" w:hanging="331"/>
      </w:pPr>
      <w:r>
        <w:rPr>
          <w:b/>
        </w:rPr>
        <w:t xml:space="preserve">• </w:t>
      </w:r>
      <w:r>
        <w:t>Excess return.</w:t>
      </w:r>
    </w:p>
    <w:p>
      <w:pPr>
        <w:pStyle w:val="ListBody"/>
        <w:ind w:left="490" w:hanging="331"/>
      </w:pPr>
      <w:r>
        <w:rPr>
          <w:b/>
        </w:rPr>
        <w:t xml:space="preserve">• </w:t>
      </w:r>
      <w:r>
        <w:t>Rolling return.</w:t>
      </w:r>
    </w:p>
    <w:p>
      <w:pPr>
        <w:pStyle w:val="ListBody"/>
        <w:ind w:left="490" w:hanging="331"/>
      </w:pPr>
      <w:r>
        <w:rPr>
          <w:b/>
        </w:rPr>
        <w:t xml:space="preserve">• </w:t>
      </w:r>
      <w:r>
        <w:t>Hit rate.</w:t>
      </w:r>
    </w:p>
    <w:p>
      <w:pPr/>
      <w:r>
        <w:t>Risk:</w:t>
      </w:r>
    </w:p>
    <w:p>
      <w:pPr>
        <w:pStyle w:val="ListBody"/>
        <w:ind w:left="490" w:hanging="331"/>
      </w:pPr>
      <w:r>
        <w:rPr>
          <w:b/>
        </w:rPr>
        <w:t xml:space="preserve">• </w:t>
      </w:r>
      <w:r>
        <w:t>Volatility.</w:t>
      </w:r>
    </w:p>
    <w:p>
      <w:pPr>
        <w:pStyle w:val="ListBody"/>
        <w:ind w:left="490" w:hanging="331"/>
      </w:pPr>
      <w:r>
        <w:rPr>
          <w:b/>
        </w:rPr>
        <w:t xml:space="preserve">• </w:t>
      </w:r>
      <w:r>
        <w:t>Maximum drawdown.</w:t>
      </w:r>
    </w:p>
    <w:p>
      <w:pPr>
        <w:pStyle w:val="ListBody"/>
        <w:ind w:left="490" w:hanging="331"/>
      </w:pPr>
      <w:r>
        <w:rPr>
          <w:b/>
        </w:rPr>
        <w:t xml:space="preserve">• </w:t>
      </w:r>
      <w:r>
        <w:t>Drawdown duration.</w:t>
      </w:r>
    </w:p>
    <w:p>
      <w:pPr>
        <w:pStyle w:val="ListBody"/>
        <w:ind w:left="490" w:hanging="331"/>
      </w:pPr>
      <w:r>
        <w:rPr>
          <w:b/>
        </w:rPr>
        <w:t xml:space="preserve">• </w:t>
      </w:r>
      <w:r>
        <w:t>Expected shortfall.</w:t>
      </w:r>
    </w:p>
    <w:p>
      <w:pPr/>
      <w:r>
        <w:t>Risk adjusted:</w:t>
      </w:r>
    </w:p>
    <w:p>
      <w:pPr>
        <w:pStyle w:val="ListBody"/>
        <w:ind w:left="490" w:hanging="331"/>
      </w:pPr>
      <w:r>
        <w:rPr>
          <w:b/>
        </w:rPr>
        <w:t xml:space="preserve">• </w:t>
      </w:r>
      <w:r>
        <w:t>Sharpe.</w:t>
      </w:r>
    </w:p>
    <w:p>
      <w:pPr>
        <w:pStyle w:val="ListBody"/>
        <w:ind w:left="490" w:hanging="331"/>
      </w:pPr>
      <w:r>
        <w:rPr>
          <w:b/>
        </w:rPr>
        <w:t xml:space="preserve">• </w:t>
      </w:r>
      <w:r>
        <w:t>Sortino.</w:t>
      </w:r>
    </w:p>
    <w:p>
      <w:pPr>
        <w:pStyle w:val="ListBody"/>
        <w:ind w:left="490" w:hanging="331"/>
      </w:pPr>
      <w:r>
        <w:rPr>
          <w:b/>
        </w:rPr>
        <w:t xml:space="preserve">• </w:t>
      </w:r>
      <w:r>
        <w:t>Calmar.</w:t>
      </w:r>
    </w:p>
    <w:p>
      <w:pPr>
        <w:pStyle w:val="ListBody"/>
        <w:ind w:left="490" w:hanging="331"/>
      </w:pPr>
      <w:r>
        <w:rPr>
          <w:b/>
        </w:rPr>
        <w:t xml:space="preserve">• </w:t>
      </w:r>
      <w:r>
        <w:t>Information ratio.</w:t>
      </w:r>
    </w:p>
    <w:p>
      <w:pPr/>
      <w:r>
        <w:t>Ranking:</w:t>
      </w:r>
    </w:p>
    <w:p>
      <w:pPr>
        <w:pStyle w:val="ListBody"/>
        <w:ind w:left="490" w:hanging="331"/>
      </w:pPr>
      <w:r>
        <w:rPr>
          <w:b/>
        </w:rPr>
        <w:t xml:space="preserve">• </w:t>
      </w:r>
      <w:r>
        <w:t>Rank IC.</w:t>
      </w:r>
    </w:p>
    <w:p>
      <w:pPr>
        <w:pStyle w:val="ListBody"/>
        <w:ind w:left="490" w:hanging="331"/>
      </w:pPr>
      <w:r>
        <w:rPr>
          <w:b/>
        </w:rPr>
        <w:t xml:space="preserve">• </w:t>
      </w:r>
      <w:r>
        <w:t>Decile spread.</w:t>
      </w:r>
    </w:p>
    <w:p>
      <w:pPr>
        <w:pStyle w:val="ListBody"/>
        <w:ind w:left="490" w:hanging="331"/>
      </w:pPr>
      <w:r>
        <w:rPr>
          <w:b/>
        </w:rPr>
        <w:t xml:space="preserve">• </w:t>
      </w:r>
      <w:r>
        <w:t>Decile monotonicity.</w:t>
      </w:r>
    </w:p>
    <w:p>
      <w:pPr>
        <w:pStyle w:val="ListBody"/>
        <w:ind w:left="490" w:hanging="331"/>
      </w:pPr>
      <w:r>
        <w:rPr>
          <w:b/>
        </w:rPr>
        <w:t xml:space="preserve">• </w:t>
      </w:r>
      <w:r>
        <w:t>Sector-neutral spread.</w:t>
      </w:r>
    </w:p>
    <w:p>
      <w:pPr>
        <w:pStyle w:val="ListBody"/>
        <w:ind w:left="490" w:hanging="331"/>
      </w:pPr>
      <w:r>
        <w:rPr>
          <w:b/>
        </w:rPr>
        <w:t xml:space="preserve">• </w:t>
      </w:r>
      <w:r>
        <w:t>Size-neutral spread.</w:t>
      </w:r>
    </w:p>
    <w:p>
      <w:pPr/>
      <w:r>
        <w:t>Execution:</w:t>
      </w:r>
    </w:p>
    <w:p>
      <w:pPr>
        <w:pStyle w:val="ListBody"/>
        <w:ind w:left="490" w:hanging="331"/>
      </w:pPr>
      <w:r>
        <w:rPr>
          <w:b/>
        </w:rPr>
        <w:t xml:space="preserve">• </w:t>
      </w:r>
      <w:r>
        <w:t>Turnover.</w:t>
      </w:r>
    </w:p>
    <w:p>
      <w:pPr>
        <w:pStyle w:val="ListBody"/>
        <w:ind w:left="490" w:hanging="331"/>
      </w:pPr>
      <w:r>
        <w:rPr>
          <w:b/>
        </w:rPr>
        <w:t xml:space="preserve">• </w:t>
      </w:r>
      <w:r>
        <w:t>Slippage.</w:t>
      </w:r>
    </w:p>
    <w:p>
      <w:pPr>
        <w:pStyle w:val="ListBody"/>
        <w:ind w:left="490" w:hanging="331"/>
      </w:pPr>
      <w:r>
        <w:rPr>
          <w:b/>
        </w:rPr>
        <w:t xml:space="preserve">• </w:t>
      </w:r>
      <w:r>
        <w:t>Impact.</w:t>
      </w:r>
    </w:p>
    <w:p>
      <w:pPr>
        <w:pStyle w:val="ListBody"/>
        <w:ind w:left="490" w:hanging="331"/>
      </w:pPr>
      <w:r>
        <w:rPr>
          <w:b/>
        </w:rPr>
        <w:t xml:space="preserve">• </w:t>
      </w:r>
      <w:r>
        <w:t>Capacity.</w:t>
      </w:r>
    </w:p>
    <w:p>
      <w:pPr>
        <w:pStyle w:val="ListBody"/>
        <w:ind w:left="490" w:hanging="331"/>
      </w:pPr>
      <w:r>
        <w:rPr>
          <w:b/>
        </w:rPr>
        <w:t xml:space="preserve">• </w:t>
      </w:r>
      <w:r>
        <w:t>Exit days.</w:t>
      </w:r>
    </w:p>
    <w:p>
      <w:pPr>
        <w:pStyle w:val="ListBody"/>
        <w:ind w:left="490" w:hanging="331"/>
      </w:pPr>
      <w:r>
        <w:rPr>
          <w:b/>
        </w:rPr>
        <w:t xml:space="preserve">• </w:t>
      </w:r>
      <w:r>
        <w:t>Untradeable signals.</w:t>
      </w:r>
    </w:p>
    <w:p>
      <w:pPr/>
      <w:r>
        <w:t>Reliability:</w:t>
      </w:r>
    </w:p>
    <w:p>
      <w:pPr>
        <w:pStyle w:val="ListBody"/>
        <w:ind w:left="490" w:hanging="331"/>
      </w:pPr>
      <w:r>
        <w:rPr>
          <w:b/>
        </w:rPr>
        <w:t xml:space="preserve">• </w:t>
      </w:r>
      <w:r>
        <w:t>Confidence interval.</w:t>
      </w:r>
    </w:p>
    <w:p>
      <w:pPr>
        <w:pStyle w:val="ListBody"/>
        <w:ind w:left="490" w:hanging="331"/>
      </w:pPr>
      <w:r>
        <w:rPr>
          <w:b/>
        </w:rPr>
        <w:t xml:space="preserve">• </w:t>
      </w:r>
      <w:r>
        <w:t>Bootstrap.</w:t>
      </w:r>
    </w:p>
    <w:p>
      <w:pPr>
        <w:pStyle w:val="ListBody"/>
        <w:ind w:left="490" w:hanging="331"/>
      </w:pPr>
      <w:r>
        <w:rPr>
          <w:b/>
        </w:rPr>
        <w:t xml:space="preserve">• </w:t>
      </w:r>
      <w:r>
        <w:t>Subperiod stability.</w:t>
      </w:r>
    </w:p>
    <w:p>
      <w:pPr>
        <w:pStyle w:val="ListBody"/>
        <w:ind w:left="490" w:hanging="331"/>
      </w:pPr>
      <w:r>
        <w:rPr>
          <w:b/>
        </w:rPr>
        <w:t xml:space="preserve">• </w:t>
      </w:r>
      <w:r>
        <w:t>Parameter sensitivity.</w:t>
      </w:r>
    </w:p>
    <w:p>
      <w:pPr>
        <w:pStyle w:val="ListBody"/>
        <w:ind w:left="490" w:hanging="331"/>
      </w:pPr>
      <w:r>
        <w:rPr>
          <w:b/>
        </w:rPr>
        <w:t xml:space="preserve">• </w:t>
      </w:r>
      <w:r>
        <w:t>Deflated Sharpe.</w:t>
      </w:r>
    </w:p>
    <w:p>
      <w:pPr>
        <w:pStyle w:val="ListBody"/>
        <w:ind w:left="490" w:hanging="331"/>
      </w:pPr>
      <w:r>
        <w:rPr>
          <w:b/>
        </w:rPr>
        <w:t xml:space="preserve">• </w:t>
      </w:r>
      <w:r>
        <w:t>Backtest-overfitting probability.</w:t>
      </w:r>
    </w:p>
    <w:p>
      <w:pPr>
        <w:pStyle w:val="ListBody"/>
        <w:ind w:left="490" w:hanging="331"/>
      </w:pPr>
      <w:r>
        <w:rPr>
          <w:b/>
        </w:rPr>
        <w:t xml:space="preserve">• </w:t>
      </w:r>
      <w:r>
        <w:t>Regime performance.</w:t>
      </w:r>
    </w:p>
    <w:p>
      <w:pPr>
        <w:spacing w:after="0"/>
      </w:pPr>
      <w:r/>
    </w:p>
    <w:p>
      <w:pPr>
        <w:pStyle w:val="Heading1"/>
        <w:pBdr>
          <w:bottom w:val="single" w:sz="4" w:space="5" w:color="7A9AAA"/>
        </w:pBdr>
        <w:keepNext/>
      </w:pPr>
      <w:r>
        <w:t>94. Model governance</w:t>
      </w:r>
    </w:p>
    <w:p>
      <w:pPr/>
      <w:r>
        <w:t>Maintain:</w:t>
      </w:r>
    </w:p>
    <w:p>
      <w:pPr>
        <w:pStyle w:val="ListBody"/>
        <w:ind w:left="490" w:hanging="331"/>
      </w:pPr>
      <w:r>
        <w:rPr>
          <w:b/>
        </w:rPr>
        <w:t xml:space="preserve">• </w:t>
      </w:r>
      <w:r>
        <w:t>Champion.</w:t>
      </w:r>
    </w:p>
    <w:p>
      <w:pPr>
        <w:pStyle w:val="ListBody"/>
        <w:ind w:left="490" w:hanging="331"/>
      </w:pPr>
      <w:r>
        <w:rPr>
          <w:b/>
        </w:rPr>
        <w:t xml:space="preserve">• </w:t>
      </w:r>
      <w:r>
        <w:t>Shadow challenger.</w:t>
      </w:r>
    </w:p>
    <w:p>
      <w:pPr>
        <w:pStyle w:val="ListBody"/>
        <w:ind w:left="490" w:hanging="331"/>
      </w:pPr>
      <w:r>
        <w:rPr>
          <w:b/>
        </w:rPr>
        <w:t xml:space="preserve">• </w:t>
      </w:r>
      <w:r>
        <w:t>Experimental model.</w:t>
      </w:r>
    </w:p>
    <w:p>
      <w:pPr/>
      <w:r>
        <w:t>A challenger:</w:t>
      </w:r>
    </w:p>
    <w:p>
      <w:pPr>
        <w:pStyle w:val="ListBody"/>
        <w:ind w:left="490" w:hanging="331"/>
      </w:pPr>
      <w:r>
        <w:rPr>
          <w:b/>
        </w:rPr>
        <w:t xml:space="preserve">1. </w:t>
      </w:r>
      <w:r>
        <w:t>Runs without orders.</w:t>
      </w:r>
    </w:p>
    <w:p>
      <w:pPr>
        <w:pStyle w:val="ListBody"/>
        <w:ind w:left="490" w:hanging="331"/>
      </w:pPr>
      <w:r>
        <w:rPr>
          <w:b/>
        </w:rPr>
        <w:t xml:space="preserve">2. </w:t>
      </w:r>
      <w:r>
        <w:t>Produces comparison outputs.</w:t>
      </w:r>
    </w:p>
    <w:p>
      <w:pPr>
        <w:pStyle w:val="ListBody"/>
        <w:ind w:left="490" w:hanging="331"/>
      </w:pPr>
      <w:r>
        <w:rPr>
          <w:b/>
        </w:rPr>
        <w:t xml:space="preserve">3. </w:t>
      </w:r>
      <w:r>
        <w:t>Passes validation.</w:t>
      </w:r>
    </w:p>
    <w:p>
      <w:pPr>
        <w:pStyle w:val="ListBody"/>
        <w:ind w:left="490" w:hanging="331"/>
      </w:pPr>
      <w:r>
        <w:rPr>
          <w:b/>
        </w:rPr>
        <w:t xml:space="preserve">4. </w:t>
      </w:r>
      <w:r>
        <w:t>Receives approval.</w:t>
      </w:r>
    </w:p>
    <w:p>
      <w:pPr>
        <w:pStyle w:val="ListBody"/>
        <w:ind w:left="490" w:hanging="331"/>
      </w:pPr>
      <w:r>
        <w:rPr>
          <w:b/>
        </w:rPr>
        <w:t xml:space="preserve">5. </w:t>
      </w:r>
      <w:r>
        <w:t>Deploys gradually.</w:t>
      </w:r>
    </w:p>
    <w:p>
      <w:pPr>
        <w:pStyle w:val="ListBody"/>
        <w:ind w:left="490" w:hanging="331"/>
      </w:pPr>
      <w:r>
        <w:rPr>
          <w:b/>
        </w:rPr>
        <w:t xml:space="preserve">6. </w:t>
      </w:r>
      <w:r>
        <w:t>Supports rollback.</w:t>
      </w:r>
    </w:p>
    <w:p>
      <w:pPr>
        <w:spacing w:after="0"/>
      </w:pPr>
      <w:r/>
    </w:p>
    <w:p>
      <w:pPr>
        <w:pStyle w:val="Heading1"/>
        <w:pBdr>
          <w:bottom w:val="single" w:sz="4" w:space="5" w:color="7A9AAA"/>
        </w:pBdr>
        <w:keepNext/>
      </w:pPr>
      <w:r>
        <w:t>95. Security</w:t>
      </w:r>
    </w:p>
    <w:p>
      <w:pPr>
        <w:pStyle w:val="ListBody"/>
        <w:ind w:left="490" w:hanging="331"/>
      </w:pPr>
      <w:r>
        <w:rPr>
          <w:b/>
        </w:rPr>
        <w:t xml:space="preserve">• </w:t>
      </w:r>
      <w:r>
        <w:t>Encrypt credentials.</w:t>
      </w:r>
    </w:p>
    <w:p>
      <w:pPr>
        <w:pStyle w:val="ListBody"/>
        <w:ind w:left="490" w:hanging="331"/>
      </w:pPr>
      <w:r>
        <w:rPr>
          <w:b/>
        </w:rPr>
        <w:t xml:space="preserve">• </w:t>
      </w:r>
      <w:r>
        <w:t>Use secrets manager.</w:t>
      </w:r>
    </w:p>
    <w:p>
      <w:pPr>
        <w:pStyle w:val="ListBody"/>
        <w:ind w:left="490" w:hanging="331"/>
      </w:pPr>
      <w:r>
        <w:rPr>
          <w:b/>
        </w:rPr>
        <w:t xml:space="preserve">• </w:t>
      </w:r>
      <w:r>
        <w:t>Separate development and production.</w:t>
      </w:r>
    </w:p>
    <w:p>
      <w:pPr>
        <w:pStyle w:val="ListBody"/>
        <w:ind w:left="490" w:hanging="331"/>
      </w:pPr>
      <w:r>
        <w:rPr>
          <w:b/>
        </w:rPr>
        <w:t xml:space="preserve">• </w:t>
      </w:r>
      <w:r>
        <w:t>Rotate credentials.</w:t>
      </w:r>
    </w:p>
    <w:p>
      <w:pPr>
        <w:pStyle w:val="ListBody"/>
        <w:ind w:left="490" w:hanging="331"/>
      </w:pPr>
      <w:r>
        <w:rPr>
          <w:b/>
        </w:rPr>
        <w:t xml:space="preserve">• </w:t>
      </w:r>
      <w:r>
        <w:t>Restrict broker permissions.</w:t>
      </w:r>
    </w:p>
    <w:p>
      <w:pPr>
        <w:pStyle w:val="ListBody"/>
        <w:ind w:left="490" w:hanging="331"/>
      </w:pPr>
      <w:r>
        <w:rPr>
          <w:b/>
        </w:rPr>
        <w:t xml:space="preserve">• </w:t>
      </w:r>
      <w:r>
        <w:t>Maintain immutable logs.</w:t>
      </w:r>
    </w:p>
    <w:p>
      <w:pPr>
        <w:pStyle w:val="ListBody"/>
        <w:ind w:left="490" w:hanging="331"/>
      </w:pPr>
      <w:r>
        <w:rPr>
          <w:b/>
        </w:rPr>
        <w:t xml:space="preserve">• </w:t>
      </w:r>
      <w:r>
        <w:t>Restrict execution roles.</w:t>
      </w:r>
    </w:p>
    <w:p>
      <w:pPr>
        <w:pStyle w:val="ListBody"/>
        <w:ind w:left="490" w:hanging="331"/>
      </w:pPr>
      <w:r>
        <w:rPr>
          <w:b/>
        </w:rPr>
        <w:t xml:space="preserve">• </w:t>
      </w:r>
      <w:r>
        <w:t>Redact secrets from logs.</w:t>
      </w:r>
    </w:p>
    <w:p>
      <w:pPr>
        <w:pStyle w:val="ListBody"/>
        <w:ind w:left="490" w:hanging="331"/>
      </w:pPr>
      <w:r>
        <w:rPr>
          <w:b/>
        </w:rPr>
        <w:t xml:space="preserve">• </w:t>
      </w:r>
      <w:r>
        <w:t>Validate static-IP requirements.</w:t>
      </w:r>
    </w:p>
    <w:p>
      <w:pPr>
        <w:pStyle w:val="ListBody"/>
        <w:ind w:left="490" w:hanging="331"/>
      </w:pPr>
      <w:r>
        <w:rPr>
          <w:b/>
        </w:rPr>
        <w:t xml:space="preserve">• </w:t>
      </w:r>
      <w:r>
        <w:t>Monitor session expiry.</w:t>
      </w:r>
    </w:p>
    <w:p>
      <w:pPr>
        <w:spacing w:after="0"/>
      </w:pPr>
      <w:r/>
    </w:p>
    <w:p>
      <w:pPr>
        <w:pStyle w:val="Heading1"/>
        <w:pBdr>
          <w:bottom w:val="single" w:sz="4" w:space="5" w:color="7A9AAA"/>
        </w:pBdr>
        <w:keepNext/>
      </w:pPr>
      <w:r>
        <w:t>96. Backup and recovery</w:t>
      </w:r>
    </w:p>
    <w:p>
      <w:pPr/>
      <w:r>
        <w:t>Backups:</w:t>
      </w:r>
    </w:p>
    <w:p>
      <w:pPr>
        <w:pStyle w:val="ListBody"/>
        <w:ind w:left="490" w:hanging="331"/>
      </w:pPr>
      <w:r>
        <w:rPr>
          <w:b/>
        </w:rPr>
        <w:t xml:space="preserve">• </w:t>
      </w:r>
      <w:r>
        <w:t>Nightly logical database.</w:t>
      </w:r>
    </w:p>
    <w:p>
      <w:pPr>
        <w:pStyle w:val="ListBody"/>
        <w:ind w:left="490" w:hanging="331"/>
      </w:pPr>
      <w:r>
        <w:rPr>
          <w:b/>
        </w:rPr>
        <w:t xml:space="preserve">• </w:t>
      </w:r>
      <w:r>
        <w:t>Weekly full database.</w:t>
      </w:r>
    </w:p>
    <w:p>
      <w:pPr>
        <w:pStyle w:val="ListBody"/>
        <w:ind w:left="490" w:hanging="331"/>
      </w:pPr>
      <w:r>
        <w:rPr>
          <w:b/>
        </w:rPr>
        <w:t xml:space="preserve">• </w:t>
      </w:r>
      <w:r>
        <w:t>Daily configuration.</w:t>
      </w:r>
    </w:p>
    <w:p>
      <w:pPr>
        <w:pStyle w:val="ListBody"/>
        <w:ind w:left="490" w:hanging="331"/>
      </w:pPr>
      <w:r>
        <w:rPr>
          <w:b/>
        </w:rPr>
        <w:t xml:space="preserve">• </w:t>
      </w:r>
      <w:r>
        <w:t>Model registry.</w:t>
      </w:r>
    </w:p>
    <w:p>
      <w:pPr>
        <w:pStyle w:val="ListBody"/>
        <w:ind w:left="490" w:hanging="331"/>
      </w:pPr>
      <w:r>
        <w:rPr>
          <w:b/>
        </w:rPr>
        <w:t xml:space="preserve">• </w:t>
      </w:r>
      <w:r>
        <w:t>Formula registry.</w:t>
      </w:r>
    </w:p>
    <w:p>
      <w:pPr>
        <w:pStyle w:val="ListBody"/>
        <w:ind w:left="490" w:hanging="331"/>
      </w:pPr>
      <w:r>
        <w:rPr>
          <w:b/>
        </w:rPr>
        <w:t xml:space="preserve">• </w:t>
      </w:r>
      <w:r>
        <w:t>Signal audit.</w:t>
      </w:r>
    </w:p>
    <w:p>
      <w:pPr>
        <w:pStyle w:val="ListBody"/>
        <w:ind w:left="490" w:hanging="331"/>
      </w:pPr>
      <w:r>
        <w:rPr>
          <w:b/>
        </w:rPr>
        <w:t xml:space="preserve">• </w:t>
      </w:r>
      <w:r>
        <w:t>Portfolio audit.</w:t>
      </w:r>
    </w:p>
    <w:p>
      <w:pPr>
        <w:pStyle w:val="ListBody"/>
        <w:ind w:left="490" w:hanging="331"/>
      </w:pPr>
      <w:r>
        <w:rPr>
          <w:b/>
        </w:rPr>
        <w:t xml:space="preserve">• </w:t>
      </w:r>
      <w:r>
        <w:t>External encrypted backup.</w:t>
      </w:r>
    </w:p>
    <w:p>
      <w:pPr/>
      <w:r>
        <w:t>Restore tests are mandatory.</w:t>
      </w:r>
    </w:p>
    <w:p>
      <w:pPr>
        <w:spacing w:after="0"/>
      </w:pPr>
      <w:r/>
    </w:p>
    <w:p>
      <w:pPr>
        <w:pStyle w:val="Heading1"/>
        <w:pBdr>
          <w:bottom w:val="single" w:sz="4" w:space="5" w:color="7A9AAA"/>
        </w:pBdr>
        <w:keepNext/>
      </w:pPr>
      <w:r>
        <w:t>97. Historical audit reconstruction</w:t>
      </w:r>
    </w:p>
    <w:p>
      <w:pPr/>
      <w:r>
        <w:t>For a selected historical date, show:</w:t>
      </w:r>
    </w:p>
    <w:p>
      <w:pPr>
        <w:pStyle w:val="ListBody"/>
        <w:ind w:left="490" w:hanging="331"/>
      </w:pPr>
      <w:r>
        <w:rPr>
          <w:b/>
        </w:rPr>
        <w:t xml:space="preserve">• </w:t>
      </w:r>
      <w:r>
        <w:t>Universe.</w:t>
      </w:r>
    </w:p>
    <w:p>
      <w:pPr>
        <w:pStyle w:val="ListBody"/>
        <w:ind w:left="490" w:hanging="331"/>
      </w:pPr>
      <w:r>
        <w:rPr>
          <w:b/>
        </w:rPr>
        <w:t xml:space="preserve">• </w:t>
      </w:r>
      <w:r>
        <w:t>Available documents.</w:t>
      </w:r>
    </w:p>
    <w:p>
      <w:pPr>
        <w:pStyle w:val="ListBody"/>
        <w:ind w:left="490" w:hanging="331"/>
      </w:pPr>
      <w:r>
        <w:rPr>
          <w:b/>
        </w:rPr>
        <w:t xml:space="preserve">• </w:t>
      </w:r>
      <w:r>
        <w:t>Original data.</w:t>
      </w:r>
    </w:p>
    <w:p>
      <w:pPr>
        <w:pStyle w:val="ListBody"/>
        <w:ind w:left="490" w:hanging="331"/>
      </w:pPr>
      <w:r>
        <w:rPr>
          <w:b/>
        </w:rPr>
        <w:t xml:space="preserve">• </w:t>
      </w:r>
      <w:r>
        <w:t>Candidate Score.</w:t>
      </w:r>
    </w:p>
    <w:p>
      <w:pPr>
        <w:pStyle w:val="ListBody"/>
        <w:ind w:left="490" w:hanging="331"/>
      </w:pPr>
      <w:r>
        <w:rPr>
          <w:b/>
        </w:rPr>
        <w:t xml:space="preserve">• </w:t>
      </w:r>
      <w:r>
        <w:t>Research Score.</w:t>
      </w:r>
    </w:p>
    <w:p>
      <w:pPr>
        <w:pStyle w:val="ListBody"/>
        <w:ind w:left="490" w:hanging="331"/>
      </w:pPr>
      <w:r>
        <w:rPr>
          <w:b/>
        </w:rPr>
        <w:t xml:space="preserve">• </w:t>
      </w:r>
      <w:r>
        <w:t>Data Confidence.</w:t>
      </w:r>
    </w:p>
    <w:p>
      <w:pPr>
        <w:pStyle w:val="ListBody"/>
        <w:ind w:left="490" w:hanging="331"/>
      </w:pPr>
      <w:r>
        <w:rPr>
          <w:b/>
        </w:rPr>
        <w:t xml:space="preserve">• </w:t>
      </w:r>
      <w:r>
        <w:t>Hard gates.</w:t>
      </w:r>
    </w:p>
    <w:p>
      <w:pPr>
        <w:pStyle w:val="ListBody"/>
        <w:ind w:left="490" w:hanging="331"/>
      </w:pPr>
      <w:r>
        <w:rPr>
          <w:b/>
        </w:rPr>
        <w:t xml:space="preserve">• </w:t>
      </w:r>
      <w:r>
        <w:t>Signals.</w:t>
      </w:r>
    </w:p>
    <w:p>
      <w:pPr>
        <w:pStyle w:val="ListBody"/>
        <w:ind w:left="490" w:hanging="331"/>
      </w:pPr>
      <w:r>
        <w:rPr>
          <w:b/>
        </w:rPr>
        <w:t xml:space="preserve">• </w:t>
      </w:r>
      <w:r>
        <w:t>Position.</w:t>
      </w:r>
    </w:p>
    <w:p>
      <w:pPr>
        <w:pStyle w:val="ListBody"/>
        <w:ind w:left="490" w:hanging="331"/>
      </w:pPr>
      <w:r>
        <w:rPr>
          <w:b/>
        </w:rPr>
        <w:t xml:space="preserve">• </w:t>
      </w:r>
      <w:r>
        <w:t>Model version.</w:t>
      </w:r>
    </w:p>
    <w:p>
      <w:pPr>
        <w:pStyle w:val="ListBody"/>
        <w:ind w:left="490" w:hanging="331"/>
      </w:pPr>
      <w:r>
        <w:rPr>
          <w:b/>
        </w:rPr>
        <w:t xml:space="preserve">• </w:t>
      </w:r>
      <w:r>
        <w:t>Formula version.</w:t>
      </w:r>
    </w:p>
    <w:p>
      <w:pPr>
        <w:pStyle w:val="ListBody"/>
        <w:ind w:left="490" w:hanging="331"/>
      </w:pPr>
      <w:r>
        <w:rPr>
          <w:b/>
        </w:rPr>
        <w:t xml:space="preserve">• </w:t>
      </w:r>
      <w:r>
        <w:t>Decision explanation.</w:t>
      </w:r>
    </w:p>
    <w:p>
      <w:pPr>
        <w:pStyle w:val="ListBody"/>
        <w:ind w:left="490" w:hanging="331"/>
      </w:pPr>
      <w:r>
        <w:rPr>
          <w:b/>
        </w:rPr>
        <w:t xml:space="preserve">• </w:t>
      </w:r>
      <w:r>
        <w:t>Later revisions.</w:t>
      </w:r>
    </w:p>
    <w:p>
      <w:pPr>
        <w:spacing w:after="0"/>
      </w:pPr>
      <w:r/>
    </w:p>
    <w:p>
      <w:pPr>
        <w:pStyle w:val="Heading1"/>
        <w:pBdr>
          <w:bottom w:val="single" w:sz="4" w:space="5" w:color="7A9AAA"/>
        </w:pBdr>
        <w:keepNext/>
      </w:pPr>
      <w:r>
        <w:t>98. Testing</w:t>
      </w:r>
    </w:p>
    <w:p>
      <w:pPr>
        <w:pStyle w:val="Heading2"/>
        <w:keepNext/>
      </w:pPr>
      <w:r>
        <w:t>Formula tests</w:t>
      </w:r>
    </w:p>
    <w:p>
      <w:pPr>
        <w:pStyle w:val="ListBody"/>
        <w:ind w:left="490" w:hanging="331"/>
      </w:pPr>
      <w:r>
        <w:rPr>
          <w:b/>
        </w:rPr>
        <w:t xml:space="preserve">• </w:t>
      </w:r>
      <w:r>
        <w:t>Operators preserved.</w:t>
      </w:r>
    </w:p>
    <w:p>
      <w:pPr>
        <w:pStyle w:val="ListBody"/>
        <w:ind w:left="490" w:hanging="331"/>
      </w:pPr>
      <w:r>
        <w:rPr>
          <w:b/>
        </w:rPr>
        <w:t xml:space="preserve">• </w:t>
      </w:r>
      <w:r>
        <w:t>Right-hand side non-empty.</w:t>
      </w:r>
    </w:p>
    <w:p>
      <w:pPr>
        <w:pStyle w:val="ListBody"/>
        <w:ind w:left="490" w:hanging="331"/>
      </w:pPr>
      <w:r>
        <w:rPr>
          <w:b/>
        </w:rPr>
        <w:t xml:space="preserve">• </w:t>
      </w:r>
      <w:r>
        <w:t>Unit consistency.</w:t>
      </w:r>
    </w:p>
    <w:p>
      <w:pPr>
        <w:pStyle w:val="ListBody"/>
        <w:ind w:left="490" w:hanging="331"/>
      </w:pPr>
      <w:r>
        <w:rPr>
          <w:b/>
        </w:rPr>
        <w:t xml:space="preserve">• </w:t>
      </w:r>
      <w:r>
        <w:t>Boundary inputs.</w:t>
      </w:r>
    </w:p>
    <w:p>
      <w:pPr>
        <w:pStyle w:val="ListBody"/>
        <w:ind w:left="490" w:hanging="331"/>
      </w:pPr>
      <w:r>
        <w:rPr>
          <w:b/>
        </w:rPr>
        <w:t xml:space="preserve">• </w:t>
      </w:r>
      <w:r>
        <w:t>Zero denominators.</w:t>
      </w:r>
    </w:p>
    <w:p>
      <w:pPr>
        <w:pStyle w:val="ListBody"/>
        <w:ind w:left="490" w:hanging="331"/>
      </w:pPr>
      <w:r>
        <w:rPr>
          <w:b/>
        </w:rPr>
        <w:t xml:space="preserve">• </w:t>
      </w:r>
      <w:r>
        <w:t>Missing inputs.</w:t>
      </w:r>
    </w:p>
    <w:p>
      <w:pPr>
        <w:pStyle w:val="ListBody"/>
        <w:ind w:left="490" w:hanging="331"/>
      </w:pPr>
      <w:r>
        <w:rPr>
          <w:b/>
        </w:rPr>
        <w:t xml:space="preserve">• </w:t>
      </w:r>
      <w:r>
        <w:t>Export rendering.</w:t>
      </w:r>
    </w:p>
    <w:p>
      <w:pPr>
        <w:pStyle w:val="Heading2"/>
        <w:keepNext/>
      </w:pPr>
      <w:r>
        <w:t>Data tests</w:t>
      </w:r>
    </w:p>
    <w:p>
      <w:pPr>
        <w:pStyle w:val="ListBody"/>
        <w:ind w:left="490" w:hanging="331"/>
      </w:pPr>
      <w:r>
        <w:rPr>
          <w:b/>
        </w:rPr>
        <w:t xml:space="preserve">• </w:t>
      </w:r>
      <w:r>
        <w:t>Wrong ISIN.</w:t>
      </w:r>
    </w:p>
    <w:p>
      <w:pPr>
        <w:pStyle w:val="ListBody"/>
        <w:ind w:left="490" w:hanging="331"/>
      </w:pPr>
      <w:r>
        <w:rPr>
          <w:b/>
        </w:rPr>
        <w:t xml:space="preserve">• </w:t>
      </w:r>
      <w:r>
        <w:t>Duplicate ticker.</w:t>
      </w:r>
    </w:p>
    <w:p>
      <w:pPr>
        <w:pStyle w:val="ListBody"/>
        <w:ind w:left="490" w:hanging="331"/>
      </w:pPr>
      <w:r>
        <w:rPr>
          <w:b/>
        </w:rPr>
        <w:t xml:space="preserve">• </w:t>
      </w:r>
      <w:r>
        <w:t>Unit mismatch.</w:t>
      </w:r>
    </w:p>
    <w:p>
      <w:pPr>
        <w:pStyle w:val="ListBody"/>
        <w:ind w:left="490" w:hanging="331"/>
      </w:pPr>
      <w:r>
        <w:rPr>
          <w:b/>
        </w:rPr>
        <w:t xml:space="preserve">• </w:t>
      </w:r>
      <w:r>
        <w:t>Scope mismatch.</w:t>
      </w:r>
    </w:p>
    <w:p>
      <w:pPr>
        <w:pStyle w:val="ListBody"/>
        <w:ind w:left="490" w:hanging="331"/>
      </w:pPr>
      <w:r>
        <w:rPr>
          <w:b/>
        </w:rPr>
        <w:t xml:space="preserve">• </w:t>
      </w:r>
      <w:r>
        <w:t>Revision conflict.</w:t>
      </w:r>
    </w:p>
    <w:p>
      <w:pPr>
        <w:pStyle w:val="ListBody"/>
        <w:ind w:left="490" w:hanging="331"/>
      </w:pPr>
      <w:r>
        <w:rPr>
          <w:b/>
        </w:rPr>
        <w:t xml:space="preserve">• </w:t>
      </w:r>
      <w:r>
        <w:t>Corporate-action mismatch.</w:t>
      </w:r>
    </w:p>
    <w:p>
      <w:pPr>
        <w:pStyle w:val="ListBody"/>
        <w:ind w:left="490" w:hanging="331"/>
      </w:pPr>
      <w:r>
        <w:rPr>
          <w:b/>
        </w:rPr>
        <w:t xml:space="preserve">• </w:t>
      </w:r>
      <w:r>
        <w:t>Corrupt file.</w:t>
      </w:r>
    </w:p>
    <w:p>
      <w:pPr>
        <w:pStyle w:val="ListBody"/>
        <w:ind w:left="490" w:hanging="331"/>
      </w:pPr>
      <w:r>
        <w:rPr>
          <w:b/>
        </w:rPr>
        <w:t xml:space="preserve">• </w:t>
      </w:r>
      <w:r>
        <w:t>Missing candle.</w:t>
      </w:r>
    </w:p>
    <w:p>
      <w:pPr>
        <w:pStyle w:val="ListBody"/>
        <w:ind w:left="490" w:hanging="331"/>
      </w:pPr>
      <w:r>
        <w:rPr>
          <w:b/>
        </w:rPr>
        <w:t xml:space="preserve">• </w:t>
      </w:r>
      <w:r>
        <w:t>Stale quote.</w:t>
      </w:r>
    </w:p>
    <w:p>
      <w:pPr>
        <w:pStyle w:val="Heading2"/>
        <w:keepNext/>
      </w:pPr>
      <w:r>
        <w:t>Broker tests</w:t>
      </w:r>
    </w:p>
    <w:p>
      <w:pPr>
        <w:pStyle w:val="ListBody"/>
        <w:ind w:left="490" w:hanging="331"/>
      </w:pPr>
      <w:r>
        <w:rPr>
          <w:b/>
        </w:rPr>
        <w:t xml:space="preserve">• </w:t>
      </w:r>
      <w:r>
        <w:t>Timeout after submission.</w:t>
      </w:r>
    </w:p>
    <w:p>
      <w:pPr>
        <w:pStyle w:val="ListBody"/>
        <w:ind w:left="490" w:hanging="331"/>
      </w:pPr>
      <w:r>
        <w:rPr>
          <w:b/>
        </w:rPr>
        <w:t xml:space="preserve">• </w:t>
      </w:r>
      <w:r>
        <w:t>Partial fill.</w:t>
      </w:r>
    </w:p>
    <w:p>
      <w:pPr>
        <w:pStyle w:val="ListBody"/>
        <w:ind w:left="490" w:hanging="331"/>
      </w:pPr>
      <w:r>
        <w:rPr>
          <w:b/>
        </w:rPr>
        <w:t xml:space="preserve">• </w:t>
      </w:r>
      <w:r>
        <w:t>Duplicate retry.</w:t>
      </w:r>
    </w:p>
    <w:p>
      <w:pPr>
        <w:pStyle w:val="ListBody"/>
        <w:ind w:left="490" w:hanging="331"/>
      </w:pPr>
      <w:r>
        <w:rPr>
          <w:b/>
        </w:rPr>
        <w:t xml:space="preserve">• </w:t>
      </w:r>
      <w:r>
        <w:t>Orphaned order.</w:t>
      </w:r>
    </w:p>
    <w:p>
      <w:pPr>
        <w:pStyle w:val="ListBody"/>
        <w:ind w:left="490" w:hanging="331"/>
      </w:pPr>
      <w:r>
        <w:rPr>
          <w:b/>
        </w:rPr>
        <w:t xml:space="preserve">• </w:t>
      </w:r>
      <w:r>
        <w:t>Session expiry.</w:t>
      </w:r>
    </w:p>
    <w:p>
      <w:pPr>
        <w:pStyle w:val="ListBody"/>
        <w:ind w:left="490" w:hanging="331"/>
      </w:pPr>
      <w:r>
        <w:rPr>
          <w:b/>
        </w:rPr>
        <w:t xml:space="preserve">• </w:t>
      </w:r>
      <w:r>
        <w:t>Static-IP rejection.</w:t>
      </w:r>
    </w:p>
    <w:p>
      <w:pPr>
        <w:pStyle w:val="ListBody"/>
        <w:ind w:left="490" w:hanging="331"/>
      </w:pPr>
      <w:r>
        <w:rPr>
          <w:b/>
        </w:rPr>
        <w:t xml:space="preserve">• </w:t>
      </w:r>
      <w:r>
        <w:t>Algo-ID rejection.</w:t>
      </w:r>
    </w:p>
    <w:p>
      <w:pPr>
        <w:pStyle w:val="ListBody"/>
        <w:ind w:left="490" w:hanging="331"/>
      </w:pPr>
      <w:r>
        <w:rPr>
          <w:b/>
        </w:rPr>
        <w:t xml:space="preserve">• </w:t>
      </w:r>
      <w:r>
        <w:t>Secondary broker failover.</w:t>
      </w:r>
    </w:p>
    <w:p>
      <w:pPr>
        <w:pStyle w:val="Heading2"/>
        <w:keepNext/>
      </w:pPr>
      <w:r>
        <w:t>Resource tests</w:t>
      </w:r>
    </w:p>
    <w:p>
      <w:pPr>
        <w:pStyle w:val="ListBody"/>
        <w:ind w:left="490" w:hanging="331"/>
      </w:pPr>
      <w:r>
        <w:rPr>
          <w:b/>
        </w:rPr>
        <w:t xml:space="preserve">• </w:t>
      </w:r>
      <w:r>
        <w:t>Low RAM.</w:t>
      </w:r>
    </w:p>
    <w:p>
      <w:pPr>
        <w:pStyle w:val="ListBody"/>
        <w:ind w:left="490" w:hanging="331"/>
      </w:pPr>
      <w:r>
        <w:rPr>
          <w:b/>
        </w:rPr>
        <w:t xml:space="preserve">• </w:t>
      </w:r>
      <w:r>
        <w:t>Low storage.</w:t>
      </w:r>
    </w:p>
    <w:p>
      <w:pPr>
        <w:pStyle w:val="ListBody"/>
        <w:ind w:left="490" w:hanging="331"/>
      </w:pPr>
      <w:r>
        <w:rPr>
          <w:b/>
        </w:rPr>
        <w:t xml:space="preserve">• </w:t>
      </w:r>
      <w:r>
        <w:t>GPU exhaustion.</w:t>
      </w:r>
    </w:p>
    <w:p>
      <w:pPr>
        <w:pStyle w:val="ListBody"/>
        <w:ind w:left="490" w:hanging="331"/>
      </w:pPr>
      <w:r>
        <w:rPr>
          <w:b/>
        </w:rPr>
        <w:t xml:space="preserve">• </w:t>
      </w:r>
      <w:r>
        <w:t>Network outage.</w:t>
      </w:r>
    </w:p>
    <w:p>
      <w:pPr>
        <w:pStyle w:val="ListBody"/>
        <w:ind w:left="490" w:hanging="331"/>
      </w:pPr>
      <w:r>
        <w:rPr>
          <w:b/>
        </w:rPr>
        <w:t xml:space="preserve">• </w:t>
      </w:r>
      <w:r>
        <w:t>Database restart.</w:t>
      </w:r>
    </w:p>
    <w:p>
      <w:pPr>
        <w:pStyle w:val="ListBody"/>
        <w:ind w:left="490" w:hanging="331"/>
      </w:pPr>
      <w:r>
        <w:rPr>
          <w:b/>
        </w:rPr>
        <w:t xml:space="preserve">• </w:t>
      </w:r>
      <w:r>
        <w:t>WSL restart.</w:t>
      </w:r>
    </w:p>
    <w:p>
      <w:pPr>
        <w:pStyle w:val="ListBody"/>
        <w:ind w:left="490" w:hanging="331"/>
      </w:pPr>
      <w:r>
        <w:rPr>
          <w:b/>
        </w:rPr>
        <w:t xml:space="preserve">• </w:t>
      </w:r>
      <w:r>
        <w:t>Power interruption.</w:t>
      </w:r>
    </w:p>
    <w:p>
      <w:pPr>
        <w:spacing w:after="0"/>
      </w:pPr>
      <w:r/>
    </w:p>
    <w:p>
      <w:pPr>
        <w:pStyle w:val="Heading1"/>
        <w:pBdr>
          <w:bottom w:val="single" w:sz="4" w:space="5" w:color="7A9AAA"/>
        </w:pBdr>
        <w:keepNext/>
      </w:pPr>
      <w:r>
        <w:t>99. Release path</w:t>
      </w:r>
    </w:p>
    <w:p>
      <w:pPr>
        <w:pStyle w:val="Heading2"/>
        <w:keepNext/>
      </w:pPr>
      <w:r>
        <w:t>Stage 1 — Solo Core</w:t>
      </w:r>
    </w:p>
    <w:p>
      <w:pPr>
        <w:pStyle w:val="ListBody"/>
        <w:ind w:left="490" w:hanging="331"/>
      </w:pPr>
      <w:r>
        <w:rPr>
          <w:b/>
        </w:rPr>
        <w:t xml:space="preserve">• </w:t>
      </w:r>
      <w:r>
        <w:t>Security master.</w:t>
      </w:r>
    </w:p>
    <w:p>
      <w:pPr>
        <w:pStyle w:val="ListBody"/>
        <w:ind w:left="490" w:hanging="331"/>
      </w:pPr>
      <w:r>
        <w:rPr>
          <w:b/>
        </w:rPr>
        <w:t xml:space="preserve">• </w:t>
      </w:r>
      <w:r>
        <w:t>EOD prices.</w:t>
      </w:r>
    </w:p>
    <w:p>
      <w:pPr>
        <w:pStyle w:val="ListBody"/>
        <w:ind w:left="490" w:hanging="331"/>
      </w:pPr>
      <w:r>
        <w:rPr>
          <w:b/>
        </w:rPr>
        <w:t xml:space="preserve">• </w:t>
      </w:r>
      <w:r>
        <w:t>Basic financial imports.</w:t>
      </w:r>
    </w:p>
    <w:p>
      <w:pPr>
        <w:pStyle w:val="ListBody"/>
        <w:ind w:left="490" w:hanging="331"/>
      </w:pPr>
      <w:r>
        <w:rPr>
          <w:b/>
        </w:rPr>
        <w:t xml:space="preserve">• </w:t>
      </w:r>
      <w:r>
        <w:t>Candidate Score.</w:t>
      </w:r>
    </w:p>
    <w:p>
      <w:pPr>
        <w:pStyle w:val="ListBody"/>
        <w:ind w:left="490" w:hanging="331"/>
      </w:pPr>
      <w:r>
        <w:rPr>
          <w:b/>
        </w:rPr>
        <w:t xml:space="preserve">• </w:t>
      </w:r>
      <w:r>
        <w:t>Daily/weekly/monthly signals.</w:t>
      </w:r>
    </w:p>
    <w:p>
      <w:pPr>
        <w:pStyle w:val="ListBody"/>
        <w:ind w:left="490" w:hanging="331"/>
      </w:pPr>
      <w:r>
        <w:rPr>
          <w:b/>
        </w:rPr>
        <w:t xml:space="preserve">• </w:t>
      </w:r>
      <w:r>
        <w:t>Dashboard.</w:t>
      </w:r>
    </w:p>
    <w:p>
      <w:pPr>
        <w:pStyle w:val="ListBody"/>
        <w:ind w:left="490" w:hanging="331"/>
      </w:pPr>
      <w:r>
        <w:rPr>
          <w:b/>
        </w:rPr>
        <w:t xml:space="preserve">• </w:t>
      </w:r>
      <w:r>
        <w:t>Alert mode.</w:t>
      </w:r>
    </w:p>
    <w:p>
      <w:pPr>
        <w:pStyle w:val="Heading2"/>
        <w:keepNext/>
      </w:pPr>
      <w:r>
        <w:t>Stage 2 — Research Expansion</w:t>
      </w:r>
    </w:p>
    <w:p>
      <w:pPr>
        <w:pStyle w:val="ListBody"/>
        <w:ind w:left="490" w:hanging="331"/>
      </w:pPr>
      <w:r>
        <w:rPr>
          <w:b/>
        </w:rPr>
        <w:t xml:space="preserve">• </w:t>
      </w:r>
      <w:r>
        <w:t>Deep research.</w:t>
      </w:r>
    </w:p>
    <w:p>
      <w:pPr>
        <w:pStyle w:val="ListBody"/>
        <w:ind w:left="490" w:hanging="331"/>
      </w:pPr>
      <w:r>
        <w:rPr>
          <w:b/>
        </w:rPr>
        <w:t xml:space="preserve">• </w:t>
      </w:r>
      <w:r>
        <w:t>Evidence ledger.</w:t>
      </w:r>
    </w:p>
    <w:p>
      <w:pPr>
        <w:pStyle w:val="ListBody"/>
        <w:ind w:left="490" w:hanging="331"/>
      </w:pPr>
      <w:r>
        <w:rPr>
          <w:b/>
        </w:rPr>
        <w:t xml:space="preserve">• </w:t>
      </w:r>
      <w:r>
        <w:t>Forecasts.</w:t>
      </w:r>
    </w:p>
    <w:p>
      <w:pPr>
        <w:pStyle w:val="ListBody"/>
        <w:ind w:left="490" w:hanging="331"/>
      </w:pPr>
      <w:r>
        <w:rPr>
          <w:b/>
        </w:rPr>
        <w:t xml:space="preserve">• </w:t>
      </w:r>
      <w:r>
        <w:t>Valuation.</w:t>
      </w:r>
    </w:p>
    <w:p>
      <w:pPr>
        <w:pStyle w:val="ListBody"/>
        <w:ind w:left="490" w:hanging="331"/>
      </w:pPr>
      <w:r>
        <w:rPr>
          <w:b/>
        </w:rPr>
        <w:t xml:space="preserve">• </w:t>
      </w:r>
      <w:r>
        <w:t>Medium/long signals.</w:t>
      </w:r>
    </w:p>
    <w:p>
      <w:pPr>
        <w:pStyle w:val="Heading2"/>
        <w:keepNext/>
      </w:pPr>
      <w:r>
        <w:t>Stage 3 — Paper Trading</w:t>
      </w:r>
    </w:p>
    <w:p>
      <w:pPr>
        <w:pStyle w:val="ListBody"/>
        <w:ind w:left="490" w:hanging="331"/>
      </w:pPr>
      <w:r>
        <w:rPr>
          <w:b/>
        </w:rPr>
        <w:t xml:space="preserve">• </w:t>
      </w:r>
      <w:r>
        <w:t>Simulated lifecycle.</w:t>
      </w:r>
    </w:p>
    <w:p>
      <w:pPr>
        <w:pStyle w:val="ListBody"/>
        <w:ind w:left="490" w:hanging="331"/>
      </w:pPr>
      <w:r>
        <w:rPr>
          <w:b/>
        </w:rPr>
        <w:t xml:space="preserve">• </w:t>
      </w:r>
      <w:r>
        <w:t>Costs.</w:t>
      </w:r>
    </w:p>
    <w:p>
      <w:pPr>
        <w:pStyle w:val="ListBody"/>
        <w:ind w:left="490" w:hanging="331"/>
      </w:pPr>
      <w:r>
        <w:rPr>
          <w:b/>
        </w:rPr>
        <w:t xml:space="preserve">• </w:t>
      </w:r>
      <w:r>
        <w:t>Stops.</w:t>
      </w:r>
    </w:p>
    <w:p>
      <w:pPr>
        <w:pStyle w:val="ListBody"/>
        <w:ind w:left="490" w:hanging="331"/>
      </w:pPr>
      <w:r>
        <w:rPr>
          <w:b/>
        </w:rPr>
        <w:t xml:space="preserve">• </w:t>
      </w:r>
      <w:r>
        <w:t>Portfolio limits.</w:t>
      </w:r>
    </w:p>
    <w:p>
      <w:pPr>
        <w:pStyle w:val="Heading2"/>
        <w:keepNext/>
      </w:pPr>
      <w:r>
        <w:t>Stage 4 — Manual Broker Mode</w:t>
      </w:r>
    </w:p>
    <w:p>
      <w:pPr>
        <w:pStyle w:val="ListBody"/>
        <w:ind w:left="490" w:hanging="331"/>
      </w:pPr>
      <w:r>
        <w:rPr>
          <w:b/>
        </w:rPr>
        <w:t xml:space="preserve">• </w:t>
      </w:r>
      <w:r>
        <w:t>Order proposal.</w:t>
      </w:r>
    </w:p>
    <w:p>
      <w:pPr>
        <w:pStyle w:val="ListBody"/>
        <w:ind w:left="490" w:hanging="331"/>
      </w:pPr>
      <w:r>
        <w:rPr>
          <w:b/>
        </w:rPr>
        <w:t xml:space="preserve">• </w:t>
      </w:r>
      <w:r>
        <w:t>User approval.</w:t>
      </w:r>
    </w:p>
    <w:p>
      <w:pPr>
        <w:pStyle w:val="ListBody"/>
        <w:ind w:left="490" w:hanging="331"/>
      </w:pPr>
      <w:r>
        <w:rPr>
          <w:b/>
        </w:rPr>
        <w:t xml:space="preserve">• </w:t>
      </w:r>
      <w:r>
        <w:t>Broker reconciliation.</w:t>
      </w:r>
    </w:p>
    <w:p>
      <w:pPr>
        <w:pStyle w:val="Heading2"/>
        <w:keepNext/>
      </w:pPr>
      <w:r>
        <w:t>Stage 5 — Controlled Automation</w:t>
      </w:r>
    </w:p>
    <w:p>
      <w:pPr/>
      <w:r>
        <w:t>Only approved strategies, brokers, and regulatory configurations.</w:t>
      </w:r>
    </w:p>
    <w:p>
      <w:pPr>
        <w:pStyle w:val="Heading2"/>
        <w:keepNext/>
      </w:pPr>
      <w:r>
        <w:t>Stage 6 — Institutional Expansion</w:t>
      </w:r>
    </w:p>
    <w:p>
      <w:pPr/>
      <w:r>
        <w:t>Only when licensed data, staffing, infrastructure, and compliance justify it.</w:t>
      </w:r>
    </w:p>
    <w:p>
      <w:pPr>
        <w:spacing w:after="0"/>
      </w:pPr>
      <w:r/>
    </w:p>
    <w:p>
      <w:pPr>
        <w:pStyle w:val="Heading1"/>
        <w:pBdr>
          <w:bottom w:val="single" w:sz="4" w:space="5" w:color="7A9AAA"/>
        </w:pBdr>
        <w:keepNext/>
      </w:pPr>
      <w:r>
        <w:t>100. Final production acceptance gates</w:t>
      </w:r>
    </w:p>
    <w:p>
      <w:pPr>
        <w:pStyle w:val="ListBody"/>
        <w:ind w:left="490" w:hanging="331"/>
      </w:pPr>
      <w:r>
        <w:rPr>
          <w:b/>
        </w:rPr>
        <w:t xml:space="preserve">1. </w:t>
      </w:r>
      <w:r>
        <w:t>Formula registry implemented.</w:t>
      </w:r>
    </w:p>
    <w:p>
      <w:pPr>
        <w:pStyle w:val="ListBody"/>
        <w:ind w:left="490" w:hanging="331"/>
      </w:pPr>
      <w:r>
        <w:rPr>
          <w:b/>
        </w:rPr>
        <w:t xml:space="preserve">2. </w:t>
      </w:r>
      <w:r>
        <w:t>All formula tests pass.</w:t>
      </w:r>
    </w:p>
    <w:p>
      <w:pPr>
        <w:pStyle w:val="ListBody"/>
        <w:ind w:left="490" w:hanging="331"/>
      </w:pPr>
      <w:r>
        <w:rPr>
          <w:b/>
        </w:rPr>
        <w:t xml:space="preserve">3. </w:t>
      </w:r>
      <w:r>
        <w:t>DOCX/PDF export preserves formulas.</w:t>
      </w:r>
    </w:p>
    <w:p>
      <w:pPr>
        <w:pStyle w:val="ListBody"/>
        <w:ind w:left="490" w:hanging="331"/>
      </w:pPr>
      <w:r>
        <w:rPr>
          <w:b/>
        </w:rPr>
        <w:t xml:space="preserve">4. </w:t>
      </w:r>
      <w:r>
        <w:t>Document properties valid.</w:t>
      </w:r>
    </w:p>
    <w:p>
      <w:pPr>
        <w:pStyle w:val="ListBody"/>
        <w:ind w:left="490" w:hanging="331"/>
      </w:pPr>
      <w:r>
        <w:rPr>
          <w:b/>
        </w:rPr>
        <w:t xml:space="preserve">5. </w:t>
      </w:r>
      <w:r>
        <w:t>No empty core sections.</w:t>
      </w:r>
    </w:p>
    <w:p>
      <w:pPr>
        <w:pStyle w:val="ListBody"/>
        <w:ind w:left="490" w:hanging="331"/>
      </w:pPr>
      <w:r>
        <w:rPr>
          <w:b/>
        </w:rPr>
        <w:t xml:space="preserve">6. </w:t>
      </w:r>
      <w:r>
        <w:t>Source permissions documented.</w:t>
      </w:r>
    </w:p>
    <w:p>
      <w:pPr>
        <w:pStyle w:val="ListBody"/>
        <w:ind w:left="490" w:hanging="331"/>
      </w:pPr>
      <w:r>
        <w:rPr>
          <w:b/>
        </w:rPr>
        <w:t xml:space="preserve">7. </w:t>
      </w:r>
      <w:r>
        <w:t>No unauthorized scraping.</w:t>
      </w:r>
    </w:p>
    <w:p>
      <w:pPr>
        <w:pStyle w:val="ListBody"/>
        <w:ind w:left="490" w:hanging="331"/>
      </w:pPr>
      <w:r>
        <w:rPr>
          <w:b/>
        </w:rPr>
        <w:t xml:space="preserve">8. </w:t>
      </w:r>
      <w:r>
        <w:t>Historical security master validated.</w:t>
      </w:r>
    </w:p>
    <w:p>
      <w:pPr>
        <w:pStyle w:val="ListBody"/>
        <w:ind w:left="490" w:hanging="331"/>
      </w:pPr>
      <w:r>
        <w:rPr>
          <w:b/>
        </w:rPr>
        <w:t xml:space="preserve">9. </w:t>
      </w:r>
      <w:r>
        <w:t>Corporate actions reconciled.</w:t>
      </w:r>
    </w:p>
    <w:p>
      <w:pPr>
        <w:pStyle w:val="ListBody"/>
        <w:ind w:left="490" w:hanging="331"/>
      </w:pPr>
      <w:r>
        <w:rPr>
          <w:b/>
        </w:rPr>
        <w:t xml:space="preserve">10. </w:t>
      </w:r>
      <w:r>
        <w:t>Scope separation verified.</w:t>
      </w:r>
    </w:p>
    <w:p>
      <w:pPr>
        <w:pStyle w:val="ListBody"/>
        <w:ind w:left="490" w:hanging="331"/>
      </w:pPr>
      <w:r>
        <w:rPr>
          <w:b/>
        </w:rPr>
        <w:t xml:space="preserve">11. </w:t>
      </w:r>
      <w:r>
        <w:t>Missing data cannot improve scores.</w:t>
      </w:r>
    </w:p>
    <w:p>
      <w:pPr>
        <w:pStyle w:val="ListBody"/>
        <w:ind w:left="490" w:hanging="331"/>
      </w:pPr>
      <w:r>
        <w:rPr>
          <w:b/>
        </w:rPr>
        <w:t xml:space="preserve">12. </w:t>
      </w:r>
      <w:r>
        <w:t>Hard gates override scores and signals.</w:t>
      </w:r>
    </w:p>
    <w:p>
      <w:pPr>
        <w:pStyle w:val="ListBody"/>
        <w:ind w:left="490" w:hanging="331"/>
      </w:pPr>
      <w:r>
        <w:rPr>
          <w:b/>
        </w:rPr>
        <w:t xml:space="preserve">13. </w:t>
      </w:r>
      <w:r>
        <w:t>Fallback source cannot overwrite primary evidence.</w:t>
      </w:r>
    </w:p>
    <w:p>
      <w:pPr>
        <w:pStyle w:val="ListBody"/>
        <w:ind w:left="490" w:hanging="331"/>
      </w:pPr>
      <w:r>
        <w:rPr>
          <w:b/>
        </w:rPr>
        <w:t xml:space="preserve">14. </w:t>
      </w:r>
      <w:r>
        <w:t>Signals use completed bars.</w:t>
      </w:r>
    </w:p>
    <w:p>
      <w:pPr>
        <w:pStyle w:val="ListBody"/>
        <w:ind w:left="490" w:hanging="331"/>
      </w:pPr>
      <w:r>
        <w:rPr>
          <w:b/>
        </w:rPr>
        <w:t xml:space="preserve">15. </w:t>
      </w:r>
      <w:r>
        <w:t>Execution begins no earlier than next eligible session.</w:t>
      </w:r>
    </w:p>
    <w:p>
      <w:pPr>
        <w:pStyle w:val="ListBody"/>
        <w:ind w:left="490" w:hanging="331"/>
      </w:pPr>
      <w:r>
        <w:rPr>
          <w:b/>
        </w:rPr>
        <w:t xml:space="preserve">16. </w:t>
      </w:r>
      <w:r>
        <w:t>No look-ahead leakage.</w:t>
      </w:r>
    </w:p>
    <w:p>
      <w:pPr>
        <w:pStyle w:val="ListBody"/>
        <w:ind w:left="490" w:hanging="331"/>
      </w:pPr>
      <w:r>
        <w:rPr>
          <w:b/>
        </w:rPr>
        <w:t xml:space="preserve">17. </w:t>
      </w:r>
      <w:r>
        <w:t>Delisted companies included.</w:t>
      </w:r>
    </w:p>
    <w:p>
      <w:pPr>
        <w:pStyle w:val="ListBody"/>
        <w:ind w:left="490" w:hanging="331"/>
      </w:pPr>
      <w:r>
        <w:rPr>
          <w:b/>
        </w:rPr>
        <w:t xml:space="preserve">18. </w:t>
      </w:r>
      <w:r>
        <w:t>Costs and liquidity included.</w:t>
      </w:r>
    </w:p>
    <w:p>
      <w:pPr>
        <w:pStyle w:val="ListBody"/>
        <w:ind w:left="490" w:hanging="331"/>
      </w:pPr>
      <w:r>
        <w:rPr>
          <w:b/>
        </w:rPr>
        <w:t xml:space="preserve">19. </w:t>
      </w:r>
      <w:r>
        <w:t>Walk-forward validation completed.</w:t>
      </w:r>
    </w:p>
    <w:p>
      <w:pPr>
        <w:pStyle w:val="ListBody"/>
        <w:ind w:left="490" w:hanging="331"/>
      </w:pPr>
      <w:r>
        <w:rPr>
          <w:b/>
        </w:rPr>
        <w:t xml:space="preserve">20. </w:t>
      </w:r>
      <w:r>
        <w:t>Paper trading completed.</w:t>
      </w:r>
    </w:p>
    <w:p>
      <w:pPr>
        <w:pStyle w:val="ListBody"/>
        <w:ind w:left="490" w:hanging="331"/>
      </w:pPr>
      <w:r>
        <w:rPr>
          <w:b/>
        </w:rPr>
        <w:t xml:space="preserve">21. </w:t>
      </w:r>
      <w:r>
        <w:t>Duplicate orders blocked.</w:t>
      </w:r>
    </w:p>
    <w:p>
      <w:pPr>
        <w:pStyle w:val="ListBody"/>
        <w:ind w:left="490" w:hanging="331"/>
      </w:pPr>
      <w:r>
        <w:rPr>
          <w:b/>
        </w:rPr>
        <w:t xml:space="preserve">22. </w:t>
      </w:r>
      <w:r>
        <w:t>Stale data blocks automatic orders.</w:t>
      </w:r>
    </w:p>
    <w:p>
      <w:pPr>
        <w:pStyle w:val="ListBody"/>
        <w:ind w:left="490" w:hanging="331"/>
      </w:pPr>
      <w:r>
        <w:rPr>
          <w:b/>
        </w:rPr>
        <w:t xml:space="preserve">23. </w:t>
      </w:r>
      <w:r>
        <w:t>Broker classifications validated.</w:t>
      </w:r>
    </w:p>
    <w:p>
      <w:pPr>
        <w:pStyle w:val="ListBody"/>
        <w:ind w:left="490" w:hanging="331"/>
      </w:pPr>
      <w:r>
        <w:rPr>
          <w:b/>
        </w:rPr>
        <w:t xml:space="preserve">24. </w:t>
      </w:r>
      <w:r>
        <w:t>Required algo identifiers validated.</w:t>
      </w:r>
    </w:p>
    <w:p>
      <w:pPr>
        <w:pStyle w:val="ListBody"/>
        <w:ind w:left="490" w:hanging="331"/>
      </w:pPr>
      <w:r>
        <w:rPr>
          <w:b/>
        </w:rPr>
        <w:t xml:space="preserve">25. </w:t>
      </w:r>
      <w:r>
        <w:t>Static-IP controls validated where required.</w:t>
      </w:r>
    </w:p>
    <w:p>
      <w:pPr>
        <w:pStyle w:val="ListBody"/>
        <w:ind w:left="490" w:hanging="331"/>
      </w:pPr>
      <w:r>
        <w:rPr>
          <w:b/>
        </w:rPr>
        <w:t xml:space="preserve">26. </w:t>
      </w:r>
      <w:r>
        <w:t>Score reproducibility passes.</w:t>
      </w:r>
    </w:p>
    <w:p>
      <w:pPr>
        <w:pStyle w:val="ListBody"/>
        <w:ind w:left="490" w:hanging="331"/>
      </w:pPr>
      <w:r>
        <w:rPr>
          <w:b/>
        </w:rPr>
        <w:t xml:space="preserve">27. </w:t>
      </w:r>
      <w:r>
        <w:t>Historical reconstruction passes.</w:t>
      </w:r>
    </w:p>
    <w:p>
      <w:pPr>
        <w:pStyle w:val="ListBody"/>
        <w:ind w:left="490" w:hanging="331"/>
      </w:pPr>
      <w:r>
        <w:rPr>
          <w:b/>
        </w:rPr>
        <w:t xml:space="preserve">28. </w:t>
      </w:r>
      <w:r>
        <w:t>Backups restore.</w:t>
      </w:r>
    </w:p>
    <w:p>
      <w:pPr>
        <w:pStyle w:val="ListBody"/>
        <w:ind w:left="490" w:hanging="331"/>
      </w:pPr>
      <w:r>
        <w:rPr>
          <w:b/>
        </w:rPr>
        <w:t xml:space="preserve">29. </w:t>
      </w:r>
      <w:r>
        <w:t>Kill switch works.</w:t>
      </w:r>
    </w:p>
    <w:p>
      <w:pPr>
        <w:pStyle w:val="ListBody"/>
        <w:ind w:left="490" w:hanging="331"/>
      </w:pPr>
      <w:r>
        <w:rPr>
          <w:b/>
        </w:rPr>
        <w:t xml:space="preserve">30. </w:t>
      </w:r>
      <w:r>
        <w:t>Resource throttling works.</w:t>
      </w:r>
    </w:p>
    <w:p>
      <w:pPr>
        <w:pStyle w:val="ListBody"/>
        <w:ind w:left="490" w:hanging="331"/>
      </w:pPr>
      <w:r>
        <w:rPr>
          <w:b/>
        </w:rPr>
        <w:t xml:space="preserve">31. </w:t>
      </w:r>
      <w:r>
        <w:t>Model rollback works.</w:t>
      </w:r>
    </w:p>
    <w:p>
      <w:pPr>
        <w:pStyle w:val="ListBody"/>
        <w:ind w:left="490" w:hanging="331"/>
      </w:pPr>
      <w:r>
        <w:rPr>
          <w:b/>
        </w:rPr>
        <w:t xml:space="preserve">32. </w:t>
      </w:r>
      <w:r>
        <w:t>Low-memory mode works.</w:t>
      </w:r>
    </w:p>
    <w:p>
      <w:pPr>
        <w:pStyle w:val="ListBody"/>
        <w:ind w:left="490" w:hanging="331"/>
      </w:pPr>
      <w:r>
        <w:rPr>
          <w:b/>
        </w:rPr>
        <w:t xml:space="preserve">33. </w:t>
      </w:r>
      <w:r>
        <w:t>Low-storage mode works.</w:t>
      </w:r>
    </w:p>
    <w:p>
      <w:pPr>
        <w:pStyle w:val="ListBody"/>
        <w:ind w:left="490" w:hanging="331"/>
      </w:pPr>
      <w:r>
        <w:rPr>
          <w:b/>
        </w:rPr>
        <w:t xml:space="preserve">34. </w:t>
      </w:r>
      <w:r>
        <w:t>Network recovery works.</w:t>
      </w:r>
    </w:p>
    <w:p>
      <w:pPr>
        <w:pStyle w:val="ListBody"/>
        <w:ind w:left="490" w:hanging="331"/>
      </w:pPr>
      <w:r>
        <w:rPr>
          <w:b/>
        </w:rPr>
        <w:t xml:space="preserve">35. </w:t>
      </w:r>
      <w:r>
        <w:t>Security review passes.</w:t>
      </w:r>
    </w:p>
    <w:p>
      <w:pPr>
        <w:pStyle w:val="ListBody"/>
        <w:ind w:left="490" w:hanging="331"/>
      </w:pPr>
      <w:r>
        <w:rPr>
          <w:b/>
        </w:rPr>
        <w:t xml:space="preserve">36. </w:t>
      </w:r>
      <w:r>
        <w:t>Regulatory and licensing review passes.</w:t>
      </w:r>
    </w:p>
    <w:p>
      <w:pPr>
        <w:spacing w:after="0"/>
      </w:pPr>
      <w:r/>
    </w:p>
    <w:p>
      <w:pPr>
        <w:pStyle w:val="Heading1"/>
        <w:pBdr>
          <w:bottom w:val="single" w:sz="4" w:space="5" w:color="7A9AAA"/>
        </w:pBdr>
        <w:keepNext/>
      </w:pPr>
      <w:r>
        <w:t>101. Final architecture</w:t>
      </w:r>
    </w:p>
    <w:p>
      <w:pPr/>
      <w:r>
        <w:t>Permitted Point-in-Time Data</w:t>
        <w:br/>
        <w:t xml:space="preserve">    -&gt;</w:t>
        <w:br/>
        <w:t>Canonical Security Master</w:t>
        <w:br/>
        <w:t xml:space="preserve">    -&gt;</w:t>
        <w:br/>
        <w:t>Validation and Reconciliation</w:t>
        <w:br/>
        <w:t xml:space="preserve">    -&gt;</w:t>
        <w:br/>
        <w:t>Financial and Corporate-Action Normalization</w:t>
        <w:br/>
        <w:t xml:space="preserve">    -&gt;</w:t>
        <w:br/>
        <w:t>Eligibility and Liquidity</w:t>
        <w:br/>
        <w:t xml:space="preserve">    -&gt;</w:t>
        <w:br/>
        <w:t>Hard Gates</w:t>
        <w:br/>
        <w:t xml:space="preserve">    -&gt;</w:t>
        <w:br/>
        <w:t>Sector Features</w:t>
        <w:br/>
        <w:t xml:space="preserve">    -&gt;</w:t>
        <w:br/>
        <w:t>Candidate Scores and Rankings</w:t>
        <w:br/>
        <w:t xml:space="preserve">    -&gt;</w:t>
        <w:br/>
        <w:t>Evidence-Based Deep Research</w:t>
        <w:br/>
        <w:t xml:space="preserve">    -&gt;</w:t>
        <w:br/>
        <w:t>Forecasts and Valuation</w:t>
        <w:br/>
        <w:t xml:space="preserve">    -&gt;</w:t>
        <w:br/>
        <w:t>Daily, Weekly, Monthly, Medium, and Long Signals</w:t>
        <w:br/>
        <w:t xml:space="preserve">    -&gt;</w:t>
        <w:br/>
        <w:t>Signal State Machines</w:t>
        <w:br/>
        <w:t xml:space="preserve">    -&gt;</w:t>
        <w:br/>
        <w:t>Cross-Horizon Resolution</w:t>
        <w:br/>
        <w:t xml:space="preserve">    -&gt;</w:t>
        <w:br/>
        <w:t>Portfolio Suitability and Position Sizing</w:t>
        <w:br/>
        <w:t xml:space="preserve">    -&gt;</w:t>
        <w:br/>
        <w:t>Paper or Broker Execution</w:t>
        <w:br/>
        <w:t xml:space="preserve">    -&gt;</w:t>
        <w:br/>
        <w:t>Dashboard, Alerts, Audit, and Attribution</w:t>
        <w:br/>
        <w:t xml:space="preserve">    -&gt;</w:t>
        <w:br/>
        <w:t>Formula Governance, Model Governance, Security, Backup, and Resource Control</w:t>
      </w:r>
    </w:p>
    <w:p>
      <w:pPr>
        <w:spacing w:after="0"/>
      </w:pPr>
      <w:r/>
    </w:p>
    <w:p>
      <w:pPr>
        <w:pStyle w:val="Heading1"/>
        <w:pBdr>
          <w:bottom w:val="single" w:sz="4" w:space="5" w:color="7A9AAA"/>
        </w:pBdr>
        <w:keepNext/>
      </w:pPr>
      <w:r>
        <w:t>102. Final system definition</w:t>
      </w:r>
    </w:p>
    <w:p>
      <w:pPr/>
      <w:r>
        <w:t>Indian Equity Intelligence System 7.2 is a production-oriented master specification for:</w:t>
      </w:r>
    </w:p>
    <w:p>
      <w:pPr>
        <w:pStyle w:val="ListBody"/>
        <w:ind w:left="490" w:hanging="331"/>
      </w:pPr>
      <w:r>
        <w:rPr>
          <w:b/>
        </w:rPr>
        <w:t xml:space="preserve">• </w:t>
      </w:r>
      <w:r>
        <w:t>Approximately 2,000 Indian stocks.</w:t>
      </w:r>
    </w:p>
    <w:p>
      <w:pPr>
        <w:pStyle w:val="ListBody"/>
        <w:ind w:left="490" w:hanging="331"/>
      </w:pPr>
      <w:r>
        <w:rPr>
          <w:b/>
        </w:rPr>
        <w:t xml:space="preserve">• </w:t>
      </w:r>
      <w:r>
        <w:t>Realistic tiered coverage.</w:t>
      </w:r>
    </w:p>
    <w:p>
      <w:pPr>
        <w:pStyle w:val="ListBody"/>
        <w:ind w:left="490" w:hanging="331"/>
      </w:pPr>
      <w:r>
        <w:rPr>
          <w:b/>
        </w:rPr>
        <w:t xml:space="preserve">• </w:t>
      </w:r>
      <w:r>
        <w:t>Accessible-source operation.</w:t>
      </w:r>
    </w:p>
    <w:p>
      <w:pPr>
        <w:pStyle w:val="ListBody"/>
        <w:ind w:left="490" w:hanging="331"/>
      </w:pPr>
      <w:r>
        <w:rPr>
          <w:b/>
        </w:rPr>
        <w:t xml:space="preserve">• </w:t>
      </w:r>
      <w:r>
        <w:t>Optional licensed-data expansion.</w:t>
      </w:r>
    </w:p>
    <w:p>
      <w:pPr>
        <w:pStyle w:val="ListBody"/>
        <w:ind w:left="490" w:hanging="331"/>
      </w:pPr>
      <w:r>
        <w:rPr>
          <w:b/>
        </w:rPr>
        <w:t xml:space="preserve">• </w:t>
      </w:r>
      <w:r>
        <w:t>Point-in-time screening.</w:t>
      </w:r>
    </w:p>
    <w:p>
      <w:pPr>
        <w:pStyle w:val="ListBody"/>
        <w:ind w:left="490" w:hanging="331"/>
      </w:pPr>
      <w:r>
        <w:rPr>
          <w:b/>
        </w:rPr>
        <w:t xml:space="preserve">• </w:t>
      </w:r>
      <w:r>
        <w:t>Sector-specific scoring.</w:t>
      </w:r>
    </w:p>
    <w:p>
      <w:pPr>
        <w:pStyle w:val="ListBody"/>
        <w:ind w:left="490" w:hanging="331"/>
      </w:pPr>
      <w:r>
        <w:rPr>
          <w:b/>
        </w:rPr>
        <w:t xml:space="preserve">• </w:t>
      </w:r>
      <w:r>
        <w:t>Accounting and governance risk flagging.</w:t>
      </w:r>
    </w:p>
    <w:p>
      <w:pPr>
        <w:pStyle w:val="ListBody"/>
        <w:ind w:left="490" w:hanging="331"/>
      </w:pPr>
      <w:r>
        <w:rPr>
          <w:b/>
        </w:rPr>
        <w:t xml:space="preserve">• </w:t>
      </w:r>
      <w:r>
        <w:t>Valuation.</w:t>
      </w:r>
    </w:p>
    <w:p>
      <w:pPr>
        <w:pStyle w:val="ListBody"/>
        <w:ind w:left="490" w:hanging="331"/>
      </w:pPr>
      <w:r>
        <w:rPr>
          <w:b/>
        </w:rPr>
        <w:t xml:space="preserve">• </w:t>
      </w:r>
      <w:r>
        <w:t>Deep research.</w:t>
      </w:r>
    </w:p>
    <w:p>
      <w:pPr>
        <w:pStyle w:val="ListBody"/>
        <w:ind w:left="490" w:hanging="331"/>
      </w:pPr>
      <w:r>
        <w:rPr>
          <w:b/>
        </w:rPr>
        <w:t xml:space="preserve">• </w:t>
      </w:r>
      <w:r>
        <w:t>Daily signals.</w:t>
      </w:r>
    </w:p>
    <w:p>
      <w:pPr>
        <w:pStyle w:val="ListBody"/>
        <w:ind w:left="490" w:hanging="331"/>
      </w:pPr>
      <w:r>
        <w:rPr>
          <w:b/>
        </w:rPr>
        <w:t xml:space="preserve">• </w:t>
      </w:r>
      <w:r>
        <w:t>Weekly signals.</w:t>
      </w:r>
    </w:p>
    <w:p>
      <w:pPr>
        <w:pStyle w:val="ListBody"/>
        <w:ind w:left="490" w:hanging="331"/>
      </w:pPr>
      <w:r>
        <w:rPr>
          <w:b/>
        </w:rPr>
        <w:t xml:space="preserve">• </w:t>
      </w:r>
      <w:r>
        <w:t>Monthly signals.</w:t>
      </w:r>
    </w:p>
    <w:p>
      <w:pPr>
        <w:pStyle w:val="ListBody"/>
        <w:ind w:left="490" w:hanging="331"/>
      </w:pPr>
      <w:r>
        <w:rPr>
          <w:b/>
        </w:rPr>
        <w:t xml:space="preserve">• </w:t>
      </w:r>
      <w:r>
        <w:t>Medium-term signals.</w:t>
      </w:r>
    </w:p>
    <w:p>
      <w:pPr>
        <w:pStyle w:val="ListBody"/>
        <w:ind w:left="490" w:hanging="331"/>
      </w:pPr>
      <w:r>
        <w:rPr>
          <w:b/>
        </w:rPr>
        <w:t xml:space="preserve">• </w:t>
      </w:r>
      <w:r>
        <w:t>Long-term recommendations.</w:t>
      </w:r>
    </w:p>
    <w:p>
      <w:pPr>
        <w:pStyle w:val="ListBody"/>
        <w:ind w:left="490" w:hanging="331"/>
      </w:pPr>
      <w:r>
        <w:rPr>
          <w:b/>
        </w:rPr>
        <w:t xml:space="preserve">• </w:t>
      </w:r>
      <w:r>
        <w:t>Position suitability.</w:t>
      </w:r>
    </w:p>
    <w:p>
      <w:pPr>
        <w:pStyle w:val="ListBody"/>
        <w:ind w:left="490" w:hanging="331"/>
      </w:pPr>
      <w:r>
        <w:rPr>
          <w:b/>
        </w:rPr>
        <w:t xml:space="preserve">• </w:t>
      </w:r>
      <w:r>
        <w:t>Risk-based quantity.</w:t>
      </w:r>
    </w:p>
    <w:p>
      <w:pPr>
        <w:pStyle w:val="ListBody"/>
        <w:ind w:left="490" w:hanging="331"/>
      </w:pPr>
      <w:r>
        <w:rPr>
          <w:b/>
        </w:rPr>
        <w:t xml:space="preserve">• </w:t>
      </w:r>
      <w:r>
        <w:t>Broker integration.</w:t>
      </w:r>
    </w:p>
    <w:p>
      <w:pPr>
        <w:pStyle w:val="ListBody"/>
        <w:ind w:left="490" w:hanging="331"/>
      </w:pPr>
      <w:r>
        <w:rPr>
          <w:b/>
        </w:rPr>
        <w:t xml:space="preserve">• </w:t>
      </w:r>
      <w:r>
        <w:t>Retail-algo compliance controls.</w:t>
      </w:r>
    </w:p>
    <w:p>
      <w:pPr>
        <w:pStyle w:val="ListBody"/>
        <w:ind w:left="490" w:hanging="331"/>
      </w:pPr>
      <w:r>
        <w:rPr>
          <w:b/>
        </w:rPr>
        <w:t xml:space="preserve">• </w:t>
      </w:r>
      <w:r>
        <w:t>Backtesting.</w:t>
      </w:r>
    </w:p>
    <w:p>
      <w:pPr>
        <w:pStyle w:val="ListBody"/>
        <w:ind w:left="490" w:hanging="331"/>
      </w:pPr>
      <w:r>
        <w:rPr>
          <w:b/>
        </w:rPr>
        <w:t xml:space="preserve">• </w:t>
      </w:r>
      <w:r>
        <w:t>Frontend dashboarding.</w:t>
      </w:r>
    </w:p>
    <w:p>
      <w:pPr>
        <w:pStyle w:val="ListBody"/>
        <w:ind w:left="490" w:hanging="331"/>
      </w:pPr>
      <w:r>
        <w:rPr>
          <w:b/>
        </w:rPr>
        <w:t xml:space="preserve">• </w:t>
      </w:r>
      <w:r>
        <w:t>Local laptop deployment.</w:t>
      </w:r>
    </w:p>
    <w:p>
      <w:pPr>
        <w:pStyle w:val="ListBody"/>
        <w:ind w:left="490" w:hanging="331"/>
      </w:pPr>
      <w:r>
        <w:rPr>
          <w:b/>
        </w:rPr>
        <w:t xml:space="preserve">• </w:t>
      </w:r>
      <w:r>
        <w:t>Formula-safe document generation.</w:t>
      </w:r>
    </w:p>
    <w:p>
      <w:pPr>
        <w:pStyle w:val="ListBody"/>
        <w:ind w:left="490" w:hanging="331"/>
      </w:pPr>
      <w:r>
        <w:rPr>
          <w:b/>
        </w:rPr>
        <w:t xml:space="preserve">• </w:t>
      </w:r>
      <w:r>
        <w:t>Model and data governance.</w:t>
      </w:r>
    </w:p>
    <w:p>
      <w:pPr/>
      <w:r>
        <w:t>The system is deliberately designed to avoid:</w:t>
      </w:r>
    </w:p>
    <w:p>
      <w:pPr>
        <w:pStyle w:val="ListBody"/>
        <w:ind w:left="490" w:hanging="331"/>
      </w:pPr>
      <w:r>
        <w:rPr>
          <w:b/>
        </w:rPr>
        <w:t xml:space="preserve">• </w:t>
      </w:r>
      <w:r>
        <w:t>Broken formula exports.</w:t>
      </w:r>
    </w:p>
    <w:p>
      <w:pPr>
        <w:pStyle w:val="ListBody"/>
        <w:ind w:left="490" w:hanging="331"/>
      </w:pPr>
      <w:r>
        <w:rPr>
          <w:b/>
        </w:rPr>
        <w:t xml:space="preserve">• </w:t>
      </w:r>
      <w:r>
        <w:t>Blank equations.</w:t>
      </w:r>
    </w:p>
    <w:p>
      <w:pPr>
        <w:pStyle w:val="ListBody"/>
        <w:ind w:left="490" w:hanging="331"/>
      </w:pPr>
      <w:r>
        <w:rPr>
          <w:b/>
        </w:rPr>
        <w:t xml:space="preserve">• </w:t>
      </w:r>
      <w:r>
        <w:t>Empty principles.</w:t>
      </w:r>
    </w:p>
    <w:p>
      <w:pPr>
        <w:pStyle w:val="ListBody"/>
        <w:ind w:left="490" w:hanging="331"/>
      </w:pPr>
      <w:r>
        <w:rPr>
          <w:b/>
        </w:rPr>
        <w:t xml:space="preserve">• </w:t>
      </w:r>
      <w:r>
        <w:t>Survivorship bias.</w:t>
      </w:r>
    </w:p>
    <w:p>
      <w:pPr>
        <w:pStyle w:val="ListBody"/>
        <w:ind w:left="490" w:hanging="331"/>
      </w:pPr>
      <w:r>
        <w:rPr>
          <w:b/>
        </w:rPr>
        <w:t xml:space="preserve">• </w:t>
      </w:r>
      <w:r>
        <w:t>Look-ahead bias.</w:t>
      </w:r>
    </w:p>
    <w:p>
      <w:pPr>
        <w:pStyle w:val="ListBody"/>
        <w:ind w:left="490" w:hanging="331"/>
      </w:pPr>
      <w:r>
        <w:rPr>
          <w:b/>
        </w:rPr>
        <w:t xml:space="preserve">• </w:t>
      </w:r>
      <w:r>
        <w:t>Restatement leakage.</w:t>
      </w:r>
    </w:p>
    <w:p>
      <w:pPr>
        <w:pStyle w:val="ListBody"/>
        <w:ind w:left="490" w:hanging="331"/>
      </w:pPr>
      <w:r>
        <w:rPr>
          <w:b/>
        </w:rPr>
        <w:t xml:space="preserve">• </w:t>
      </w:r>
      <w:r>
        <w:t>Sector-inappropriate metrics.</w:t>
      </w:r>
    </w:p>
    <w:p>
      <w:pPr>
        <w:pStyle w:val="ListBody"/>
        <w:ind w:left="490" w:hanging="331"/>
      </w:pPr>
      <w:r>
        <w:rPr>
          <w:b/>
        </w:rPr>
        <w:t xml:space="preserve">• </w:t>
      </w:r>
      <w:r>
        <w:t>Missing-data bias.</w:t>
      </w:r>
    </w:p>
    <w:p>
      <w:pPr>
        <w:pStyle w:val="ListBody"/>
        <w:ind w:left="490" w:hanging="331"/>
      </w:pPr>
      <w:r>
        <w:rPr>
          <w:b/>
        </w:rPr>
        <w:t xml:space="preserve">• </w:t>
      </w:r>
      <w:r>
        <w:t>Same-bar execution.</w:t>
      </w:r>
    </w:p>
    <w:p>
      <w:pPr>
        <w:pStyle w:val="ListBody"/>
        <w:ind w:left="490" w:hanging="331"/>
      </w:pPr>
      <w:r>
        <w:rPr>
          <w:b/>
        </w:rPr>
        <w:t xml:space="preserve">• </w:t>
      </w:r>
      <w:r>
        <w:t>Unconfirmed higher-timeframe signals.</w:t>
      </w:r>
    </w:p>
    <w:p>
      <w:pPr>
        <w:pStyle w:val="ListBody"/>
        <w:ind w:left="490" w:hanging="331"/>
      </w:pPr>
      <w:r>
        <w:rPr>
          <w:b/>
        </w:rPr>
        <w:t xml:space="preserve">• </w:t>
      </w:r>
      <w:r>
        <w:t>Duplicate orders.</w:t>
      </w:r>
    </w:p>
    <w:p>
      <w:pPr>
        <w:pStyle w:val="ListBody"/>
        <w:ind w:left="490" w:hanging="331"/>
      </w:pPr>
      <w:r>
        <w:rPr>
          <w:b/>
        </w:rPr>
        <w:t xml:space="preserve">• </w:t>
      </w:r>
      <w:r>
        <w:t>Stale-data execution.</w:t>
      </w:r>
    </w:p>
    <w:p>
      <w:pPr>
        <w:pStyle w:val="ListBody"/>
        <w:ind w:left="490" w:hanging="331"/>
      </w:pPr>
      <w:r>
        <w:rPr>
          <w:b/>
        </w:rPr>
        <w:t xml:space="preserve">• </w:t>
      </w:r>
      <w:r>
        <w:t>Liquidity-blind sizing.</w:t>
      </w:r>
    </w:p>
    <w:p>
      <w:pPr>
        <w:pStyle w:val="ListBody"/>
        <w:ind w:left="490" w:hanging="331"/>
      </w:pPr>
      <w:r>
        <w:rPr>
          <w:b/>
        </w:rPr>
        <w:t xml:space="preserve">• </w:t>
      </w:r>
      <w:r>
        <w:t>Unsupported fraud claims.</w:t>
      </w:r>
    </w:p>
    <w:p>
      <w:pPr>
        <w:pStyle w:val="ListBody"/>
        <w:ind w:left="490" w:hanging="331"/>
      </w:pPr>
      <w:r>
        <w:rPr>
          <w:b/>
        </w:rPr>
        <w:t xml:space="preserve">• </w:t>
      </w:r>
      <w:r>
        <w:t>Unlicensed data assumptions.</w:t>
      </w:r>
    </w:p>
    <w:p>
      <w:pPr>
        <w:pStyle w:val="ListBody"/>
        <w:ind w:left="490" w:hanging="331"/>
      </w:pPr>
      <w:r>
        <w:rPr>
          <w:b/>
        </w:rPr>
        <w:t xml:space="preserve">• </w:t>
      </w:r>
      <w:r>
        <w:t>Institutional-scope assumptions in a solo deployment.</w:t>
      </w:r>
    </w:p>
    <w:p>
      <w:pPr>
        <w:pStyle w:val="ListBody"/>
        <w:ind w:left="490" w:hanging="331"/>
      </w:pPr>
      <w:r>
        <w:rPr>
          <w:b/>
        </w:rPr>
        <w:t xml:space="preserve">• </w:t>
      </w:r>
      <w:r>
        <w:t>Resource exhaustion.</w:t>
      </w:r>
    </w:p>
    <w:p>
      <w:pPr>
        <w:pStyle w:val="ListBody"/>
        <w:ind w:left="490" w:hanging="331"/>
      </w:pPr>
      <w:r>
        <w:rPr>
          <w:b/>
        </w:rPr>
        <w:t xml:space="preserve">• </w:t>
      </w:r>
      <w:r>
        <w:t>Backtest overfitting.</w:t>
      </w:r>
    </w:p>
    <w:p>
      <w:pPr/>
      <w:r>
        <w:t>The architecture is complete at specification level. Production certification requires implementation and successful passage of the acceptance gates above.</w:t>
      </w:r>
    </w:p>
    <w:p>
      <w:pPr>
        <w:pStyle w:val="PartTitle"/>
        <w:pBdr>
          <w:bottom w:val="single" w:sz="12" w:space="5" w:color="285E74"/>
        </w:pBdr>
      </w:pPr>
      <w:r>
        <w:t>PART II</w:t>
      </w:r>
    </w:p>
    <w:p>
      <w:pPr>
        <w:pStyle w:val="Heading1"/>
      </w:pPr>
      <w:r>
        <w:t>Complete 7.1.1 Formulas-Fixed Detailed Baseline</w:t>
      </w:r>
    </w:p>
    <w:p>
      <w:pPr>
        <w:pStyle w:val="SourceNote"/>
      </w:pPr>
      <w:r>
        <w:t xml:space="preserve">Original source title: Indian Equity Intelligence System 7.1. </w:t>
      </w:r>
      <w:r>
        <w:t>Original source subtitle: Production-Ready Master Specification for Indian Stock Screening, Ranking, Research, Multi-Horizon Signals, Portfolio Management, Broker Integration, Backtesting, Dashboarding, and Local Deployment</w:t>
      </w:r>
    </w:p>
    <w:p>
      <w:pPr>
        <w:pStyle w:val="SmallNote"/>
      </w:pPr>
      <w:r>
        <w:t>Preservation rule: all source body text and tables are reproduced in source order. List numbering is rendered as literal markers to prevent OOXML numbering-ID collisions between the two source documents.</w:t>
      </w:r>
    </w:p>
    <w:p>
      <w:pPr>
        <w:pStyle w:val="Heading1"/>
        <w:pBdr>
          <w:bottom w:val="single" w:sz="4" w:space="5" w:color="7A9AAA"/>
        </w:pBdr>
        <w:keepNext/>
      </w:pPr>
      <w:r>
        <w:t>1. Executive definition</w:t>
      </w:r>
    </w:p>
    <w:p>
      <w:pPr/>
      <w:r>
        <w:t>Indian Equity Intelligence System 7.1 is an end-to-end equity research and decision-support platform designed to analyze approximately 2,000 Indian listed companies.</w:t>
      </w:r>
    </w:p>
    <w:p>
      <w:pPr/>
      <w:r>
        <w:t>The system is designed to:</w:t>
      </w:r>
    </w:p>
    <w:p>
      <w:pPr>
        <w:pStyle w:val="ListBody"/>
        <w:ind w:left="490" w:hanging="331"/>
      </w:pPr>
      <w:r>
        <w:rPr>
          <w:b/>
        </w:rPr>
        <w:t xml:space="preserve">1. </w:t>
      </w:r>
      <w:r>
        <w:t>Build and maintain a reliable Indian equity universe.</w:t>
      </w:r>
    </w:p>
    <w:p>
      <w:pPr>
        <w:pStyle w:val="ListBody"/>
        <w:ind w:left="490" w:hanging="331"/>
      </w:pPr>
      <w:r>
        <w:rPr>
          <w:b/>
        </w:rPr>
        <w:t xml:space="preserve">2. </w:t>
      </w:r>
      <w:r>
        <w:t>Collect market, financial, governance, ownership, regulatory, and corporate-event data.</w:t>
      </w:r>
    </w:p>
    <w:p>
      <w:pPr>
        <w:pStyle w:val="ListBody"/>
        <w:ind w:left="490" w:hanging="331"/>
      </w:pPr>
      <w:r>
        <w:rPr>
          <w:b/>
        </w:rPr>
        <w:t xml:space="preserve">3. </w:t>
      </w:r>
      <w:r>
        <w:t>Preserve point-in-time historical data.</w:t>
      </w:r>
    </w:p>
    <w:p>
      <w:pPr>
        <w:pStyle w:val="ListBody"/>
        <w:ind w:left="490" w:hanging="331"/>
      </w:pPr>
      <w:r>
        <w:rPr>
          <w:b/>
        </w:rPr>
        <w:t xml:space="preserve">4. </w:t>
      </w:r>
      <w:r>
        <w:t>Reconcile data from multiple sources.</w:t>
      </w:r>
    </w:p>
    <w:p>
      <w:pPr>
        <w:pStyle w:val="ListBody"/>
        <w:ind w:left="490" w:hanging="331"/>
      </w:pPr>
      <w:r>
        <w:rPr>
          <w:b/>
        </w:rPr>
        <w:t xml:space="preserve">5. </w:t>
      </w:r>
      <w:r>
        <w:t>Normalize financial statements.</w:t>
      </w:r>
    </w:p>
    <w:p>
      <w:pPr>
        <w:pStyle w:val="ListBody"/>
        <w:ind w:left="490" w:hanging="331"/>
      </w:pPr>
      <w:r>
        <w:rPr>
          <w:b/>
        </w:rPr>
        <w:t xml:space="preserve">6. </w:t>
      </w:r>
      <w:r>
        <w:t>Apply sector-specific analytical models.</w:t>
      </w:r>
    </w:p>
    <w:p>
      <w:pPr>
        <w:pStyle w:val="ListBody"/>
        <w:ind w:left="490" w:hanging="331"/>
      </w:pPr>
      <w:r>
        <w:rPr>
          <w:b/>
        </w:rPr>
        <w:t xml:space="preserve">7. </w:t>
      </w:r>
      <w:r>
        <w:t>Detect accounting, governance, liquidity, solvency, and regulatory risks.</w:t>
      </w:r>
    </w:p>
    <w:p>
      <w:pPr>
        <w:pStyle w:val="ListBody"/>
        <w:ind w:left="490" w:hanging="331"/>
      </w:pPr>
      <w:r>
        <w:rPr>
          <w:b/>
        </w:rPr>
        <w:t xml:space="preserve">8. </w:t>
      </w:r>
      <w:r>
        <w:t>Calculate fundamental, quantitative, valuation, quality, risk, and momentum scores.</w:t>
      </w:r>
    </w:p>
    <w:p>
      <w:pPr>
        <w:pStyle w:val="ListBody"/>
        <w:ind w:left="490" w:hanging="331"/>
      </w:pPr>
      <w:r>
        <w:rPr>
          <w:b/>
        </w:rPr>
        <w:t xml:space="preserve">9. </w:t>
      </w:r>
      <w:r>
        <w:t>Rank stocks within sectors, market-cap groups, and the overall market.</w:t>
      </w:r>
    </w:p>
    <w:p>
      <w:pPr>
        <w:pStyle w:val="ListBody"/>
        <w:ind w:left="490" w:hanging="331"/>
      </w:pPr>
      <w:r>
        <w:rPr>
          <w:b/>
        </w:rPr>
        <w:t xml:space="preserve">10. </w:t>
      </w:r>
      <w:r>
        <w:t>Generate daily, weekly, monthly, medium-term, and long-term signals.</w:t>
      </w:r>
    </w:p>
    <w:p>
      <w:pPr>
        <w:pStyle w:val="ListBody"/>
        <w:ind w:left="490" w:hanging="331"/>
      </w:pPr>
      <w:r>
        <w:rPr>
          <w:b/>
        </w:rPr>
        <w:t xml:space="preserve">11. </w:t>
      </w:r>
      <w:r>
        <w:t>Produce explainable entry, accumulation, hold, reduce, exit, and avoid decisions.</w:t>
      </w:r>
    </w:p>
    <w:p>
      <w:pPr>
        <w:pStyle w:val="ListBody"/>
        <w:ind w:left="490" w:hanging="331"/>
      </w:pPr>
      <w:r>
        <w:rPr>
          <w:b/>
        </w:rPr>
        <w:t xml:space="preserve">12. </w:t>
      </w:r>
      <w:r>
        <w:t>Create institutional-style company research.</w:t>
      </w:r>
    </w:p>
    <w:p>
      <w:pPr>
        <w:pStyle w:val="ListBody"/>
        <w:ind w:left="490" w:hanging="331"/>
      </w:pPr>
      <w:r>
        <w:rPr>
          <w:b/>
        </w:rPr>
        <w:t xml:space="preserve">13. </w:t>
      </w:r>
      <w:r>
        <w:t>Generate forecasts, scenarios, and fair-value estimates.</w:t>
      </w:r>
    </w:p>
    <w:p>
      <w:pPr>
        <w:pStyle w:val="ListBody"/>
        <w:ind w:left="490" w:hanging="331"/>
      </w:pPr>
      <w:r>
        <w:rPr>
          <w:b/>
        </w:rPr>
        <w:t xml:space="preserve">14. </w:t>
      </w:r>
      <w:r>
        <w:t>Integrate portfolio risk, liquidity, and position sizing.</w:t>
      </w:r>
    </w:p>
    <w:p>
      <w:pPr>
        <w:pStyle w:val="ListBody"/>
        <w:ind w:left="490" w:hanging="331"/>
      </w:pPr>
      <w:r>
        <w:rPr>
          <w:b/>
        </w:rPr>
        <w:t xml:space="preserve">15. </w:t>
      </w:r>
      <w:r>
        <w:t>Connect to permitted broker and market-data interfaces.</w:t>
      </w:r>
    </w:p>
    <w:p>
      <w:pPr>
        <w:pStyle w:val="ListBody"/>
        <w:ind w:left="490" w:hanging="331"/>
      </w:pPr>
      <w:r>
        <w:rPr>
          <w:b/>
        </w:rPr>
        <w:t xml:space="preserve">16. </w:t>
      </w:r>
      <w:r>
        <w:t>Support research-only, alert-only, paper-trading, manual, semi-automatic, and automatic modes.</w:t>
      </w:r>
    </w:p>
    <w:p>
      <w:pPr>
        <w:pStyle w:val="ListBody"/>
        <w:ind w:left="490" w:hanging="331"/>
      </w:pPr>
      <w:r>
        <w:rPr>
          <w:b/>
        </w:rPr>
        <w:t xml:space="preserve">17. </w:t>
      </w:r>
      <w:r>
        <w:t>Provide a full frontend dashboard.</w:t>
      </w:r>
    </w:p>
    <w:p>
      <w:pPr>
        <w:pStyle w:val="ListBody"/>
        <w:ind w:left="490" w:hanging="331"/>
      </w:pPr>
      <w:r>
        <w:rPr>
          <w:b/>
        </w:rPr>
        <w:t xml:space="preserve">18. </w:t>
      </w:r>
      <w:r>
        <w:t>Perform point-in-time, survivorship-controlled backtests.</w:t>
      </w:r>
    </w:p>
    <w:p>
      <w:pPr>
        <w:pStyle w:val="ListBody"/>
        <w:ind w:left="490" w:hanging="331"/>
      </w:pPr>
      <w:r>
        <w:rPr>
          <w:b/>
        </w:rPr>
        <w:t xml:space="preserve">19. </w:t>
      </w:r>
      <w:r>
        <w:t>Maintain model, data, signal, and execution audit trails.</w:t>
      </w:r>
    </w:p>
    <w:p>
      <w:pPr>
        <w:pStyle w:val="ListBody"/>
        <w:ind w:left="490" w:hanging="331"/>
      </w:pPr>
      <w:r>
        <w:rPr>
          <w:b/>
        </w:rPr>
        <w:t xml:space="preserve">20. </w:t>
      </w:r>
      <w:r>
        <w:t>Run efficiently on a Core i7 laptop with 16–24 GB RAM and an RTX 4060 GPU.</w:t>
      </w:r>
    </w:p>
    <w:p>
      <w:pPr/>
      <w:r>
        <w:t>The platform must be treated as a research and decision-support system. It must not claim guaranteed investment returns or guaranteed signal accuracy.</w:t>
      </w:r>
    </w:p>
    <w:p>
      <w:pPr>
        <w:spacing w:after="0"/>
      </w:pPr>
      <w:r/>
    </w:p>
    <w:p>
      <w:pPr>
        <w:pStyle w:val="Heading1"/>
        <w:pBdr>
          <w:bottom w:val="single" w:sz="4" w:space="5" w:color="7A9AAA"/>
        </w:pBdr>
        <w:keepNext/>
      </w:pPr>
      <w:r>
        <w:t>2. Production-readiness boundary</w:t>
      </w:r>
    </w:p>
    <w:p>
      <w:pPr/>
      <w:r>
        <w:t>The specification defines a production-grade architecture, but final production certification requires four separate validation levels.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blHeader w:val="true"/>
        </w:trPr>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Validation level</w:t>
            </w:r>
          </w:p>
        </w:tc>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Requirement</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Architecture validated</w:t>
            </w:r>
          </w:p>
        </w:tc>
        <w:tc>
          <w:tcPr>
            <w:tcW w:type="dxa" w:w="4997"/>
            <w:vAlign w:val="center"/>
            <w:tcMar>
              <w:top w:w="55" w:type="dxa"/>
              <w:start w:w="65" w:type="dxa"/>
              <w:bottom w:w="55" w:type="dxa"/>
              <w:end w:w="65" w:type="dxa"/>
            </w:tcMar>
          </w:tcPr>
          <w:p>
            <w:pPr>
              <w:spacing w:after="0"/>
            </w:pPr>
            <w:r>
              <w:rPr>
                <w:rFonts w:ascii="Cambria" w:hAnsi="Cambria"/>
                <w:sz w:val="18"/>
              </w:rPr>
              <w:t>Design, formulas, workflows, controls, and responsibilities reviewed</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Data validated</w:t>
            </w:r>
          </w:p>
        </w:tc>
        <w:tc>
          <w:tcPr>
            <w:tcW w:type="dxa" w:w="4997"/>
            <w:vAlign w:val="center"/>
            <w:tcMar>
              <w:top w:w="55" w:type="dxa"/>
              <w:start w:w="65" w:type="dxa"/>
              <w:bottom w:w="55" w:type="dxa"/>
              <w:end w:w="65" w:type="dxa"/>
            </w:tcMar>
            <w:shd w:fill="F8FAFB"/>
          </w:tcPr>
          <w:p>
            <w:pPr>
              <w:spacing w:after="0"/>
            </w:pPr>
            <w:r>
              <w:rPr>
                <w:rFonts w:ascii="Cambria" w:hAnsi="Cambria"/>
                <w:sz w:val="18"/>
              </w:rPr>
              <w:t>Source permissions, mappings, reconciliations, and historical coverage verified</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Code validated</w:t>
            </w:r>
          </w:p>
        </w:tc>
        <w:tc>
          <w:tcPr>
            <w:tcW w:type="dxa" w:w="4997"/>
            <w:vAlign w:val="center"/>
            <w:tcMar>
              <w:top w:w="55" w:type="dxa"/>
              <w:start w:w="65" w:type="dxa"/>
              <w:bottom w:w="55" w:type="dxa"/>
              <w:end w:w="65" w:type="dxa"/>
            </w:tcMar>
          </w:tcPr>
          <w:p>
            <w:pPr>
              <w:spacing w:after="0"/>
            </w:pPr>
            <w:r>
              <w:rPr>
                <w:rFonts w:ascii="Cambria" w:hAnsi="Cambria"/>
                <w:sz w:val="18"/>
              </w:rPr>
              <w:t>Unit, integration, regression, performance, and security tests passed</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Investment validated</w:t>
            </w:r>
          </w:p>
        </w:tc>
        <w:tc>
          <w:tcPr>
            <w:tcW w:type="dxa" w:w="4997"/>
            <w:vAlign w:val="center"/>
            <w:tcMar>
              <w:top w:w="55" w:type="dxa"/>
              <w:start w:w="65" w:type="dxa"/>
              <w:bottom w:w="55" w:type="dxa"/>
              <w:end w:w="65" w:type="dxa"/>
            </w:tcMar>
            <w:shd w:fill="F8FAFB"/>
          </w:tcPr>
          <w:p>
            <w:pPr>
              <w:spacing w:after="0"/>
            </w:pPr>
            <w:r>
              <w:rPr>
                <w:rFonts w:ascii="Cambria" w:hAnsi="Cambria"/>
                <w:sz w:val="18"/>
              </w:rPr>
              <w:t>Walk-forward backtests, paper trading, and controlled live validation completed</w:t>
            </w:r>
          </w:p>
        </w:tc>
      </w:tr>
    </w:tbl>
    <w:p>
      <w:pPr>
        <w:spacing w:after="20"/>
      </w:pPr>
    </w:p>
    <w:p>
      <w:pPr/>
      <w:r>
        <w:t>The system must display these four validation states separately.</w:t>
      </w:r>
    </w:p>
    <w:p>
      <w:pPr/>
      <w:r>
        <w:t>A system is not investment-validated merely because:</w:t>
      </w:r>
    </w:p>
    <w:p>
      <w:pPr>
        <w:pStyle w:val="ListBody"/>
        <w:ind w:left="490" w:hanging="331"/>
      </w:pPr>
      <w:r>
        <w:rPr>
          <w:b/>
        </w:rPr>
        <w:t xml:space="preserve">• </w:t>
      </w:r>
      <w:r>
        <w:t>It compiles.</w:t>
      </w:r>
    </w:p>
    <w:p>
      <w:pPr>
        <w:pStyle w:val="ListBody"/>
        <w:ind w:left="490" w:hanging="331"/>
      </w:pPr>
      <w:r>
        <w:rPr>
          <w:b/>
        </w:rPr>
        <w:t xml:space="preserve">• </w:t>
      </w:r>
      <w:r>
        <w:t>It calculates scores.</w:t>
      </w:r>
    </w:p>
    <w:p>
      <w:pPr>
        <w:pStyle w:val="ListBody"/>
        <w:ind w:left="490" w:hanging="331"/>
      </w:pPr>
      <w:r>
        <w:rPr>
          <w:b/>
        </w:rPr>
        <w:t xml:space="preserve">• </w:t>
      </w:r>
      <w:r>
        <w:t>It generates signals.</w:t>
      </w:r>
    </w:p>
    <w:p>
      <w:pPr>
        <w:pStyle w:val="ListBody"/>
        <w:ind w:left="490" w:hanging="331"/>
      </w:pPr>
      <w:r>
        <w:rPr>
          <w:b/>
        </w:rPr>
        <w:t xml:space="preserve">• </w:t>
      </w:r>
      <w:r>
        <w:t>It produces a profitable in-sample backtest.</w:t>
      </w:r>
    </w:p>
    <w:p>
      <w:pPr>
        <w:pStyle w:val="ListBody"/>
        <w:ind w:left="490" w:hanging="331"/>
      </w:pPr>
      <w:r>
        <w:rPr>
          <w:b/>
        </w:rPr>
        <w:t xml:space="preserve">• </w:t>
      </w:r>
      <w:r>
        <w:t>A dashboard is operational.</w:t>
      </w:r>
    </w:p>
    <w:p>
      <w:pPr>
        <w:spacing w:after="0"/>
      </w:pPr>
      <w:r/>
    </w:p>
    <w:p>
      <w:pPr>
        <w:pStyle w:val="Heading1"/>
        <w:pBdr>
          <w:bottom w:val="single" w:sz="4" w:space="5" w:color="7A9AAA"/>
        </w:pBdr>
        <w:keepNext/>
      </w:pPr>
      <w:r>
        <w:t>3. Core system principles</w:t>
      </w:r>
    </w:p>
    <w:p>
      <w:pPr>
        <w:pStyle w:val="Heading2"/>
        <w:keepNext/>
      </w:pPr>
      <w:r>
        <w:t>3.1 Evidence classification</w:t>
      </w:r>
    </w:p>
    <w:p>
      <w:pPr/>
      <w:r>
        <w:t>The platform must distinguish:</w:t>
      </w:r>
    </w:p>
    <w:p>
      <w:pPr/>
      <w:r>
        <w:t>[ Reported fact, calculated metric, management assertion, third-party estimate, analyst estimate, AI inference, unverified allegation ]</w:t>
      </w:r>
    </w:p>
    <w:p>
      <w:pPr/>
      <w:r>
        <w:t>Every material conclusion must identify its evidence type.</w:t>
      </w:r>
    </w:p>
    <w:p>
      <w:pPr>
        <w:pStyle w:val="Heading2"/>
        <w:keepNext/>
      </w:pPr>
      <w:r>
        <w:t>3.2 Decision-layer separation</w:t>
      </w:r>
    </w:p>
    <w:p>
      <w:pPr/>
      <w:r>
        <w:t>The platform must also distinguish:</w:t>
      </w:r>
    </w:p>
    <w:p>
      <w:pPr/>
      <w:r>
        <w:t>[ Company quality, valuation, signal or timing per horizon, suitability (liquidity and capacity), governance or hard-gate status, portfolio position and final size ]</w:t>
      </w:r>
    </w:p>
    <w:p>
      <w:pPr/>
      <w:r>
        <w:t>Examples:</w:t>
      </w:r>
    </w:p>
    <w:p>
      <w:pPr>
        <w:pStyle w:val="ListBody"/>
        <w:ind w:left="490" w:hanging="331"/>
      </w:pPr>
      <w:r>
        <w:rPr>
          <w:b/>
        </w:rPr>
        <w:t xml:space="preserve">• </w:t>
      </w:r>
      <w:r>
        <w:t>A high-quality company can be overvalued.</w:t>
      </w:r>
    </w:p>
    <w:p>
      <w:pPr>
        <w:pStyle w:val="ListBody"/>
        <w:ind w:left="490" w:hanging="331"/>
      </w:pPr>
      <w:r>
        <w:rPr>
          <w:b/>
        </w:rPr>
        <w:t xml:space="preserve">• </w:t>
      </w:r>
      <w:r>
        <w:t>A statistically cheap stock can be a value trap.</w:t>
      </w:r>
    </w:p>
    <w:p>
      <w:pPr>
        <w:pStyle w:val="ListBody"/>
        <w:ind w:left="490" w:hanging="331"/>
      </w:pPr>
      <w:r>
        <w:rPr>
          <w:b/>
        </w:rPr>
        <w:t xml:space="preserve">• </w:t>
      </w:r>
      <w:r>
        <w:t>A daily tactical reduction signal can coexist with a long-term buy recommendation.</w:t>
      </w:r>
    </w:p>
    <w:p>
      <w:pPr>
        <w:pStyle w:val="ListBody"/>
        <w:ind w:left="490" w:hanging="331"/>
      </w:pPr>
      <w:r>
        <w:rPr>
          <w:b/>
        </w:rPr>
        <w:t xml:space="preserve">• </w:t>
      </w:r>
      <w:r>
        <w:t>A high-scoring company can be unsuitable because of low liquidity.</w:t>
      </w:r>
    </w:p>
    <w:p>
      <w:pPr>
        <w:pStyle w:val="ListBody"/>
        <w:ind w:left="490" w:hanging="331"/>
      </w:pPr>
      <w:r>
        <w:rPr>
          <w:b/>
        </w:rPr>
        <w:t xml:space="preserve">• </w:t>
      </w:r>
      <w:r>
        <w:t>A strong signal can be blocked by a governance hard gate.</w:t>
      </w:r>
    </w:p>
    <w:p>
      <w:pPr>
        <w:pStyle w:val="ListBody"/>
        <w:ind w:left="490" w:hanging="331"/>
      </w:pPr>
      <w:r>
        <w:rPr>
          <w:b/>
        </w:rPr>
        <w:t xml:space="preserve">• </w:t>
      </w:r>
      <w:r>
        <w:t>A suitable stock can receive a zero position because portfolio concentration limits are already reached.</w:t>
      </w:r>
    </w:p>
    <w:p>
      <w:pPr>
        <w:pStyle w:val="Heading2"/>
        <w:keepNext/>
      </w:pPr>
      <w:r>
        <w:t>3.3 No silent data substitution</w:t>
      </w:r>
    </w:p>
    <w:p>
      <w:pPr/>
      <w:r>
        <w:t>The system must never:</w:t>
      </w:r>
    </w:p>
    <w:p>
      <w:pPr>
        <w:pStyle w:val="ListBody"/>
        <w:ind w:left="490" w:hanging="331"/>
      </w:pPr>
      <w:r>
        <w:rPr>
          <w:b/>
        </w:rPr>
        <w:t xml:space="preserve">• </w:t>
      </w:r>
      <w:r>
        <w:t>Replace missing values with zero.</w:t>
      </w:r>
    </w:p>
    <w:p>
      <w:pPr>
        <w:pStyle w:val="ListBody"/>
        <w:ind w:left="490" w:hanging="331"/>
      </w:pPr>
      <w:r>
        <w:rPr>
          <w:b/>
        </w:rPr>
        <w:t xml:space="preserve">• </w:t>
      </w:r>
      <w:r>
        <w:t>Average conflicting statutory financial values.</w:t>
      </w:r>
    </w:p>
    <w:p>
      <w:pPr>
        <w:pStyle w:val="ListBody"/>
        <w:ind w:left="490" w:hanging="331"/>
      </w:pPr>
      <w:r>
        <w:rPr>
          <w:b/>
        </w:rPr>
        <w:t xml:space="preserve">• </w:t>
      </w:r>
      <w:r>
        <w:t>Allow a fallback source to overwrite an authoritative source silently.</w:t>
      </w:r>
    </w:p>
    <w:p>
      <w:pPr>
        <w:pStyle w:val="ListBody"/>
        <w:ind w:left="490" w:hanging="331"/>
      </w:pPr>
      <w:r>
        <w:rPr>
          <w:b/>
        </w:rPr>
        <w:t xml:space="preserve">• </w:t>
      </w:r>
      <w:r>
        <w:t>Treat missing governance information as evidence of good governance.</w:t>
      </w:r>
    </w:p>
    <w:p>
      <w:pPr>
        <w:pStyle w:val="ListBody"/>
        <w:ind w:left="490" w:hanging="331"/>
      </w:pPr>
      <w:r>
        <w:rPr>
          <w:b/>
        </w:rPr>
        <w:t xml:space="preserve">• </w:t>
      </w:r>
      <w:r>
        <w:t>combine standalone and consolidated statements without explicit logic.</w:t>
      </w:r>
    </w:p>
    <w:p>
      <w:pPr>
        <w:pStyle w:val="ListBody"/>
        <w:ind w:left="490" w:hanging="331"/>
      </w:pPr>
      <w:r>
        <w:rPr>
          <w:b/>
        </w:rPr>
        <w:t xml:space="preserve">• </w:t>
      </w:r>
      <w:r>
        <w:t>Use current revised data in a historical backtest when that revision was unavailable at the time.</w:t>
      </w:r>
    </w:p>
    <w:p>
      <w:pPr>
        <w:pStyle w:val="ListBody"/>
        <w:ind w:left="490" w:hanging="331"/>
      </w:pPr>
      <w:r>
        <w:rPr>
          <w:b/>
        </w:rPr>
        <w:t xml:space="preserve">• </w:t>
      </w:r>
      <w:r>
        <w:t>Treat incomplete weekly or monthly bars as confirmed.</w:t>
      </w:r>
    </w:p>
    <w:p>
      <w:pPr>
        <w:pStyle w:val="ListBody"/>
        <w:ind w:left="490" w:hanging="331"/>
      </w:pPr>
      <w:r>
        <w:rPr>
          <w:b/>
        </w:rPr>
        <w:t xml:space="preserve">• </w:t>
      </w:r>
      <w:r>
        <w:t>Convert an unfilled order into a filled position.</w:t>
      </w:r>
    </w:p>
    <w:p>
      <w:pPr>
        <w:pStyle w:val="ListBody"/>
        <w:ind w:left="490" w:hanging="331"/>
      </w:pPr>
      <w:r>
        <w:rPr>
          <w:b/>
        </w:rPr>
        <w:t xml:space="preserve">• </w:t>
      </w:r>
      <w:r>
        <w:t>Treat an API timeout as an order rejection.</w:t>
      </w:r>
    </w:p>
    <w:p>
      <w:pPr>
        <w:pStyle w:val="ListBody"/>
        <w:ind w:left="490" w:hanging="331"/>
      </w:pPr>
      <w:r>
        <w:rPr>
          <w:b/>
        </w:rPr>
        <w:t xml:space="preserve">• </w:t>
      </w:r>
      <w:r>
        <w:t>Treat an unverified accusation as confirmed misconduct.</w:t>
      </w:r>
    </w:p>
    <w:p>
      <w:pPr>
        <w:spacing w:after="0"/>
      </w:pPr>
      <w:r/>
    </w:p>
    <w:p>
      <w:pPr>
        <w:pStyle w:val="Heading1"/>
        <w:pBdr>
          <w:bottom w:val="single" w:sz="4" w:space="5" w:color="7A9AAA"/>
        </w:pBdr>
        <w:keepNext/>
      </w:pPr>
      <w:r>
        <w:t>4. Supported system modes</w:t>
      </w:r>
    </w:p>
    <w:p>
      <w:pPr>
        <w:pStyle w:val="Heading2"/>
        <w:keepNext/>
      </w:pPr>
      <w:r>
        <w:t>4.1 Research Only</w:t>
      </w:r>
    </w:p>
    <w:p>
      <w:pPr>
        <w:pStyle w:val="ListBody"/>
        <w:ind w:left="490" w:hanging="331"/>
      </w:pPr>
      <w:r>
        <w:rPr>
          <w:b/>
        </w:rPr>
        <w:t xml:space="preserve">• </w:t>
      </w:r>
      <w:r>
        <w:t>Screening.</w:t>
      </w:r>
    </w:p>
    <w:p>
      <w:pPr>
        <w:pStyle w:val="ListBody"/>
        <w:ind w:left="490" w:hanging="331"/>
      </w:pPr>
      <w:r>
        <w:rPr>
          <w:b/>
        </w:rPr>
        <w:t xml:space="preserve">• </w:t>
      </w:r>
      <w:r>
        <w:t>Rankings.</w:t>
      </w:r>
    </w:p>
    <w:p>
      <w:pPr>
        <w:pStyle w:val="ListBody"/>
        <w:ind w:left="490" w:hanging="331"/>
      </w:pPr>
      <w:r>
        <w:rPr>
          <w:b/>
        </w:rPr>
        <w:t xml:space="preserve">• </w:t>
      </w:r>
      <w:r>
        <w:t>Research reports.</w:t>
      </w:r>
    </w:p>
    <w:p>
      <w:pPr>
        <w:pStyle w:val="ListBody"/>
        <w:ind w:left="490" w:hanging="331"/>
      </w:pPr>
      <w:r>
        <w:rPr>
          <w:b/>
        </w:rPr>
        <w:t xml:space="preserve">• </w:t>
      </w:r>
      <w:r>
        <w:t>Valuation.</w:t>
      </w:r>
    </w:p>
    <w:p>
      <w:pPr>
        <w:pStyle w:val="ListBody"/>
        <w:ind w:left="490" w:hanging="331"/>
      </w:pPr>
      <w:r>
        <w:rPr>
          <w:b/>
        </w:rPr>
        <w:t xml:space="preserve">• </w:t>
      </w:r>
      <w:r>
        <w:t>Watchlists.</w:t>
      </w:r>
    </w:p>
    <w:p>
      <w:pPr>
        <w:pStyle w:val="ListBody"/>
        <w:ind w:left="490" w:hanging="331"/>
      </w:pPr>
      <w:r>
        <w:rPr>
          <w:b/>
        </w:rPr>
        <w:t xml:space="preserve">• </w:t>
      </w:r>
      <w:r>
        <w:t>Alerts.</w:t>
      </w:r>
    </w:p>
    <w:p>
      <w:pPr>
        <w:pStyle w:val="ListBody"/>
        <w:ind w:left="490" w:hanging="331"/>
      </w:pPr>
      <w:r>
        <w:rPr>
          <w:b/>
        </w:rPr>
        <w:t xml:space="preserve">• </w:t>
      </w:r>
      <w:r>
        <w:t>No broker order generation.</w:t>
      </w:r>
    </w:p>
    <w:p>
      <w:pPr>
        <w:pStyle w:val="Heading2"/>
        <w:keepNext/>
      </w:pPr>
      <w:r>
        <w:t>4.2 Alert Only</w:t>
      </w:r>
    </w:p>
    <w:p>
      <w:pPr>
        <w:pStyle w:val="ListBody"/>
        <w:ind w:left="490" w:hanging="331"/>
      </w:pPr>
      <w:r>
        <w:rPr>
          <w:b/>
        </w:rPr>
        <w:t xml:space="preserve">• </w:t>
      </w:r>
      <w:r>
        <w:t>Live and end-of-day signals.</w:t>
      </w:r>
    </w:p>
    <w:p>
      <w:pPr>
        <w:pStyle w:val="ListBody"/>
        <w:ind w:left="490" w:hanging="331"/>
      </w:pPr>
      <w:r>
        <w:rPr>
          <w:b/>
        </w:rPr>
        <w:t xml:space="preserve">• </w:t>
      </w:r>
      <w:r>
        <w:t>Alerts.</w:t>
      </w:r>
    </w:p>
    <w:p>
      <w:pPr>
        <w:pStyle w:val="ListBody"/>
        <w:ind w:left="490" w:hanging="331"/>
      </w:pPr>
      <w:r>
        <w:rPr>
          <w:b/>
        </w:rPr>
        <w:t xml:space="preserve">• </w:t>
      </w:r>
      <w:r>
        <w:t>No executable order queue.</w:t>
      </w:r>
    </w:p>
    <w:p>
      <w:pPr>
        <w:pStyle w:val="Heading2"/>
        <w:keepNext/>
      </w:pPr>
      <w:r>
        <w:t>4.3 Paper Trading</w:t>
      </w:r>
    </w:p>
    <w:p>
      <w:pPr>
        <w:pStyle w:val="ListBody"/>
        <w:ind w:left="490" w:hanging="331"/>
      </w:pPr>
      <w:r>
        <w:rPr>
          <w:b/>
        </w:rPr>
        <w:t xml:space="preserve">• </w:t>
      </w:r>
      <w:r>
        <w:t>Simulated orders.</w:t>
      </w:r>
    </w:p>
    <w:p>
      <w:pPr>
        <w:pStyle w:val="ListBody"/>
        <w:ind w:left="490" w:hanging="331"/>
      </w:pPr>
      <w:r>
        <w:rPr>
          <w:b/>
        </w:rPr>
        <w:t xml:space="preserve">• </w:t>
      </w:r>
      <w:r>
        <w:t>Simulated fills.</w:t>
      </w:r>
    </w:p>
    <w:p>
      <w:pPr>
        <w:pStyle w:val="ListBody"/>
        <w:ind w:left="490" w:hanging="331"/>
      </w:pPr>
      <w:r>
        <w:rPr>
          <w:b/>
        </w:rPr>
        <w:t xml:space="preserve">• </w:t>
      </w:r>
      <w:r>
        <w:t>Real market prices.</w:t>
      </w:r>
    </w:p>
    <w:p>
      <w:pPr>
        <w:pStyle w:val="ListBody"/>
        <w:ind w:left="490" w:hanging="331"/>
      </w:pPr>
      <w:r>
        <w:rPr>
          <w:b/>
        </w:rPr>
        <w:t xml:space="preserve">• </w:t>
      </w:r>
      <w:r>
        <w:t>Separate paper portfolio.</w:t>
      </w:r>
    </w:p>
    <w:p>
      <w:pPr>
        <w:pStyle w:val="ListBody"/>
        <w:ind w:left="490" w:hanging="331"/>
      </w:pPr>
      <w:r>
        <w:rPr>
          <w:b/>
        </w:rPr>
        <w:t xml:space="preserve">• </w:t>
      </w:r>
      <w:r>
        <w:t>No live orders.</w:t>
      </w:r>
    </w:p>
    <w:p>
      <w:pPr>
        <w:pStyle w:val="Heading2"/>
        <w:keepNext/>
      </w:pPr>
      <w:r>
        <w:t>4.4 Manual Confirmation</w:t>
      </w:r>
    </w:p>
    <w:p>
      <w:pPr>
        <w:pStyle w:val="ListBody"/>
        <w:ind w:left="490" w:hanging="331"/>
      </w:pPr>
      <w:r>
        <w:rPr>
          <w:b/>
        </w:rPr>
        <w:t xml:space="preserve">• </w:t>
      </w:r>
      <w:r>
        <w:t>The system creates an order proposal.</w:t>
      </w:r>
    </w:p>
    <w:p>
      <w:pPr>
        <w:pStyle w:val="ListBody"/>
        <w:ind w:left="490" w:hanging="331"/>
      </w:pPr>
      <w:r>
        <w:rPr>
          <w:b/>
        </w:rPr>
        <w:t xml:space="preserve">• </w:t>
      </w:r>
      <w:r>
        <w:t>The user approves or rejects every order.</w:t>
      </w:r>
    </w:p>
    <w:p>
      <w:pPr>
        <w:pStyle w:val="Heading2"/>
        <w:keepNext/>
      </w:pPr>
      <w:r>
        <w:t>4.5 Semi-Automatic</w:t>
      </w:r>
    </w:p>
    <w:p>
      <w:pPr>
        <w:pStyle w:val="ListBody"/>
        <w:ind w:left="490" w:hanging="331"/>
      </w:pPr>
      <w:r>
        <w:rPr>
          <w:b/>
        </w:rPr>
        <w:t xml:space="preserve">• </w:t>
      </w:r>
      <w:r>
        <w:t>Only explicitly approved strategies and universes may generate orders.</w:t>
      </w:r>
    </w:p>
    <w:p>
      <w:pPr>
        <w:pStyle w:val="ListBody"/>
        <w:ind w:left="490" w:hanging="331"/>
      </w:pPr>
      <w:r>
        <w:rPr>
          <w:b/>
        </w:rPr>
        <w:t xml:space="preserve">• </w:t>
      </w:r>
      <w:r>
        <w:t>Risk limits remain mandatory.</w:t>
      </w:r>
    </w:p>
    <w:p>
      <w:pPr>
        <w:pStyle w:val="ListBody"/>
        <w:ind w:left="490" w:hanging="331"/>
      </w:pPr>
      <w:r>
        <w:rPr>
          <w:b/>
        </w:rPr>
        <w:t xml:space="preserve">• </w:t>
      </w:r>
      <w:r>
        <w:t>High-risk events require manual approval.</w:t>
      </w:r>
    </w:p>
    <w:p>
      <w:pPr>
        <w:pStyle w:val="Heading2"/>
        <w:keepNext/>
      </w:pPr>
      <w:r>
        <w:t>4.6 Automatic</w:t>
      </w:r>
    </w:p>
    <w:p>
      <w:pPr/>
      <w:r>
        <w:t>Automatic mode may be enabled only after:</w:t>
      </w:r>
    </w:p>
    <w:p>
      <w:pPr>
        <w:pStyle w:val="ListBody"/>
        <w:ind w:left="490" w:hanging="331"/>
      </w:pPr>
      <w:r>
        <w:rPr>
          <w:b/>
        </w:rPr>
        <w:t xml:space="preserve">1. </w:t>
      </w:r>
      <w:r>
        <w:t>Point-in-time backtests pass.</w:t>
      </w:r>
    </w:p>
    <w:p>
      <w:pPr>
        <w:pStyle w:val="ListBody"/>
        <w:ind w:left="490" w:hanging="331"/>
      </w:pPr>
      <w:r>
        <w:rPr>
          <w:b/>
        </w:rPr>
        <w:t xml:space="preserve">2. </w:t>
      </w:r>
      <w:r>
        <w:t>Paper-trading results pass.</w:t>
      </w:r>
    </w:p>
    <w:p>
      <w:pPr>
        <w:pStyle w:val="ListBody"/>
        <w:ind w:left="490" w:hanging="331"/>
      </w:pPr>
      <w:r>
        <w:rPr>
          <w:b/>
        </w:rPr>
        <w:t xml:space="preserve">3. </w:t>
      </w:r>
      <w:r>
        <w:t>Broker order reconciliation passes.</w:t>
      </w:r>
    </w:p>
    <w:p>
      <w:pPr>
        <w:pStyle w:val="ListBody"/>
        <w:ind w:left="490" w:hanging="331"/>
      </w:pPr>
      <w:r>
        <w:rPr>
          <w:b/>
        </w:rPr>
        <w:t xml:space="preserve">4. </w:t>
      </w:r>
      <w:r>
        <w:t>Duplicate-order tests pass.</w:t>
      </w:r>
    </w:p>
    <w:p>
      <w:pPr>
        <w:pStyle w:val="ListBody"/>
        <w:ind w:left="490" w:hanging="331"/>
      </w:pPr>
      <w:r>
        <w:rPr>
          <w:b/>
        </w:rPr>
        <w:t xml:space="preserve">5. </w:t>
      </w:r>
      <w:r>
        <w:t>Failover tests pass.</w:t>
      </w:r>
    </w:p>
    <w:p>
      <w:pPr>
        <w:pStyle w:val="ListBody"/>
        <w:ind w:left="490" w:hanging="331"/>
      </w:pPr>
      <w:r>
        <w:rPr>
          <w:b/>
        </w:rPr>
        <w:t xml:space="preserve">6. </w:t>
      </w:r>
      <w:r>
        <w:t>Kill-switch tests pass.</w:t>
      </w:r>
    </w:p>
    <w:p>
      <w:pPr>
        <w:pStyle w:val="ListBody"/>
        <w:ind w:left="490" w:hanging="331"/>
      </w:pPr>
      <w:r>
        <w:rPr>
          <w:b/>
        </w:rPr>
        <w:t xml:space="preserve">7. </w:t>
      </w:r>
      <w:r>
        <w:t>Risk controls pass.</w:t>
      </w:r>
    </w:p>
    <w:p>
      <w:pPr>
        <w:pStyle w:val="ListBody"/>
        <w:ind w:left="490" w:hanging="331"/>
      </w:pPr>
      <w:r>
        <w:rPr>
          <w:b/>
        </w:rPr>
        <w:t xml:space="preserve">8. </w:t>
      </w:r>
      <w:r>
        <w:t>Data staleness blocking passes.</w:t>
      </w:r>
    </w:p>
    <w:p>
      <w:pPr>
        <w:pStyle w:val="ListBody"/>
        <w:ind w:left="490" w:hanging="331"/>
      </w:pPr>
      <w:r>
        <w:rPr>
          <w:b/>
        </w:rPr>
        <w:t xml:space="preserve">9. </w:t>
      </w:r>
      <w:r>
        <w:t>Regulatory and operational reviews are complete.</w:t>
      </w:r>
    </w:p>
    <w:p>
      <w:pPr/>
      <w:r>
        <w:t>Default operating mode:</w:t>
      </w:r>
    </w:p>
    <w:p>
      <w:pPr/>
      <w:r>
        <w:t>ALERT ONLY</w:t>
      </w:r>
    </w:p>
    <w:p>
      <w:pPr>
        <w:spacing w:after="0"/>
      </w:pPr>
      <w:r/>
    </w:p>
    <w:p>
      <w:pPr>
        <w:pStyle w:val="Heading1"/>
        <w:pBdr>
          <w:bottom w:val="single" w:sz="4" w:space="5" w:color="7A9AAA"/>
        </w:pBdr>
        <w:keepNext/>
      </w:pPr>
      <w:r>
        <w:t>5. Complete system architecture</w:t>
      </w:r>
    </w:p>
    <w:p>
      <w:pPr/>
      <w:r>
        <w:t>Permitted Data Sources</w:t>
        <w:br/>
        <w:t xml:space="preserve">        ↓</w:t>
        <w:br/>
        <w:t>Data-License and Permission Registry</w:t>
        <w:br/>
        <w:t xml:space="preserve">        ↓</w:t>
        <w:br/>
        <w:t>Source Connectors and API Health Controls</w:t>
        <w:br/>
        <w:t xml:space="preserve">        ↓</w:t>
        <w:br/>
        <w:t>Canonical Company, Security, Listing, and Instrument Master</w:t>
        <w:br/>
        <w:t xml:space="preserve">        ↓</w:t>
        <w:br/>
        <w:t>Immutable Raw Data Lake</w:t>
        <w:br/>
        <w:t xml:space="preserve">        ↓</w:t>
        <w:br/>
        <w:t>Point-in-Time Data Warehouse</w:t>
        <w:br/>
        <w:t xml:space="preserve">        ↓</w:t>
        <w:br/>
        <w:t>Validation, Reconciliation, and Quarantine Engine</w:t>
        <w:br/>
        <w:t xml:space="preserve">        ↓</w:t>
        <w:br/>
        <w:t>Financial Normalization and Corporate-Action Engine</w:t>
        <w:br/>
        <w:t xml:space="preserve">        ↓</w:t>
        <w:br/>
        <w:t>Discovery Universe</w:t>
        <w:br/>
        <w:t xml:space="preserve">        ↓</w:t>
        <w:br/>
        <w:t>Investability, Liquidity, and Eligibility Engine</w:t>
        <w:br/>
        <w:t xml:space="preserve">        ↓</w:t>
        <w:br/>
        <w:t>Accounting, Governance, Solvency, and Regulatory Hard Gates</w:t>
        <w:br/>
        <w:t xml:space="preserve">        ↓</w:t>
        <w:br/>
        <w:t>Sector-Specific Feature Store</w:t>
        <w:br/>
        <w:t xml:space="preserve">        ↓</w:t>
        <w:br/>
        <w:t>Candidate Score and Multidimensional Rankings</w:t>
        <w:br/>
        <w:t xml:space="preserve">        ↓</w:t>
        <w:br/>
        <w:t>Dynamic Watchlists and Event Alerts</w:t>
        <w:br/>
        <w:t xml:space="preserve">        ↓</w:t>
        <w:br/>
        <w:t>Deep Research and Evidence Ledger</w:t>
        <w:br/>
        <w:t xml:space="preserve">        ↓</w:t>
        <w:br/>
        <w:t>Forecast, Scenario, and Valuation Engine</w:t>
        <w:br/>
        <w:t xml:space="preserve">        ↓</w:t>
        <w:br/>
        <w:t>Daily, Weekly, Monthly, Medium-Term, and Long-Term Signals</w:t>
        <w:br/>
        <w:t xml:space="preserve">        ↓</w:t>
        <w:br/>
        <w:t>Signal State Machines and Cross-Horizon Resolution</w:t>
        <w:br/>
        <w:t xml:space="preserve">        ↓</w:t>
        <w:br/>
        <w:t>Portfolio Risk, Capacity, and Position Sizing</w:t>
        <w:br/>
        <w:t xml:space="preserve">        ↓</w:t>
        <w:br/>
        <w:t>Paper or Broker Execution</w:t>
        <w:br/>
        <w:t xml:space="preserve">        ↓</w:t>
        <w:br/>
        <w:t>Dashboard, Monitoring, Attribution, and Audit</w:t>
        <w:br/>
        <w:t xml:space="preserve">        ↓</w:t>
        <w:br/>
        <w:t>Model Governance, Security, Backup, and Resource Management</w:t>
      </w:r>
    </w:p>
    <w:p>
      <w:pPr>
        <w:spacing w:after="0"/>
      </w:pPr>
      <w:r/>
    </w:p>
    <w:p>
      <w:pPr>
        <w:pStyle w:val="Heading1"/>
        <w:pBdr>
          <w:bottom w:val="single" w:sz="4" w:space="5" w:color="7A9AAA"/>
        </w:pBdr>
        <w:keepNext/>
      </w:pPr>
      <w:r>
        <w:t>6. Data-source hierarchy</w:t>
      </w:r>
    </w:p>
    <w:p>
      <w:pPr>
        <w:pStyle w:val="Heading2"/>
        <w:keepNext/>
      </w:pPr>
      <w:r>
        <w:t>6.1 Tier A — Authoritative statutory sources</w:t>
      </w:r>
    </w:p>
    <w:p>
      <w:pPr/>
      <w:r>
        <w:t>Use as the primary source for legally or financially material facts:</w:t>
      </w:r>
    </w:p>
    <w:p>
      <w:pPr>
        <w:pStyle w:val="ListBody"/>
        <w:ind w:left="490" w:hanging="331"/>
      </w:pPr>
      <w:r>
        <w:rPr>
          <w:b/>
        </w:rPr>
        <w:t xml:space="preserve">• </w:t>
      </w:r>
      <w:r>
        <w:t>NSE corporate filings and licensed data products.</w:t>
      </w:r>
    </w:p>
    <w:p>
      <w:pPr>
        <w:pStyle w:val="ListBody"/>
        <w:ind w:left="490" w:hanging="331"/>
      </w:pPr>
      <w:r>
        <w:rPr>
          <w:b/>
        </w:rPr>
        <w:t xml:space="preserve">• </w:t>
      </w:r>
      <w:r>
        <w:t>BSE corporate filings and licensed data products.</w:t>
      </w:r>
    </w:p>
    <w:p>
      <w:pPr>
        <w:pStyle w:val="ListBody"/>
        <w:ind w:left="490" w:hanging="331"/>
      </w:pPr>
      <w:r>
        <w:rPr>
          <w:b/>
        </w:rPr>
        <w:t xml:space="preserve">• </w:t>
      </w:r>
      <w:r>
        <w:t>Audited annual reports.</w:t>
      </w:r>
    </w:p>
    <w:p>
      <w:pPr>
        <w:pStyle w:val="ListBody"/>
        <w:ind w:left="490" w:hanging="331"/>
      </w:pPr>
      <w:r>
        <w:rPr>
          <w:b/>
        </w:rPr>
        <w:t xml:space="preserve">• </w:t>
      </w:r>
      <w:r>
        <w:t>Quarterly and annual financial-result filings.</w:t>
      </w:r>
    </w:p>
    <w:p>
      <w:pPr>
        <w:pStyle w:val="ListBody"/>
        <w:ind w:left="490" w:hanging="331"/>
      </w:pPr>
      <w:r>
        <w:rPr>
          <w:b/>
        </w:rPr>
        <w:t xml:space="preserve">• </w:t>
      </w:r>
      <w:r>
        <w:t>Corporate-action notices.</w:t>
      </w:r>
    </w:p>
    <w:p>
      <w:pPr>
        <w:pStyle w:val="ListBody"/>
        <w:ind w:left="490" w:hanging="331"/>
      </w:pPr>
      <w:r>
        <w:rPr>
          <w:b/>
        </w:rPr>
        <w:t xml:space="preserve">• </w:t>
      </w:r>
      <w:r>
        <w:t>Statutory shareholding patterns.</w:t>
      </w:r>
    </w:p>
    <w:p>
      <w:pPr>
        <w:pStyle w:val="ListBody"/>
        <w:ind w:left="490" w:hanging="331"/>
      </w:pPr>
      <w:r>
        <w:rPr>
          <w:b/>
        </w:rPr>
        <w:t xml:space="preserve">• </w:t>
      </w:r>
      <w:r>
        <w:t>Auditor reports.</w:t>
      </w:r>
    </w:p>
    <w:p>
      <w:pPr>
        <w:pStyle w:val="ListBody"/>
        <w:ind w:left="490" w:hanging="331"/>
      </w:pPr>
      <w:r>
        <w:rPr>
          <w:b/>
        </w:rPr>
        <w:t xml:space="preserve">• </w:t>
      </w:r>
      <w:r>
        <w:t>Secretarial-compliance reports.</w:t>
      </w:r>
    </w:p>
    <w:p>
      <w:pPr>
        <w:pStyle w:val="ListBody"/>
        <w:ind w:left="490" w:hanging="331"/>
      </w:pPr>
      <w:r>
        <w:rPr>
          <w:b/>
        </w:rPr>
        <w:t xml:space="preserve">• </w:t>
      </w:r>
      <w:r>
        <w:t>Credit-rating rationales.</w:t>
      </w:r>
    </w:p>
    <w:p>
      <w:pPr>
        <w:pStyle w:val="ListBody"/>
        <w:ind w:left="490" w:hanging="331"/>
      </w:pPr>
      <w:r>
        <w:rPr>
          <w:b/>
        </w:rPr>
        <w:t xml:space="preserve">• </w:t>
      </w:r>
      <w:r>
        <w:t>SEBI orders and circulars.</w:t>
      </w:r>
    </w:p>
    <w:p>
      <w:pPr>
        <w:pStyle w:val="ListBody"/>
        <w:ind w:left="490" w:hanging="331"/>
      </w:pPr>
      <w:r>
        <w:rPr>
          <w:b/>
        </w:rPr>
        <w:t xml:space="preserve">• </w:t>
      </w:r>
      <w:r>
        <w:t>Court, tribunal, insolvency, and liquidation records.</w:t>
      </w:r>
    </w:p>
    <w:p>
      <w:pPr>
        <w:pStyle w:val="ListBody"/>
        <w:ind w:left="490" w:hanging="331"/>
      </w:pPr>
      <w:r>
        <w:rPr>
          <w:b/>
        </w:rPr>
        <w:t xml:space="preserve">• </w:t>
      </w:r>
      <w:r>
        <w:t>Industry-regulator filings.</w:t>
      </w:r>
    </w:p>
    <w:p>
      <w:pPr>
        <w:pStyle w:val="ListBody"/>
        <w:ind w:left="490" w:hanging="331"/>
      </w:pPr>
      <w:r>
        <w:rPr>
          <w:b/>
        </w:rPr>
        <w:t xml:space="preserve">• </w:t>
      </w:r>
      <w:r>
        <w:t>Official company filings.</w:t>
      </w:r>
    </w:p>
    <w:p>
      <w:pPr/>
      <w:r>
        <w:t>Tier A is the preferred source for:</w:t>
      </w:r>
    </w:p>
    <w:p>
      <w:pPr>
        <w:pStyle w:val="ListBody"/>
        <w:ind w:left="490" w:hanging="331"/>
      </w:pPr>
      <w:r>
        <w:rPr>
          <w:b/>
        </w:rPr>
        <w:t xml:space="preserve">• </w:t>
      </w:r>
      <w:r>
        <w:t>Revenue.</w:t>
      </w:r>
    </w:p>
    <w:p>
      <w:pPr>
        <w:pStyle w:val="ListBody"/>
        <w:ind w:left="490" w:hanging="331"/>
      </w:pPr>
      <w:r>
        <w:rPr>
          <w:b/>
        </w:rPr>
        <w:t xml:space="preserve">• </w:t>
      </w:r>
      <w:r>
        <w:t>Profit.</w:t>
      </w:r>
    </w:p>
    <w:p>
      <w:pPr>
        <w:pStyle w:val="ListBody"/>
        <w:ind w:left="490" w:hanging="331"/>
      </w:pPr>
      <w:r>
        <w:rPr>
          <w:b/>
        </w:rPr>
        <w:t xml:space="preserve">• </w:t>
      </w:r>
      <w:r>
        <w:t>Assets.</w:t>
      </w:r>
    </w:p>
    <w:p>
      <w:pPr>
        <w:pStyle w:val="ListBody"/>
        <w:ind w:left="490" w:hanging="331"/>
      </w:pPr>
      <w:r>
        <w:rPr>
          <w:b/>
        </w:rPr>
        <w:t xml:space="preserve">• </w:t>
      </w:r>
      <w:r>
        <w:t>Liabilities.</w:t>
      </w:r>
    </w:p>
    <w:p>
      <w:pPr>
        <w:pStyle w:val="ListBody"/>
        <w:ind w:left="490" w:hanging="331"/>
      </w:pPr>
      <w:r>
        <w:rPr>
          <w:b/>
        </w:rPr>
        <w:t xml:space="preserve">• </w:t>
      </w:r>
      <w:r>
        <w:t>Debt.</w:t>
      </w:r>
    </w:p>
    <w:p>
      <w:pPr>
        <w:pStyle w:val="ListBody"/>
        <w:ind w:left="490" w:hanging="331"/>
      </w:pPr>
      <w:r>
        <w:rPr>
          <w:b/>
        </w:rPr>
        <w:t xml:space="preserve">• </w:t>
      </w:r>
      <w:r>
        <w:t>Share count.</w:t>
      </w:r>
    </w:p>
    <w:p>
      <w:pPr>
        <w:pStyle w:val="ListBody"/>
        <w:ind w:left="490" w:hanging="331"/>
      </w:pPr>
      <w:r>
        <w:rPr>
          <w:b/>
        </w:rPr>
        <w:t xml:space="preserve">• </w:t>
      </w:r>
      <w:r>
        <w:t>Audit opinion.</w:t>
      </w:r>
    </w:p>
    <w:p>
      <w:pPr>
        <w:pStyle w:val="ListBody"/>
        <w:ind w:left="490" w:hanging="331"/>
      </w:pPr>
      <w:r>
        <w:rPr>
          <w:b/>
        </w:rPr>
        <w:t xml:space="preserve">• </w:t>
      </w:r>
      <w:r>
        <w:t>Defaults.</w:t>
      </w:r>
    </w:p>
    <w:p>
      <w:pPr>
        <w:pStyle w:val="ListBody"/>
        <w:ind w:left="490" w:hanging="331"/>
      </w:pPr>
      <w:r>
        <w:rPr>
          <w:b/>
        </w:rPr>
        <w:t xml:space="preserve">• </w:t>
      </w:r>
      <w:r>
        <w:t>Promoter holdings.</w:t>
      </w:r>
    </w:p>
    <w:p>
      <w:pPr>
        <w:pStyle w:val="ListBody"/>
        <w:ind w:left="490" w:hanging="331"/>
      </w:pPr>
      <w:r>
        <w:rPr>
          <w:b/>
        </w:rPr>
        <w:t xml:space="preserve">• </w:t>
      </w:r>
      <w:r>
        <w:t>Promoter pledge.</w:t>
      </w:r>
    </w:p>
    <w:p>
      <w:pPr>
        <w:pStyle w:val="ListBody"/>
        <w:ind w:left="490" w:hanging="331"/>
      </w:pPr>
      <w:r>
        <w:rPr>
          <w:b/>
        </w:rPr>
        <w:t xml:space="preserve">• </w:t>
      </w:r>
      <w:r>
        <w:t>Corporate actions.</w:t>
      </w:r>
    </w:p>
    <w:p>
      <w:pPr>
        <w:pStyle w:val="ListBody"/>
        <w:ind w:left="490" w:hanging="331"/>
      </w:pPr>
      <w:r>
        <w:rPr>
          <w:b/>
        </w:rPr>
        <w:t xml:space="preserve">• </w:t>
      </w:r>
      <w:r>
        <w:t>Regulatory actions.</w:t>
      </w:r>
    </w:p>
    <w:p>
      <w:pPr>
        <w:pStyle w:val="ListBody"/>
        <w:ind w:left="490" w:hanging="331"/>
      </w:pPr>
      <w:r>
        <w:rPr>
          <w:b/>
        </w:rPr>
        <w:t xml:space="preserve">• </w:t>
      </w:r>
      <w:r>
        <w:t>Material events.</w:t>
      </w:r>
    </w:p>
    <w:p>
      <w:pPr>
        <w:pStyle w:val="Heading2"/>
        <w:keepNext/>
      </w:pPr>
      <w:r>
        <w:t>6.2 Tier B — Broker and operational market sources</w:t>
      </w:r>
    </w:p>
    <w:p>
      <w:pPr/>
      <w:r>
        <w:t>Use permitted broker APIs and authorized market-data services for:</w:t>
      </w:r>
    </w:p>
    <w:p>
      <w:pPr>
        <w:pStyle w:val="ListBody"/>
        <w:ind w:left="490" w:hanging="331"/>
      </w:pPr>
      <w:r>
        <w:rPr>
          <w:b/>
        </w:rPr>
        <w:t xml:space="preserve">• </w:t>
      </w:r>
      <w:r>
        <w:t>Current instruments.</w:t>
      </w:r>
    </w:p>
    <w:p>
      <w:pPr>
        <w:pStyle w:val="ListBody"/>
        <w:ind w:left="490" w:hanging="331"/>
      </w:pPr>
      <w:r>
        <w:rPr>
          <w:b/>
        </w:rPr>
        <w:t xml:space="preserve">• </w:t>
      </w:r>
      <w:r>
        <w:t>Exchange mappings.</w:t>
      </w:r>
    </w:p>
    <w:p>
      <w:pPr>
        <w:pStyle w:val="ListBody"/>
        <w:ind w:left="490" w:hanging="331"/>
      </w:pPr>
      <w:r>
        <w:rPr>
          <w:b/>
        </w:rPr>
        <w:t xml:space="preserve">• </w:t>
      </w:r>
      <w:r>
        <w:t>Historical OHLCV.</w:t>
      </w:r>
    </w:p>
    <w:p>
      <w:pPr>
        <w:pStyle w:val="ListBody"/>
        <w:ind w:left="490" w:hanging="331"/>
      </w:pPr>
      <w:r>
        <w:rPr>
          <w:b/>
        </w:rPr>
        <w:t xml:space="preserve">• </w:t>
      </w:r>
      <w:r>
        <w:t>Live quotes.</w:t>
      </w:r>
    </w:p>
    <w:p>
      <w:pPr>
        <w:pStyle w:val="ListBody"/>
        <w:ind w:left="490" w:hanging="331"/>
      </w:pPr>
      <w:r>
        <w:rPr>
          <w:b/>
        </w:rPr>
        <w:t xml:space="preserve">• </w:t>
      </w:r>
      <w:r>
        <w:t>Market depth.</w:t>
      </w:r>
    </w:p>
    <w:p>
      <w:pPr>
        <w:pStyle w:val="ListBody"/>
        <w:ind w:left="490" w:hanging="331"/>
      </w:pPr>
      <w:r>
        <w:rPr>
          <w:b/>
        </w:rPr>
        <w:t xml:space="preserve">• </w:t>
      </w:r>
      <w:r>
        <w:t>Open interest.</w:t>
      </w:r>
    </w:p>
    <w:p>
      <w:pPr>
        <w:pStyle w:val="ListBody"/>
        <w:ind w:left="490" w:hanging="331"/>
      </w:pPr>
      <w:r>
        <w:rPr>
          <w:b/>
        </w:rPr>
        <w:t xml:space="preserve">• </w:t>
      </w:r>
      <w:r>
        <w:t>Portfolio positions.</w:t>
      </w:r>
    </w:p>
    <w:p>
      <w:pPr>
        <w:pStyle w:val="ListBody"/>
        <w:ind w:left="490" w:hanging="331"/>
      </w:pPr>
      <w:r>
        <w:rPr>
          <w:b/>
        </w:rPr>
        <w:t xml:space="preserve">• </w:t>
      </w:r>
      <w:r>
        <w:t>Orders.</w:t>
      </w:r>
    </w:p>
    <w:p>
      <w:pPr>
        <w:pStyle w:val="ListBody"/>
        <w:ind w:left="490" w:hanging="331"/>
      </w:pPr>
      <w:r>
        <w:rPr>
          <w:b/>
        </w:rPr>
        <w:t xml:space="preserve">• </w:t>
      </w:r>
      <w:r>
        <w:t>Trades.</w:t>
      </w:r>
    </w:p>
    <w:p>
      <w:pPr>
        <w:pStyle w:val="ListBody"/>
        <w:ind w:left="490" w:hanging="331"/>
      </w:pPr>
      <w:r>
        <w:rPr>
          <w:b/>
        </w:rPr>
        <w:t xml:space="preserve">• </w:t>
      </w:r>
      <w:r>
        <w:t>Broker reconciliation.</w:t>
      </w:r>
    </w:p>
    <w:p>
      <w:pPr>
        <w:pStyle w:val="ListBody"/>
        <w:ind w:left="490" w:hanging="331"/>
      </w:pPr>
      <w:r>
        <w:rPr>
          <w:b/>
        </w:rPr>
        <w:t xml:space="preserve">• </w:t>
      </w:r>
      <w:r>
        <w:t>Execution.</w:t>
      </w:r>
    </w:p>
    <w:p>
      <w:pPr/>
      <w:r>
        <w:t>Potential broker integrations include:</w:t>
      </w:r>
    </w:p>
    <w:p>
      <w:pPr>
        <w:pStyle w:val="ListBody"/>
        <w:ind w:left="490" w:hanging="331"/>
      </w:pPr>
      <w:r>
        <w:rPr>
          <w:b/>
        </w:rPr>
        <w:t xml:space="preserve">• </w:t>
      </w:r>
      <w:r>
        <w:t>Upstox.</w:t>
      </w:r>
    </w:p>
    <w:p>
      <w:pPr>
        <w:pStyle w:val="ListBody"/>
        <w:ind w:left="490" w:hanging="331"/>
      </w:pPr>
      <w:r>
        <w:rPr>
          <w:b/>
        </w:rPr>
        <w:t xml:space="preserve">• </w:t>
      </w:r>
      <w:r>
        <w:t>Angel One SmartAPI.</w:t>
      </w:r>
    </w:p>
    <w:p>
      <w:pPr>
        <w:pStyle w:val="ListBody"/>
        <w:ind w:left="490" w:hanging="331"/>
      </w:pPr>
      <w:r>
        <w:rPr>
          <w:b/>
        </w:rPr>
        <w:t xml:space="preserve">• </w:t>
      </w:r>
      <w:r>
        <w:t>Other authorized brokers.</w:t>
      </w:r>
    </w:p>
    <w:p>
      <w:pPr/>
      <w:r>
        <w:t>Broker data must not replace audited financial statements or regulatory filings.</w:t>
      </w:r>
    </w:p>
    <w:p>
      <w:pPr>
        <w:pStyle w:val="Heading2"/>
        <w:keepNext/>
      </w:pPr>
      <w:r>
        <w:t>6.3 Tier C — Licensed financial-data vendors</w:t>
      </w:r>
    </w:p>
    <w:p>
      <w:pPr/>
      <w:r>
        <w:t>Use where available for:</w:t>
      </w:r>
    </w:p>
    <w:p>
      <w:pPr>
        <w:pStyle w:val="ListBody"/>
        <w:ind w:left="490" w:hanging="331"/>
      </w:pPr>
      <w:r>
        <w:rPr>
          <w:b/>
        </w:rPr>
        <w:t xml:space="preserve">• </w:t>
      </w:r>
      <w:r>
        <w:t>Standardized financial histories.</w:t>
      </w:r>
    </w:p>
    <w:p>
      <w:pPr>
        <w:pStyle w:val="ListBody"/>
        <w:ind w:left="490" w:hanging="331"/>
      </w:pPr>
      <w:r>
        <w:rPr>
          <w:b/>
        </w:rPr>
        <w:t xml:space="preserve">• </w:t>
      </w:r>
      <w:r>
        <w:t>Historical index membership.</w:t>
      </w:r>
    </w:p>
    <w:p>
      <w:pPr>
        <w:pStyle w:val="ListBody"/>
        <w:ind w:left="490" w:hanging="331"/>
      </w:pPr>
      <w:r>
        <w:rPr>
          <w:b/>
        </w:rPr>
        <w:t xml:space="preserve">• </w:t>
      </w:r>
      <w:r>
        <w:t>Delisted securities.</w:t>
      </w:r>
    </w:p>
    <w:p>
      <w:pPr>
        <w:pStyle w:val="ListBody"/>
        <w:ind w:left="490" w:hanging="331"/>
      </w:pPr>
      <w:r>
        <w:rPr>
          <w:b/>
        </w:rPr>
        <w:t xml:space="preserve">• </w:t>
      </w:r>
      <w:r>
        <w:t>Corporate-action history.</w:t>
      </w:r>
    </w:p>
    <w:p>
      <w:pPr>
        <w:pStyle w:val="ListBody"/>
        <w:ind w:left="490" w:hanging="331"/>
      </w:pPr>
      <w:r>
        <w:rPr>
          <w:b/>
        </w:rPr>
        <w:t xml:space="preserve">• </w:t>
      </w:r>
      <w:r>
        <w:t>Consensus forecasts.</w:t>
      </w:r>
    </w:p>
    <w:p>
      <w:pPr>
        <w:pStyle w:val="ListBody"/>
        <w:ind w:left="490" w:hanging="331"/>
      </w:pPr>
      <w:r>
        <w:rPr>
          <w:b/>
        </w:rPr>
        <w:t xml:space="preserve">• </w:t>
      </w:r>
      <w:r>
        <w:t>Ownership histories.</w:t>
      </w:r>
    </w:p>
    <w:p>
      <w:pPr>
        <w:pStyle w:val="ListBody"/>
        <w:ind w:left="490" w:hanging="331"/>
      </w:pPr>
      <w:r>
        <w:rPr>
          <w:b/>
        </w:rPr>
        <w:t xml:space="preserve">• </w:t>
      </w:r>
      <w:r>
        <w:t>Sector classifications.</w:t>
      </w:r>
    </w:p>
    <w:p>
      <w:pPr>
        <w:pStyle w:val="ListBody"/>
        <w:ind w:left="490" w:hanging="331"/>
      </w:pPr>
      <w:r>
        <w:rPr>
          <w:b/>
        </w:rPr>
        <w:t xml:space="preserve">• </w:t>
      </w:r>
      <w:r>
        <w:t>Transcript databases.</w:t>
      </w:r>
    </w:p>
    <w:p>
      <w:pPr>
        <w:pStyle w:val="ListBody"/>
        <w:ind w:left="490" w:hanging="331"/>
      </w:pPr>
      <w:r>
        <w:rPr>
          <w:b/>
        </w:rPr>
        <w:t xml:space="preserve">• </w:t>
      </w:r>
      <w:r>
        <w:t>Historical fundamentals.</w:t>
      </w:r>
    </w:p>
    <w:p>
      <w:pPr/>
      <w:r>
        <w:t>Vendor data must be reconciled with primary evidence for material decisions.</w:t>
      </w:r>
    </w:p>
    <w:p>
      <w:pPr>
        <w:pStyle w:val="Heading2"/>
        <w:keepNext/>
      </w:pPr>
      <w:r>
        <w:t>6.4 Tier D — Research-support sources</w:t>
      </w:r>
    </w:p>
    <w:p>
      <w:pPr/>
      <w:r>
        <w:t>Use for research productivity and cross-checking:</w:t>
      </w:r>
    </w:p>
    <w:p>
      <w:pPr>
        <w:pStyle w:val="ListBody"/>
        <w:ind w:left="490" w:hanging="331"/>
      </w:pPr>
      <w:r>
        <w:rPr>
          <w:b/>
        </w:rPr>
        <w:t xml:space="preserve">• </w:t>
      </w:r>
      <w:r>
        <w:t>User-authorized Screener.in CSV or Excel exports.</w:t>
      </w:r>
    </w:p>
    <w:p>
      <w:pPr>
        <w:pStyle w:val="ListBody"/>
        <w:ind w:left="490" w:hanging="331"/>
      </w:pPr>
      <w:r>
        <w:rPr>
          <w:b/>
        </w:rPr>
        <w:t xml:space="preserve">• </w:t>
      </w:r>
      <w:r>
        <w:t>Investor presentations.</w:t>
      </w:r>
    </w:p>
    <w:p>
      <w:pPr>
        <w:pStyle w:val="ListBody"/>
        <w:ind w:left="490" w:hanging="331"/>
      </w:pPr>
      <w:r>
        <w:rPr>
          <w:b/>
        </w:rPr>
        <w:t xml:space="preserve">• </w:t>
      </w:r>
      <w:r>
        <w:t>Earnings-call transcripts.</w:t>
      </w:r>
    </w:p>
    <w:p>
      <w:pPr>
        <w:pStyle w:val="ListBody"/>
        <w:ind w:left="490" w:hanging="331"/>
      </w:pPr>
      <w:r>
        <w:rPr>
          <w:b/>
        </w:rPr>
        <w:t xml:space="preserve">• </w:t>
      </w:r>
      <w:r>
        <w:t>Industry reports.</w:t>
      </w:r>
    </w:p>
    <w:p>
      <w:pPr>
        <w:pStyle w:val="ListBody"/>
        <w:ind w:left="490" w:hanging="331"/>
      </w:pPr>
      <w:r>
        <w:rPr>
          <w:b/>
        </w:rPr>
        <w:t xml:space="preserve">• </w:t>
      </w:r>
      <w:r>
        <w:t>Professional research reports.</w:t>
      </w:r>
    </w:p>
    <w:p>
      <w:pPr>
        <w:pStyle w:val="ListBody"/>
        <w:ind w:left="490" w:hanging="331"/>
      </w:pPr>
      <w:r>
        <w:rPr>
          <w:b/>
        </w:rPr>
        <w:t xml:space="preserve">• </w:t>
      </w:r>
      <w:r>
        <w:t>Company presentations.</w:t>
      </w:r>
    </w:p>
    <w:p>
      <w:pPr>
        <w:pStyle w:val="ListBody"/>
        <w:ind w:left="490" w:hanging="331"/>
      </w:pPr>
      <w:r>
        <w:rPr>
          <w:b/>
        </w:rPr>
        <w:t xml:space="preserve">• </w:t>
      </w:r>
      <w:r>
        <w:t>Management interviews.</w:t>
      </w:r>
    </w:p>
    <w:p>
      <w:pPr/>
      <w:r>
        <w:t>These sources cannot independently establish a hard-gate event unless corroborated.</w:t>
      </w:r>
    </w:p>
    <w:p>
      <w:pPr>
        <w:pStyle w:val="Heading2"/>
        <w:keepNext/>
      </w:pPr>
      <w:r>
        <w:t>6.5 Tier E — Diagnostic fallback</w:t>
      </w:r>
    </w:p>
    <w:p>
      <w:pPr/>
      <w:r>
        <w:t>Yahoo Finance or similar public aggregators may be used only for:</w:t>
      </w:r>
    </w:p>
    <w:p>
      <w:pPr>
        <w:pStyle w:val="ListBody"/>
        <w:ind w:left="490" w:hanging="331"/>
      </w:pPr>
      <w:r>
        <w:rPr>
          <w:b/>
        </w:rPr>
        <w:t xml:space="preserve">• </w:t>
      </w:r>
      <w:r>
        <w:t>Prototype development.</w:t>
      </w:r>
    </w:p>
    <w:p>
      <w:pPr>
        <w:pStyle w:val="ListBody"/>
        <w:ind w:left="490" w:hanging="331"/>
      </w:pPr>
      <w:r>
        <w:rPr>
          <w:b/>
        </w:rPr>
        <w:t xml:space="preserve">• </w:t>
      </w:r>
      <w:r>
        <w:t>Diagnostic price comparisons.</w:t>
      </w:r>
    </w:p>
    <w:p>
      <w:pPr>
        <w:pStyle w:val="ListBody"/>
        <w:ind w:left="490" w:hanging="331"/>
      </w:pPr>
      <w:r>
        <w:rPr>
          <w:b/>
        </w:rPr>
        <w:t xml:space="preserve">• </w:t>
      </w:r>
      <w:r>
        <w:t>International-market context.</w:t>
      </w:r>
    </w:p>
    <w:p>
      <w:pPr>
        <w:pStyle w:val="ListBody"/>
        <w:ind w:left="490" w:hanging="331"/>
      </w:pPr>
      <w:r>
        <w:rPr>
          <w:b/>
        </w:rPr>
        <w:t xml:space="preserve">• </w:t>
      </w:r>
      <w:r>
        <w:t>Temporary non-critical fallback.</w:t>
      </w:r>
    </w:p>
    <w:p>
      <w:pPr>
        <w:pStyle w:val="ListBody"/>
        <w:ind w:left="490" w:hanging="331"/>
      </w:pPr>
      <w:r>
        <w:rPr>
          <w:b/>
        </w:rPr>
        <w:t xml:space="preserve">• </w:t>
      </w:r>
      <w:r>
        <w:t>Data-disagreement detection.</w:t>
      </w:r>
    </w:p>
    <w:p>
      <w:pPr/>
      <w:r>
        <w:t>They must not be:</w:t>
      </w:r>
    </w:p>
    <w:p>
      <w:pPr>
        <w:pStyle w:val="ListBody"/>
        <w:ind w:left="490" w:hanging="331"/>
      </w:pPr>
      <w:r>
        <w:rPr>
          <w:b/>
        </w:rPr>
        <w:t xml:space="preserve">• </w:t>
      </w:r>
      <w:r>
        <w:t>The authoritative financial-statement source.</w:t>
      </w:r>
    </w:p>
    <w:p>
      <w:pPr>
        <w:pStyle w:val="ListBody"/>
        <w:ind w:left="490" w:hanging="331"/>
      </w:pPr>
      <w:r>
        <w:rPr>
          <w:b/>
        </w:rPr>
        <w:t xml:space="preserve">• </w:t>
      </w:r>
      <w:r>
        <w:t>The sole corporate-action source.</w:t>
      </w:r>
    </w:p>
    <w:p>
      <w:pPr>
        <w:pStyle w:val="ListBody"/>
        <w:ind w:left="490" w:hanging="331"/>
      </w:pPr>
      <w:r>
        <w:rPr>
          <w:b/>
        </w:rPr>
        <w:t xml:space="preserve">• </w:t>
      </w:r>
      <w:r>
        <w:t>The only backtesting source.</w:t>
      </w:r>
    </w:p>
    <w:p>
      <w:pPr>
        <w:pStyle w:val="ListBody"/>
        <w:ind w:left="490" w:hanging="331"/>
      </w:pPr>
      <w:r>
        <w:rPr>
          <w:b/>
        </w:rPr>
        <w:t xml:space="preserve">• </w:t>
      </w:r>
      <w:r>
        <w:t>The source for governance hard gates.</w:t>
      </w:r>
    </w:p>
    <w:p>
      <w:pPr>
        <w:pStyle w:val="ListBody"/>
        <w:ind w:left="490" w:hanging="331"/>
      </w:pPr>
      <w:r>
        <w:rPr>
          <w:b/>
        </w:rPr>
        <w:t xml:space="preserve">• </w:t>
      </w:r>
      <w:r>
        <w:t>The source for commercial redistribution without appropriate rights.</w:t>
      </w:r>
    </w:p>
    <w:p>
      <w:pPr>
        <w:spacing w:after="0"/>
      </w:pPr>
      <w:r/>
    </w:p>
    <w:p>
      <w:pPr>
        <w:pStyle w:val="Heading1"/>
        <w:pBdr>
          <w:bottom w:val="single" w:sz="4" w:space="5" w:color="7A9AAA"/>
        </w:pBdr>
        <w:keepNext/>
      </w:pPr>
      <w:r>
        <w:t>7. Data licensing and permitted-use control</w:t>
      </w:r>
    </w:p>
    <w:p>
      <w:pPr/>
      <w:r>
        <w:t>The system must maintain a formal license registry.</w:t>
      </w:r>
    </w:p>
    <w:p>
      <w:pPr/>
      <w:r>
        <w:t>data_licenses</w:t>
        <w:br/>
        <w:t>-------------</w:t>
        <w:br/>
        <w:t>license_id</w:t>
        <w:br/>
        <w:t>provider</w:t>
        <w:br/>
        <w:t>product_name</w:t>
        <w:br/>
        <w:t>data_category</w:t>
        <w:br/>
        <w:t>permitted_use</w:t>
        <w:br/>
        <w:t>personal_use_allowed</w:t>
        <w:br/>
        <w:t>commercial_use_allowed</w:t>
        <w:br/>
        <w:t>non_display_use_allowed</w:t>
        <w:br/>
        <w:t>derived_data_allowed</w:t>
        <w:br/>
        <w:t>redistribution_allowed</w:t>
        <w:br/>
        <w:t>storage_allowed</w:t>
        <w:br/>
        <w:t>retention_period</w:t>
        <w:br/>
        <w:t>user_limit</w:t>
        <w:br/>
        <w:t>effective_date</w:t>
        <w:br/>
        <w:t>expiry_date</w:t>
        <w:br/>
        <w:t>agreement_reference</w:t>
        <w:br/>
        <w:t>review_status</w:t>
      </w:r>
    </w:p>
    <w:p>
      <w:pPr/>
      <w:r>
        <w:t>Each connector must check the license registry before running.</w:t>
      </w:r>
    </w:p>
    <w:p>
      <w:pPr/>
      <w:r>
        <w:t>A connector must stop automatically when:</w:t>
      </w:r>
    </w:p>
    <w:p>
      <w:pPr>
        <w:pStyle w:val="ListBody"/>
        <w:ind w:left="490" w:hanging="331"/>
      </w:pPr>
      <w:r>
        <w:rPr>
          <w:b/>
        </w:rPr>
        <w:t xml:space="preserve">• </w:t>
      </w:r>
      <w:r>
        <w:t>The license has expired.</w:t>
      </w:r>
    </w:p>
    <w:p>
      <w:pPr>
        <w:pStyle w:val="ListBody"/>
        <w:ind w:left="490" w:hanging="331"/>
      </w:pPr>
      <w:r>
        <w:rPr>
          <w:b/>
        </w:rPr>
        <w:t xml:space="preserve">• </w:t>
      </w:r>
      <w:r>
        <w:t>The requested use is not permitted.</w:t>
      </w:r>
    </w:p>
    <w:p>
      <w:pPr>
        <w:pStyle w:val="ListBody"/>
        <w:ind w:left="490" w:hanging="331"/>
      </w:pPr>
      <w:r>
        <w:rPr>
          <w:b/>
        </w:rPr>
        <w:t xml:space="preserve">• </w:t>
      </w:r>
      <w:r>
        <w:t>Retention limits are exceeded.</w:t>
      </w:r>
    </w:p>
    <w:p>
      <w:pPr>
        <w:pStyle w:val="ListBody"/>
        <w:ind w:left="490" w:hanging="331"/>
      </w:pPr>
      <w:r>
        <w:rPr>
          <w:b/>
        </w:rPr>
        <w:t xml:space="preserve">• </w:t>
      </w:r>
      <w:r>
        <w:t>Redistribution is not permitted.</w:t>
      </w:r>
    </w:p>
    <w:p>
      <w:pPr>
        <w:pStyle w:val="ListBody"/>
        <w:ind w:left="490" w:hanging="331"/>
      </w:pPr>
      <w:r>
        <w:rPr>
          <w:b/>
        </w:rPr>
        <w:t xml:space="preserve">• </w:t>
      </w:r>
      <w:r>
        <w:t>The agreement is under review.</w:t>
      </w:r>
    </w:p>
    <w:p>
      <w:pPr>
        <w:pStyle w:val="ListBody"/>
        <w:ind w:left="490" w:hanging="331"/>
      </w:pPr>
      <w:r>
        <w:rPr>
          <w:b/>
        </w:rPr>
        <w:t xml:space="preserve">• </w:t>
      </w:r>
      <w:r>
        <w:t>The provider changes access terms materially.</w:t>
      </w:r>
    </w:p>
    <w:p>
      <w:pPr/>
      <w:r>
        <w:t>The platform must not rely on unauthorized systematic scraping.</w:t>
      </w:r>
    </w:p>
    <w:p>
      <w:pPr>
        <w:spacing w:after="0"/>
      </w:pPr>
      <w:r/>
    </w:p>
    <w:p>
      <w:pPr>
        <w:pStyle w:val="Heading1"/>
        <w:pBdr>
          <w:bottom w:val="single" w:sz="4" w:space="5" w:color="7A9AAA"/>
        </w:pBdr>
        <w:keepNext/>
      </w:pPr>
      <w:r>
        <w:t>8. Source-adapter contract</w:t>
      </w:r>
    </w:p>
    <w:p>
      <w:pPr/>
      <w:r>
        <w:t>Every data connector must implement a standard contract.</w:t>
      </w:r>
    </w:p>
    <w:p>
      <w:pPr/>
      <w:r>
        <w:t>provider_id</w:t>
        <w:br/>
        <w:t>adapter_version</w:t>
        <w:br/>
        <w:t>authentication_method</w:t>
        <w:br/>
        <w:t>license_id</w:t>
        <w:br/>
        <w:t>supported_data_types</w:t>
        <w:br/>
        <w:t>supported_exchanges</w:t>
        <w:br/>
        <w:t>rate_limits</w:t>
        <w:br/>
        <w:t>request_batch_size</w:t>
        <w:br/>
        <w:t>request_timeout</w:t>
        <w:br/>
        <w:t>retry_policy</w:t>
        <w:br/>
        <w:t>backoff_policy</w:t>
        <w:br/>
        <w:t>schema_version</w:t>
        <w:br/>
        <w:t>timezone</w:t>
        <w:br/>
        <w:t>timestamp_semantics</w:t>
        <w:br/>
        <w:t>adjusted_price_semantics</w:t>
        <w:br/>
        <w:t>corporate_action_semantics</w:t>
        <w:br/>
        <w:t>retention_permission</w:t>
        <w:br/>
        <w:t>commercial_use_permission</w:t>
      </w:r>
    </w:p>
    <w:p>
      <w:pPr/>
      <w:r>
        <w:t>Every response must store:</w:t>
      </w:r>
    </w:p>
    <w:p>
      <w:pPr/>
      <w:r>
        <w:t>request_id</w:t>
        <w:br/>
        <w:t>provider</w:t>
        <w:br/>
        <w:t>endpoint</w:t>
        <w:br/>
        <w:t>request_timestamp</w:t>
        <w:br/>
        <w:t>response_timestamp</w:t>
        <w:br/>
        <w:t>status_code</w:t>
        <w:br/>
        <w:t>records_received</w:t>
        <w:br/>
        <w:t>checksum</w:t>
        <w:br/>
        <w:t>schema_version</w:t>
        <w:br/>
        <w:t>latency_ms</w:t>
        <w:br/>
        <w:t>retry_count</w:t>
        <w:br/>
        <w:t>error_code</w:t>
        <w:br/>
        <w:t>raw_payload_location</w:t>
      </w:r>
    </w:p>
    <w:p>
      <w:pPr/>
      <w:r>
        <w:t>Required connector controls:</w:t>
      </w:r>
    </w:p>
    <w:p>
      <w:pPr>
        <w:pStyle w:val="ListBody"/>
        <w:ind w:left="490" w:hanging="331"/>
      </w:pPr>
      <w:r>
        <w:rPr>
          <w:b/>
        </w:rPr>
        <w:t xml:space="preserve">• </w:t>
      </w:r>
      <w:r>
        <w:t>Authentication refresh.</w:t>
      </w:r>
    </w:p>
    <w:p>
      <w:pPr>
        <w:pStyle w:val="ListBody"/>
        <w:ind w:left="490" w:hanging="331"/>
      </w:pPr>
      <w:r>
        <w:rPr>
          <w:b/>
        </w:rPr>
        <w:t xml:space="preserve">• </w:t>
      </w:r>
      <w:r>
        <w:t>Token-expiry handling.</w:t>
      </w:r>
    </w:p>
    <w:p>
      <w:pPr>
        <w:pStyle w:val="ListBody"/>
        <w:ind w:left="490" w:hanging="331"/>
      </w:pPr>
      <w:r>
        <w:rPr>
          <w:b/>
        </w:rPr>
        <w:t xml:space="preserve">• </w:t>
      </w:r>
      <w:r>
        <w:t>Rate limiting.</w:t>
      </w:r>
    </w:p>
    <w:p>
      <w:pPr>
        <w:pStyle w:val="ListBody"/>
        <w:ind w:left="490" w:hanging="331"/>
      </w:pPr>
      <w:r>
        <w:rPr>
          <w:b/>
        </w:rPr>
        <w:t xml:space="preserve">• </w:t>
      </w:r>
      <w:r>
        <w:t>Batch requests.</w:t>
      </w:r>
    </w:p>
    <w:p>
      <w:pPr>
        <w:pStyle w:val="ListBody"/>
        <w:ind w:left="490" w:hanging="331"/>
      </w:pPr>
      <w:r>
        <w:rPr>
          <w:b/>
        </w:rPr>
        <w:t xml:space="preserve">• </w:t>
      </w:r>
      <w:r>
        <w:t>Timeout.</w:t>
      </w:r>
    </w:p>
    <w:p>
      <w:pPr>
        <w:pStyle w:val="ListBody"/>
        <w:ind w:left="490" w:hanging="331"/>
      </w:pPr>
      <w:r>
        <w:rPr>
          <w:b/>
        </w:rPr>
        <w:t xml:space="preserve">• </w:t>
      </w:r>
      <w:r>
        <w:t>Retry with exponential backoff.</w:t>
      </w:r>
    </w:p>
    <w:p>
      <w:pPr>
        <w:pStyle w:val="ListBody"/>
        <w:ind w:left="490" w:hanging="331"/>
      </w:pPr>
      <w:r>
        <w:rPr>
          <w:b/>
        </w:rPr>
        <w:t xml:space="preserve">• </w:t>
      </w:r>
      <w:r>
        <w:t>Circuit breaker.</w:t>
      </w:r>
    </w:p>
    <w:p>
      <w:pPr>
        <w:pStyle w:val="ListBody"/>
        <w:ind w:left="490" w:hanging="331"/>
      </w:pPr>
      <w:r>
        <w:rPr>
          <w:b/>
        </w:rPr>
        <w:t xml:space="preserve">• </w:t>
      </w:r>
      <w:r>
        <w:t>Schema validation.</w:t>
      </w:r>
    </w:p>
    <w:p>
      <w:pPr>
        <w:pStyle w:val="ListBody"/>
        <w:ind w:left="490" w:hanging="331"/>
      </w:pPr>
      <w:r>
        <w:rPr>
          <w:b/>
        </w:rPr>
        <w:t xml:space="preserve">• </w:t>
      </w:r>
      <w:r>
        <w:t>Duplicate detection.</w:t>
      </w:r>
    </w:p>
    <w:p>
      <w:pPr>
        <w:pStyle w:val="ListBody"/>
        <w:ind w:left="490" w:hanging="331"/>
      </w:pPr>
      <w:r>
        <w:rPr>
          <w:b/>
        </w:rPr>
        <w:t xml:space="preserve">• </w:t>
      </w:r>
      <w:r>
        <w:t>Gap detection.</w:t>
      </w:r>
    </w:p>
    <w:p>
      <w:pPr>
        <w:pStyle w:val="ListBody"/>
        <w:ind w:left="490" w:hanging="331"/>
      </w:pPr>
      <w:r>
        <w:rPr>
          <w:b/>
        </w:rPr>
        <w:t xml:space="preserve">• </w:t>
      </w:r>
      <w:r>
        <w:t>Timestamp normalization.</w:t>
      </w:r>
    </w:p>
    <w:p>
      <w:pPr>
        <w:pStyle w:val="ListBody"/>
        <w:ind w:left="490" w:hanging="331"/>
      </w:pPr>
      <w:r>
        <w:rPr>
          <w:b/>
        </w:rPr>
        <w:t xml:space="preserve">• </w:t>
      </w:r>
      <w:r>
        <w:t>Exchange-calendar validation.</w:t>
      </w:r>
    </w:p>
    <w:p>
      <w:pPr>
        <w:pStyle w:val="ListBody"/>
        <w:ind w:left="490" w:hanging="331"/>
      </w:pPr>
      <w:r>
        <w:rPr>
          <w:b/>
        </w:rPr>
        <w:t xml:space="preserve">• </w:t>
      </w:r>
      <w:r>
        <w:t>Checksum verification.</w:t>
      </w:r>
    </w:p>
    <w:p>
      <w:pPr>
        <w:pStyle w:val="ListBody"/>
        <w:ind w:left="490" w:hanging="331"/>
      </w:pPr>
      <w:r>
        <w:rPr>
          <w:b/>
        </w:rPr>
        <w:t xml:space="preserve">• </w:t>
      </w:r>
      <w:r>
        <w:t>Dead-letter queue.</w:t>
      </w:r>
    </w:p>
    <w:p>
      <w:pPr>
        <w:pStyle w:val="ListBody"/>
        <w:ind w:left="490" w:hanging="331"/>
      </w:pPr>
      <w:r>
        <w:rPr>
          <w:b/>
        </w:rPr>
        <w:t xml:space="preserve">• </w:t>
      </w:r>
      <w:r>
        <w:t>Health metrics.</w:t>
      </w:r>
    </w:p>
    <w:p>
      <w:pPr>
        <w:pStyle w:val="ListBody"/>
        <w:ind w:left="490" w:hanging="331"/>
      </w:pPr>
      <w:r>
        <w:rPr>
          <w:b/>
        </w:rPr>
        <w:t xml:space="preserve">• </w:t>
      </w:r>
      <w:r>
        <w:t>Automatic failover where permitted.</w:t>
      </w:r>
    </w:p>
    <w:p>
      <w:pPr>
        <w:spacing w:after="0"/>
      </w:pPr>
      <w:r/>
    </w:p>
    <w:p>
      <w:pPr>
        <w:pStyle w:val="Heading1"/>
        <w:pBdr>
          <w:bottom w:val="single" w:sz="4" w:space="5" w:color="7A9AAA"/>
        </w:pBdr>
        <w:keepNext/>
      </w:pPr>
      <w:r>
        <w:t>9. Canonical entity model</w:t>
      </w:r>
    </w:p>
    <w:p>
      <w:pPr/>
      <w:r>
        <w:t>The system must maintain four distinct concepts.</w:t>
      </w:r>
    </w:p>
    <w:p>
      <w:pPr>
        <w:pStyle w:val="Heading2"/>
        <w:keepNext/>
      </w:pPr>
      <w:r>
        <w:t>9.1 Company</w:t>
      </w:r>
    </w:p>
    <w:p>
      <w:pPr/>
      <w:r>
        <w:t>The legal operating or holding entity.</w:t>
      </w:r>
    </w:p>
    <w:p>
      <w:pPr>
        <w:pStyle w:val="Heading2"/>
        <w:keepNext/>
      </w:pPr>
      <w:r>
        <w:t>9.2 Security</w:t>
      </w:r>
    </w:p>
    <w:p>
      <w:pPr/>
      <w:r>
        <w:t>A specific issued equity security.</w:t>
      </w:r>
    </w:p>
    <w:p>
      <w:pPr>
        <w:pStyle w:val="Heading2"/>
        <w:keepNext/>
      </w:pPr>
      <w:r>
        <w:t>9.3 Listing</w:t>
      </w:r>
    </w:p>
    <w:p>
      <w:pPr/>
      <w:r>
        <w:t>The security’s listing on an exchange.</w:t>
      </w:r>
    </w:p>
    <w:p>
      <w:pPr>
        <w:pStyle w:val="Heading2"/>
        <w:keepNext/>
      </w:pPr>
      <w:r>
        <w:t>9.4 Broker instrument</w:t>
      </w:r>
    </w:p>
    <w:p>
      <w:pPr/>
      <w:r>
        <w:t>The broker-specific representation used for quotes and orders.</w:t>
      </w:r>
    </w:p>
    <w:p>
      <w:pPr>
        <w:pStyle w:val="Heading2"/>
        <w:keepNext/>
      </w:pPr>
      <w:r>
        <w:t>9.5 Canonical identifiers</w:t>
      </w:r>
    </w:p>
    <w:p>
      <w:pPr/>
      <w:r>
        <w:t>company_id</w:t>
        <w:br/>
        <w:t>security_id</w:t>
        <w:br/>
        <w:t>listing_id</w:t>
        <w:br/>
        <w:t>ISIN</w:t>
        <w:br/>
        <w:t>NSE symbol</w:t>
        <w:br/>
        <w:t>BSE scrip code</w:t>
        <w:br/>
        <w:t>Upstox instrument key</w:t>
        <w:br/>
        <w:t>Angel One symbol token</w:t>
        <w:br/>
        <w:t>former symbols</w:t>
        <w:br/>
        <w:t>company legal name</w:t>
        <w:br/>
        <w:t>CIN where permitted</w:t>
        <w:br/>
        <w:t>LEI where available</w:t>
      </w:r>
    </w:p>
    <w:p>
      <w:pPr/>
      <w:r>
        <w:t>Ticker symbols must not be the permanent primary key.</w:t>
      </w:r>
    </w:p>
    <w:p>
      <w:pPr>
        <w:spacing w:after="0"/>
      </w:pPr>
      <w:r/>
    </w:p>
    <w:p>
      <w:pPr>
        <w:pStyle w:val="Heading1"/>
        <w:pBdr>
          <w:bottom w:val="single" w:sz="4" w:space="5" w:color="7A9AAA"/>
        </w:pBdr>
        <w:keepNext/>
      </w:pPr>
      <w:r>
        <w:t>10. Entity-resolution engine</w:t>
      </w:r>
    </w:p>
    <w:p>
      <w:pPr/>
      <w:r>
        <w:t>The entity-resolution system must handle:</w:t>
      </w:r>
    </w:p>
    <w:p>
      <w:pPr>
        <w:pStyle w:val="ListBody"/>
        <w:ind w:left="490" w:hanging="331"/>
      </w:pPr>
      <w:r>
        <w:rPr>
          <w:b/>
        </w:rPr>
        <w:t xml:space="preserve">• </w:t>
      </w:r>
      <w:r>
        <w:t>Dual NSE and BSE listings.</w:t>
      </w:r>
    </w:p>
    <w:p>
      <w:pPr>
        <w:pStyle w:val="ListBody"/>
        <w:ind w:left="490" w:hanging="331"/>
      </w:pPr>
      <w:r>
        <w:rPr>
          <w:b/>
        </w:rPr>
        <w:t xml:space="preserve">• </w:t>
      </w:r>
      <w:r>
        <w:t>Symbol changes.</w:t>
      </w:r>
    </w:p>
    <w:p>
      <w:pPr>
        <w:pStyle w:val="ListBody"/>
        <w:ind w:left="490" w:hanging="331"/>
      </w:pPr>
      <w:r>
        <w:rPr>
          <w:b/>
        </w:rPr>
        <w:t xml:space="preserve">• </w:t>
      </w:r>
      <w:r>
        <w:t>Company-name changes.</w:t>
      </w:r>
    </w:p>
    <w:p>
      <w:pPr>
        <w:pStyle w:val="ListBody"/>
        <w:ind w:left="490" w:hanging="331"/>
      </w:pPr>
      <w:r>
        <w:rPr>
          <w:b/>
        </w:rPr>
        <w:t xml:space="preserve">• </w:t>
      </w:r>
      <w:r>
        <w:t>ISIN changes.</w:t>
      </w:r>
    </w:p>
    <w:p>
      <w:pPr>
        <w:pStyle w:val="ListBody"/>
        <w:ind w:left="490" w:hanging="331"/>
      </w:pPr>
      <w:r>
        <w:rPr>
          <w:b/>
        </w:rPr>
        <w:t xml:space="preserve">• </w:t>
      </w:r>
      <w:r>
        <w:t>Face-value changes.</w:t>
      </w:r>
    </w:p>
    <w:p>
      <w:pPr>
        <w:pStyle w:val="ListBody"/>
        <w:ind w:left="490" w:hanging="331"/>
      </w:pPr>
      <w:r>
        <w:rPr>
          <w:b/>
        </w:rPr>
        <w:t xml:space="preserve">• </w:t>
      </w:r>
      <w:r>
        <w:t>Mergers.</w:t>
      </w:r>
    </w:p>
    <w:p>
      <w:pPr>
        <w:pStyle w:val="ListBody"/>
        <w:ind w:left="490" w:hanging="331"/>
      </w:pPr>
      <w:r>
        <w:rPr>
          <w:b/>
        </w:rPr>
        <w:t xml:space="preserve">• </w:t>
      </w:r>
      <w:r>
        <w:t>Demergers.</w:t>
      </w:r>
    </w:p>
    <w:p>
      <w:pPr>
        <w:pStyle w:val="ListBody"/>
        <w:ind w:left="490" w:hanging="331"/>
      </w:pPr>
      <w:r>
        <w:rPr>
          <w:b/>
        </w:rPr>
        <w:t xml:space="preserve">• </w:t>
      </w:r>
      <w:r>
        <w:t>Spin-offs.</w:t>
      </w:r>
    </w:p>
    <w:p>
      <w:pPr>
        <w:pStyle w:val="ListBody"/>
        <w:ind w:left="490" w:hanging="331"/>
      </w:pPr>
      <w:r>
        <w:rPr>
          <w:b/>
        </w:rPr>
        <w:t xml:space="preserve">• </w:t>
      </w:r>
      <w:r>
        <w:t>Reverse mergers.</w:t>
      </w:r>
    </w:p>
    <w:p>
      <w:pPr>
        <w:pStyle w:val="ListBody"/>
        <w:ind w:left="490" w:hanging="331"/>
      </w:pPr>
      <w:r>
        <w:rPr>
          <w:b/>
        </w:rPr>
        <w:t xml:space="preserve">• </w:t>
      </w:r>
      <w:r>
        <w:t>Schemes of arrangement.</w:t>
      </w:r>
    </w:p>
    <w:p>
      <w:pPr>
        <w:pStyle w:val="ListBody"/>
        <w:ind w:left="490" w:hanging="331"/>
      </w:pPr>
      <w:r>
        <w:rPr>
          <w:b/>
        </w:rPr>
        <w:t xml:space="preserve">• </w:t>
      </w:r>
      <w:r>
        <w:t>Relistings.</w:t>
      </w:r>
    </w:p>
    <w:p>
      <w:pPr>
        <w:pStyle w:val="ListBody"/>
        <w:ind w:left="490" w:hanging="331"/>
      </w:pPr>
      <w:r>
        <w:rPr>
          <w:b/>
        </w:rPr>
        <w:t xml:space="preserve">• </w:t>
      </w:r>
      <w:r>
        <w:t>Suspensions.</w:t>
      </w:r>
    </w:p>
    <w:p>
      <w:pPr>
        <w:pStyle w:val="ListBody"/>
        <w:ind w:left="490" w:hanging="331"/>
      </w:pPr>
      <w:r>
        <w:rPr>
          <w:b/>
        </w:rPr>
        <w:t xml:space="preserve">• </w:t>
      </w:r>
      <w:r>
        <w:t>Delistings.</w:t>
      </w:r>
    </w:p>
    <w:p>
      <w:pPr>
        <w:pStyle w:val="ListBody"/>
        <w:ind w:left="490" w:hanging="331"/>
      </w:pPr>
      <w:r>
        <w:rPr>
          <w:b/>
        </w:rPr>
        <w:t xml:space="preserve">• </w:t>
      </w:r>
      <w:r>
        <w:t>Multiple equity classes.</w:t>
      </w:r>
    </w:p>
    <w:p>
      <w:pPr>
        <w:pStyle w:val="ListBody"/>
        <w:ind w:left="490" w:hanging="331"/>
      </w:pPr>
      <w:r>
        <w:rPr>
          <w:b/>
        </w:rPr>
        <w:t xml:space="preserve">• </w:t>
      </w:r>
      <w:r>
        <w:t>Partly paid securities.</w:t>
      </w:r>
    </w:p>
    <w:p>
      <w:pPr>
        <w:pStyle w:val="ListBody"/>
        <w:ind w:left="490" w:hanging="331"/>
      </w:pPr>
      <w:r>
        <w:rPr>
          <w:b/>
        </w:rPr>
        <w:t xml:space="preserve">• </w:t>
      </w:r>
      <w:r>
        <w:t>Rights entitlements.</w:t>
      </w:r>
    </w:p>
    <w:p>
      <w:pPr>
        <w:pStyle w:val="ListBody"/>
        <w:ind w:left="490" w:hanging="331"/>
      </w:pPr>
      <w:r>
        <w:rPr>
          <w:b/>
        </w:rPr>
        <w:t xml:space="preserve">• </w:t>
      </w:r>
      <w:r>
        <w:t>Parent and subsidiary relationships.</w:t>
      </w:r>
    </w:p>
    <w:p>
      <w:pPr>
        <w:pStyle w:val="Heading2"/>
        <w:keepNext/>
      </w:pPr>
      <w:r>
        <w:t>Matching hierarchy</w:t>
      </w:r>
    </w:p>
    <w:p>
      <w:pPr>
        <w:pStyle w:val="ListBody"/>
        <w:ind w:left="490" w:hanging="331"/>
      </w:pPr>
      <w:r>
        <w:rPr>
          <w:b/>
        </w:rPr>
        <w:t xml:space="preserve">1. </w:t>
      </w:r>
      <w:r>
        <w:t>Exact ISIN.</w:t>
      </w:r>
    </w:p>
    <w:p>
      <w:pPr>
        <w:pStyle w:val="ListBody"/>
        <w:ind w:left="490" w:hanging="331"/>
      </w:pPr>
      <w:r>
        <w:rPr>
          <w:b/>
        </w:rPr>
        <w:t xml:space="preserve">2. </w:t>
      </w:r>
      <w:r>
        <w:t>Exchange security identifier.</w:t>
      </w:r>
    </w:p>
    <w:p>
      <w:pPr>
        <w:pStyle w:val="ListBody"/>
        <w:ind w:left="490" w:hanging="331"/>
      </w:pPr>
      <w:r>
        <w:rPr>
          <w:b/>
        </w:rPr>
        <w:t xml:space="preserve">3. </w:t>
      </w:r>
      <w:r>
        <w:t>Legal-company identifier.</w:t>
      </w:r>
    </w:p>
    <w:p>
      <w:pPr>
        <w:pStyle w:val="ListBody"/>
        <w:ind w:left="490" w:hanging="331"/>
      </w:pPr>
      <w:r>
        <w:rPr>
          <w:b/>
        </w:rPr>
        <w:t xml:space="preserve">4. </w:t>
      </w:r>
      <w:r>
        <w:t>Historical identifier map.</w:t>
      </w:r>
    </w:p>
    <w:p>
      <w:pPr>
        <w:pStyle w:val="ListBody"/>
        <w:ind w:left="490" w:hanging="331"/>
      </w:pPr>
      <w:r>
        <w:rPr>
          <w:b/>
        </w:rPr>
        <w:t xml:space="preserve">5. </w:t>
      </w:r>
      <w:r>
        <w:t>Corporate-action documentation.</w:t>
      </w:r>
    </w:p>
    <w:p>
      <w:pPr>
        <w:pStyle w:val="ListBody"/>
        <w:ind w:left="490" w:hanging="331"/>
      </w:pPr>
      <w:r>
        <w:rPr>
          <w:b/>
        </w:rPr>
        <w:t xml:space="preserve">6. </w:t>
      </w:r>
      <w:r>
        <w:t>Name and address evidence.</w:t>
      </w:r>
    </w:p>
    <w:p>
      <w:pPr>
        <w:pStyle w:val="ListBody"/>
        <w:ind w:left="490" w:hanging="331"/>
      </w:pPr>
      <w:r>
        <w:rPr>
          <w:b/>
        </w:rPr>
        <w:t xml:space="preserve">7. </w:t>
      </w:r>
      <w:r>
        <w:t>Manual review.</w:t>
      </w:r>
    </w:p>
    <w:p>
      <w:pPr/>
      <w:r>
        <w:t>Fuzzy-name matching must not automatically merge two entities without supporting evidence.</w:t>
      </w:r>
    </w:p>
    <w:p>
      <w:pPr>
        <w:pStyle w:val="Heading2"/>
        <w:keepNext/>
      </w:pPr>
      <w:r>
        <w:t>Manual-review queue</w:t>
      </w:r>
    </w:p>
    <w:p>
      <w:pPr/>
      <w:r>
        <w:t>Potential mapping conflicts must enter:</w:t>
      </w:r>
    </w:p>
    <w:p>
      <w:pPr/>
      <w:r>
        <w:t>mapping_review_queue</w:t>
        <w:br/>
        <w:t>--------------------</w:t>
        <w:br/>
        <w:t>candidate_company_id</w:t>
        <w:br/>
        <w:t>candidate_security_id</w:t>
        <w:br/>
        <w:t>match_basis</w:t>
        <w:br/>
        <w:t>confidence</w:t>
        <w:br/>
        <w:t>conflicting_fields</w:t>
        <w:br/>
        <w:t>source_documents</w:t>
        <w:br/>
        <w:t>review_status</w:t>
        <w:br/>
        <w:t>reviewer</w:t>
        <w:br/>
        <w:t>resolution</w:t>
      </w:r>
    </w:p>
    <w:p>
      <w:pPr>
        <w:spacing w:after="0"/>
      </w:pPr>
      <w:r/>
    </w:p>
    <w:p>
      <w:pPr>
        <w:pStyle w:val="Heading1"/>
        <w:pBdr>
          <w:bottom w:val="single" w:sz="4" w:space="5" w:color="7A9AAA"/>
        </w:pBdr>
        <w:keepNext/>
      </w:pPr>
      <w:r>
        <w:t>11. Point-in-time database design</w:t>
      </w:r>
    </w:p>
    <w:p>
      <w:pPr/>
      <w:r>
        <w:t>Every material record must contain both:</w:t>
      </w:r>
    </w:p>
    <w:p>
      <w:pPr>
        <w:pStyle w:val="Heading2"/>
        <w:keepNext/>
      </w:pPr>
      <w:r>
        <w:t>11.1 Economic time</w:t>
      </w:r>
    </w:p>
    <w:p>
      <w:pPr/>
      <w:r>
        <w:t>The period to which the fact relates.</w:t>
      </w:r>
    </w:p>
    <w:p>
      <w:pPr>
        <w:pStyle w:val="Heading2"/>
        <w:keepNext/>
      </w:pPr>
      <w:r>
        <w:t>11.2 Knowledge time</w:t>
      </w:r>
    </w:p>
    <w:p>
      <w:pPr/>
      <w:r>
        <w:t>The moment when the system could have known the information.</w:t>
      </w:r>
    </w:p>
    <w:p>
      <w:pPr/>
      <w:r>
        <w:t>Required fields:</w:t>
      </w:r>
    </w:p>
    <w:p>
      <w:pPr/>
      <w:r>
        <w:t>period_start</w:t>
        <w:br/>
        <w:t>period_end</w:t>
        <w:br/>
        <w:t>filing_date</w:t>
        <w:br/>
        <w:t>exchange_received_at</w:t>
        <w:br/>
        <w:t>exchange_broadcast_at</w:t>
        <w:br/>
        <w:t>first_public_at</w:t>
        <w:br/>
        <w:t>system_received_at</w:t>
        <w:br/>
        <w:t>processed_at</w:t>
        <w:br/>
        <w:t>revision_at</w:t>
        <w:br/>
        <w:t>revision_of_id</w:t>
        <w:br/>
        <w:t>valid_from</w:t>
        <w:br/>
        <w:t>valid_to</w:t>
        <w:br/>
        <w:t>source_id</w:t>
        <w:br/>
        <w:t>source_grade</w:t>
        <w:br/>
        <w:t>document_hash</w:t>
        <w:br/>
        <w:t>parser_version</w:t>
      </w:r>
    </w:p>
    <w:p>
      <w:pPr>
        <w:pStyle w:val="Heading2"/>
        <w:keepNext/>
      </w:pPr>
      <w:r>
        <w:t>Historical rule</w:t>
      </w:r>
    </w:p>
    <w:p>
      <w:pPr/>
      <w:r>
        <w:t>Historical analysis must use:</w:t>
      </w:r>
    </w:p>
    <w:p>
      <w:pPr/>
      <w:r>
        <w:t>the first valid version publicly available at the historical decision time</w:t>
      </w:r>
    </w:p>
    <w:p>
      <w:pPr>
        <w:pStyle w:val="Heading2"/>
        <w:keepNext/>
      </w:pPr>
      <w:r>
        <w:t>Current rule</w:t>
      </w:r>
    </w:p>
    <w:p>
      <w:pPr/>
      <w:r>
        <w:t>Current research may use:</w:t>
      </w:r>
    </w:p>
    <w:p>
      <w:pPr/>
      <w:r>
        <w:t>the latest legally effective version</w:t>
      </w:r>
    </w:p>
    <w:p>
      <w:pPr/>
      <w:r>
        <w:t>The interface must show:</w:t>
      </w:r>
    </w:p>
    <w:p>
      <w:pPr>
        <w:pStyle w:val="ListBody"/>
        <w:ind w:left="490" w:hanging="331"/>
      </w:pPr>
      <w:r>
        <w:rPr>
          <w:b/>
        </w:rPr>
        <w:t xml:space="preserve">• </w:t>
      </w:r>
      <w:r>
        <w:t>Original value.</w:t>
      </w:r>
    </w:p>
    <w:p>
      <w:pPr>
        <w:pStyle w:val="ListBody"/>
        <w:ind w:left="490" w:hanging="331"/>
      </w:pPr>
      <w:r>
        <w:rPr>
          <w:b/>
        </w:rPr>
        <w:t xml:space="preserve">• </w:t>
      </w:r>
      <w:r>
        <w:t>Revised value.</w:t>
      </w:r>
    </w:p>
    <w:p>
      <w:pPr>
        <w:pStyle w:val="ListBody"/>
        <w:ind w:left="490" w:hanging="331"/>
      </w:pPr>
      <w:r>
        <w:rPr>
          <w:b/>
        </w:rPr>
        <w:t xml:space="preserve">• </w:t>
      </w:r>
      <w:r>
        <w:t>Revision date.</w:t>
      </w:r>
    </w:p>
    <w:p>
      <w:pPr>
        <w:pStyle w:val="ListBody"/>
        <w:ind w:left="490" w:hanging="331"/>
      </w:pPr>
      <w:r>
        <w:rPr>
          <w:b/>
        </w:rPr>
        <w:t xml:space="preserve">• </w:t>
      </w:r>
      <w:r>
        <w:t>Difference.</w:t>
      </w:r>
    </w:p>
    <w:p>
      <w:pPr>
        <w:pStyle w:val="ListBody"/>
        <w:ind w:left="490" w:hanging="331"/>
      </w:pPr>
      <w:r>
        <w:rPr>
          <w:b/>
        </w:rPr>
        <w:t xml:space="preserve">• </w:t>
      </w:r>
      <w:r>
        <w:t>Score impact.</w:t>
      </w:r>
    </w:p>
    <w:p>
      <w:pPr>
        <w:pStyle w:val="ListBody"/>
        <w:ind w:left="490" w:hanging="331"/>
      </w:pPr>
      <w:r>
        <w:rPr>
          <w:b/>
        </w:rPr>
        <w:t xml:space="preserve">• </w:t>
      </w:r>
      <w:r>
        <w:t>Signal impact.</w:t>
      </w:r>
    </w:p>
    <w:p>
      <w:pPr>
        <w:spacing w:after="0"/>
      </w:pPr>
      <w:r/>
    </w:p>
    <w:p>
      <w:pPr>
        <w:pStyle w:val="Heading1"/>
        <w:pBdr>
          <w:bottom w:val="single" w:sz="4" w:space="5" w:color="7A9AAA"/>
        </w:pBdr>
        <w:keepNext/>
      </w:pPr>
      <w:r>
        <w:t>12. Immutable raw data</w:t>
      </w:r>
    </w:p>
    <w:p>
      <w:pPr/>
      <w:r>
        <w:t>Raw records must never be overwritten.</w:t>
      </w:r>
    </w:p>
    <w:p>
      <w:pPr/>
      <w:r>
        <w:t>Store:</w:t>
      </w:r>
    </w:p>
    <w:p>
      <w:pPr>
        <w:pStyle w:val="ListBody"/>
        <w:ind w:left="490" w:hanging="331"/>
      </w:pPr>
      <w:r>
        <w:rPr>
          <w:b/>
        </w:rPr>
        <w:t xml:space="preserve">• </w:t>
      </w:r>
      <w:r>
        <w:t>Original JSON.</w:t>
      </w:r>
    </w:p>
    <w:p>
      <w:pPr>
        <w:pStyle w:val="ListBody"/>
        <w:ind w:left="490" w:hanging="331"/>
      </w:pPr>
      <w:r>
        <w:rPr>
          <w:b/>
        </w:rPr>
        <w:t xml:space="preserve">• </w:t>
      </w:r>
      <w:r>
        <w:t>XML.</w:t>
      </w:r>
    </w:p>
    <w:p>
      <w:pPr>
        <w:pStyle w:val="ListBody"/>
        <w:ind w:left="490" w:hanging="331"/>
      </w:pPr>
      <w:r>
        <w:rPr>
          <w:b/>
        </w:rPr>
        <w:t xml:space="preserve">• </w:t>
      </w:r>
      <w:r>
        <w:t>CSV.</w:t>
      </w:r>
    </w:p>
    <w:p>
      <w:pPr>
        <w:pStyle w:val="ListBody"/>
        <w:ind w:left="490" w:hanging="331"/>
      </w:pPr>
      <w:r>
        <w:rPr>
          <w:b/>
        </w:rPr>
        <w:t xml:space="preserve">• </w:t>
      </w:r>
      <w:r>
        <w:t>PDF.</w:t>
      </w:r>
    </w:p>
    <w:p>
      <w:pPr>
        <w:pStyle w:val="ListBody"/>
        <w:ind w:left="490" w:hanging="331"/>
      </w:pPr>
      <w:r>
        <w:rPr>
          <w:b/>
        </w:rPr>
        <w:t xml:space="preserve">• </w:t>
      </w:r>
      <w:r>
        <w:t>API response.</w:t>
      </w:r>
    </w:p>
    <w:p>
      <w:pPr>
        <w:pStyle w:val="ListBody"/>
        <w:ind w:left="490" w:hanging="331"/>
      </w:pPr>
      <w:r>
        <w:rPr>
          <w:b/>
        </w:rPr>
        <w:t xml:space="preserve">• </w:t>
      </w:r>
      <w:r>
        <w:t>Request metadata.</w:t>
      </w:r>
    </w:p>
    <w:p>
      <w:pPr>
        <w:pStyle w:val="ListBody"/>
        <w:ind w:left="490" w:hanging="331"/>
      </w:pPr>
      <w:r>
        <w:rPr>
          <w:b/>
        </w:rPr>
        <w:t xml:space="preserve">• </w:t>
      </w:r>
      <w:r>
        <w:t>File hash.</w:t>
      </w:r>
    </w:p>
    <w:p>
      <w:pPr>
        <w:pStyle w:val="ListBody"/>
        <w:ind w:left="490" w:hanging="331"/>
      </w:pPr>
      <w:r>
        <w:rPr>
          <w:b/>
        </w:rPr>
        <w:t xml:space="preserve">• </w:t>
      </w:r>
      <w:r>
        <w:t>Provider.</w:t>
      </w:r>
    </w:p>
    <w:p>
      <w:pPr>
        <w:pStyle w:val="ListBody"/>
        <w:ind w:left="490" w:hanging="331"/>
      </w:pPr>
      <w:r>
        <w:rPr>
          <w:b/>
        </w:rPr>
        <w:t xml:space="preserve">• </w:t>
      </w:r>
      <w:r>
        <w:t>Download timestamp.</w:t>
      </w:r>
    </w:p>
    <w:p>
      <w:pPr>
        <w:pStyle w:val="ListBody"/>
        <w:ind w:left="490" w:hanging="331"/>
      </w:pPr>
      <w:r>
        <w:rPr>
          <w:b/>
        </w:rPr>
        <w:t xml:space="preserve">• </w:t>
      </w:r>
      <w:r>
        <w:t>Schema version.</w:t>
      </w:r>
    </w:p>
    <w:p>
      <w:pPr>
        <w:pStyle w:val="ListBody"/>
        <w:ind w:left="490" w:hanging="331"/>
      </w:pPr>
      <w:r>
        <w:rPr>
          <w:b/>
        </w:rPr>
        <w:t xml:space="preserve">• </w:t>
      </w:r>
      <w:r>
        <w:t>License reference.</w:t>
      </w:r>
    </w:p>
    <w:p>
      <w:pPr>
        <w:pStyle w:val="ListBody"/>
        <w:ind w:left="490" w:hanging="331"/>
      </w:pPr>
      <w:r>
        <w:rPr>
          <w:b/>
        </w:rPr>
        <w:t xml:space="preserve">• </w:t>
      </w:r>
      <w:r>
        <w:t>Parsing status.</w:t>
      </w:r>
    </w:p>
    <w:p>
      <w:pPr/>
      <w:r>
        <w:t>A revised filing creates a new record linked to the prior version.</w:t>
      </w:r>
    </w:p>
    <w:p>
      <w:pPr>
        <w:pStyle w:val="Heading2"/>
        <w:keepNext/>
      </w:pPr>
      <w:r>
        <w:t>Document deduplication</w:t>
      </w:r>
    </w:p>
    <w:p>
      <w:pPr/>
      <w:r>
        <w:t>Use SHA-256 or equivalent.</w:t>
      </w:r>
    </w:p>
    <w:p>
      <w:pPr/>
      <w:r>
        <w:t>same binary hash:</w:t>
        <w:br/>
        <w:t>store one binary copy</w:t>
        <w:br/>
        <w:br/>
        <w:t>same file with different dissemination timestamp:</w:t>
        <w:br/>
        <w:t>store another metadata event</w:t>
        <w:br/>
        <w:br/>
        <w:t>revised filing:</w:t>
        <w:br/>
        <w:t>store new binary and create revision relationship</w:t>
      </w:r>
    </w:p>
    <w:p>
      <w:pPr>
        <w:spacing w:after="0"/>
      </w:pPr>
      <w:r/>
    </w:p>
    <w:p>
      <w:pPr>
        <w:pStyle w:val="Heading1"/>
        <w:pBdr>
          <w:bottom w:val="single" w:sz="4" w:space="5" w:color="7A9AAA"/>
        </w:pBdr>
        <w:keepNext/>
      </w:pPr>
      <w:r>
        <w:t>13. Multi-source reconciliation</w:t>
      </w:r>
    </w:p>
    <w:p>
      <w:pPr>
        <w:pStyle w:val="Heading2"/>
        <w:keepNext/>
      </w:pPr>
      <w:r>
        <w:t>13.1 Reconciliation states</w:t>
      </w:r>
    </w:p>
    <w:p>
      <w:pPr/>
      <w:r>
        <w:t>MATCHED</w:t>
        <w:br/>
        <w:t>MATCHED_WITH_TOLERANCE</w:t>
        <w:br/>
        <w:t>SOURCE_DELAY</w:t>
        <w:br/>
        <w:t>SCOPE_DIFFERENCE</w:t>
        <w:br/>
        <w:t>UNIT_DIFFERENCE</w:t>
        <w:br/>
        <w:t>REVISION_DIFFERENCE</w:t>
        <w:br/>
        <w:t>CORPORATE_ACTION_DIFFERENCE</w:t>
        <w:br/>
        <w:t>TIMESTAMP_DIFFERENCE</w:t>
        <w:br/>
        <w:t>MATERIAL_CONFLICT</w:t>
        <w:br/>
        <w:t>MISSING_PRIMARY</w:t>
        <w:br/>
        <w:t>QUARANTINED</w:t>
        <w:br/>
        <w:t>MANUAL_REVIEW</w:t>
      </w:r>
    </w:p>
    <w:p>
      <w:pPr>
        <w:pStyle w:val="Heading2"/>
        <w:keepNext/>
      </w:pPr>
      <w:r>
        <w:t>13.2 Reconciliation procedure</w:t>
      </w:r>
    </w:p>
    <w:p>
      <w:pPr>
        <w:pStyle w:val="ListBody"/>
        <w:ind w:left="490" w:hanging="331"/>
      </w:pPr>
      <w:r>
        <w:rPr>
          <w:b/>
        </w:rPr>
        <w:t xml:space="preserve">1. </w:t>
      </w:r>
      <w:r>
        <w:t>Verify company identity.</w:t>
      </w:r>
    </w:p>
    <w:p>
      <w:pPr>
        <w:pStyle w:val="ListBody"/>
        <w:ind w:left="490" w:hanging="331"/>
      </w:pPr>
      <w:r>
        <w:rPr>
          <w:b/>
        </w:rPr>
        <w:t xml:space="preserve">2. </w:t>
      </w:r>
      <w:r>
        <w:t>Verify ISIN.</w:t>
      </w:r>
    </w:p>
    <w:p>
      <w:pPr>
        <w:pStyle w:val="ListBody"/>
        <w:ind w:left="490" w:hanging="331"/>
      </w:pPr>
      <w:r>
        <w:rPr>
          <w:b/>
        </w:rPr>
        <w:t xml:space="preserve">3. </w:t>
      </w:r>
      <w:r>
        <w:t>Verify exchange.</w:t>
      </w:r>
    </w:p>
    <w:p>
      <w:pPr>
        <w:pStyle w:val="ListBody"/>
        <w:ind w:left="490" w:hanging="331"/>
      </w:pPr>
      <w:r>
        <w:rPr>
          <w:b/>
        </w:rPr>
        <w:t xml:space="preserve">4. </w:t>
      </w:r>
      <w:r>
        <w:t>Verify timestamps.</w:t>
      </w:r>
    </w:p>
    <w:p>
      <w:pPr>
        <w:pStyle w:val="ListBody"/>
        <w:ind w:left="490" w:hanging="331"/>
      </w:pPr>
      <w:r>
        <w:rPr>
          <w:b/>
        </w:rPr>
        <w:t xml:space="preserve">5. </w:t>
      </w:r>
      <w:r>
        <w:t>Verify units.</w:t>
      </w:r>
    </w:p>
    <w:p>
      <w:pPr>
        <w:pStyle w:val="ListBody"/>
        <w:ind w:left="490" w:hanging="331"/>
      </w:pPr>
      <w:r>
        <w:rPr>
          <w:b/>
        </w:rPr>
        <w:t xml:space="preserve">6. </w:t>
      </w:r>
      <w:r>
        <w:t>Verify currency.</w:t>
      </w:r>
    </w:p>
    <w:p>
      <w:pPr>
        <w:pStyle w:val="ListBody"/>
        <w:ind w:left="490" w:hanging="331"/>
      </w:pPr>
      <w:r>
        <w:rPr>
          <w:b/>
        </w:rPr>
        <w:t xml:space="preserve">7. </w:t>
      </w:r>
      <w:r>
        <w:t>Verify reporting scope.</w:t>
      </w:r>
    </w:p>
    <w:p>
      <w:pPr>
        <w:pStyle w:val="ListBody"/>
        <w:ind w:left="490" w:hanging="331"/>
      </w:pPr>
      <w:r>
        <w:rPr>
          <w:b/>
        </w:rPr>
        <w:t xml:space="preserve">8. </w:t>
      </w:r>
      <w:r>
        <w:t>Verify reporting period.</w:t>
      </w:r>
    </w:p>
    <w:p>
      <w:pPr>
        <w:pStyle w:val="ListBody"/>
        <w:ind w:left="490" w:hanging="331"/>
      </w:pPr>
      <w:r>
        <w:rPr>
          <w:b/>
        </w:rPr>
        <w:t xml:space="preserve">9. </w:t>
      </w:r>
      <w:r>
        <w:t>Verify original versus revised filing.</w:t>
      </w:r>
    </w:p>
    <w:p>
      <w:pPr>
        <w:pStyle w:val="ListBody"/>
        <w:ind w:left="490" w:hanging="331"/>
      </w:pPr>
      <w:r>
        <w:rPr>
          <w:b/>
        </w:rPr>
        <w:t xml:space="preserve">10. </w:t>
      </w:r>
      <w:r>
        <w:t>Verify corporate actions.</w:t>
      </w:r>
    </w:p>
    <w:p>
      <w:pPr>
        <w:pStyle w:val="ListBody"/>
        <w:ind w:left="490" w:hanging="331"/>
      </w:pPr>
      <w:r>
        <w:rPr>
          <w:b/>
        </w:rPr>
        <w:t xml:space="preserve">11. </w:t>
      </w:r>
      <w:r>
        <w:t>Apply source precedence.</w:t>
      </w:r>
    </w:p>
    <w:p>
      <w:pPr>
        <w:pStyle w:val="ListBody"/>
        <w:ind w:left="490" w:hanging="331"/>
      </w:pPr>
      <w:r>
        <w:rPr>
          <w:b/>
        </w:rPr>
        <w:t xml:space="preserve">12. </w:t>
      </w:r>
      <w:r>
        <w:t>Quarantine unresolved material conflicts.</w:t>
      </w:r>
    </w:p>
    <w:p>
      <w:pPr>
        <w:pStyle w:val="ListBody"/>
        <w:ind w:left="490" w:hanging="331"/>
      </w:pPr>
      <w:r>
        <w:rPr>
          <w:b/>
        </w:rPr>
        <w:t xml:space="preserve">13. </w:t>
      </w:r>
      <w:r>
        <w:t>Reduce Data Confidence.</w:t>
      </w:r>
    </w:p>
    <w:p>
      <w:pPr>
        <w:pStyle w:val="ListBody"/>
        <w:ind w:left="490" w:hanging="331"/>
      </w:pPr>
      <w:r>
        <w:rPr>
          <w:b/>
        </w:rPr>
        <w:t xml:space="preserve">14. </w:t>
      </w:r>
      <w:r>
        <w:t>Block scoring where critical.</w:t>
      </w:r>
    </w:p>
    <w:p>
      <w:pPr>
        <w:pStyle w:val="Heading2"/>
        <w:keepNext/>
      </w:pPr>
      <w:r>
        <w:t>13.3 Numerical comparison</w:t>
      </w:r>
    </w:p>
    <w:p>
      <w:pPr>
        <w:pStyle w:val="FormulaBlock"/>
        <w:shd w:fill="F5F8FA"/>
      </w:pPr>
      <w:r>
        <w:t>[ RelativeDifference = |x_1 - x_2| / max(|x_1|, |x_2|, epsilon) ]</w:t>
      </w:r>
    </w:p>
    <w:p>
      <w:pPr/>
      <w:r>
        <w:t>Tolerance must be field-specific.</w:t>
      </w:r>
    </w:p>
    <w:p>
      <w:pPr/>
      <w:r>
        <w:t>Examples:</w:t>
      </w:r>
    </w:p>
    <w:p>
      <w:pPr>
        <w:pStyle w:val="ListBody"/>
        <w:ind w:left="490" w:hanging="331"/>
      </w:pPr>
      <w:r>
        <w:rPr>
          <w:b/>
        </w:rPr>
        <w:t xml:space="preserve">• </w:t>
      </w:r>
      <w:r>
        <w:t>Price: timestamp-adjusted tolerance.</w:t>
      </w:r>
    </w:p>
    <w:p>
      <w:pPr>
        <w:pStyle w:val="ListBody"/>
        <w:ind w:left="490" w:hanging="331"/>
      </w:pPr>
      <w:r>
        <w:rPr>
          <w:b/>
        </w:rPr>
        <w:t xml:space="preserve">• </w:t>
      </w:r>
      <w:r>
        <w:t>Revenue: near-zero tolerance after normalization.</w:t>
      </w:r>
    </w:p>
    <w:p>
      <w:pPr>
        <w:pStyle w:val="ListBody"/>
        <w:ind w:left="490" w:hanging="331"/>
      </w:pPr>
      <w:r>
        <w:rPr>
          <w:b/>
        </w:rPr>
        <w:t xml:space="preserve">• </w:t>
      </w:r>
      <w:r>
        <w:t>Market capitalization: wider tolerance due to price timing.</w:t>
      </w:r>
    </w:p>
    <w:p>
      <w:pPr>
        <w:pStyle w:val="ListBody"/>
        <w:ind w:left="490" w:hanging="331"/>
      </w:pPr>
      <w:r>
        <w:rPr>
          <w:b/>
        </w:rPr>
        <w:t xml:space="preserve">• </w:t>
      </w:r>
      <w:r>
        <w:t>Share count: corporate-action-adjusted tolerance.</w:t>
      </w:r>
    </w:p>
    <w:p>
      <w:pPr>
        <w:pStyle w:val="ListBody"/>
        <w:ind w:left="490" w:hanging="331"/>
      </w:pPr>
      <w:r>
        <w:rPr>
          <w:b/>
        </w:rPr>
        <w:t xml:space="preserve">• </w:t>
      </w:r>
      <w:r>
        <w:t>Financial ratios: recalculate from source facts rather than compare only reported ratios.</w:t>
      </w:r>
    </w:p>
    <w:p>
      <w:pPr/>
      <w:r>
        <w:t>Never average conflicting statutory financial values.</w:t>
      </w:r>
    </w:p>
    <w:p>
      <w:pPr>
        <w:spacing w:after="0"/>
      </w:pPr>
      <w:r/>
    </w:p>
    <w:p>
      <w:pPr>
        <w:pStyle w:val="Heading1"/>
        <w:pBdr>
          <w:bottom w:val="single" w:sz="4" w:space="5" w:color="7A9AAA"/>
        </w:pBdr>
        <w:keepNext/>
      </w:pPr>
      <w:r>
        <w:t>14. Data-confidence score</w:t>
      </w:r>
    </w:p>
    <w:p>
      <w:pPr/>
      <w:r>
        <w:t>Data Confidence must be separate from company attractiveness.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blHeader w:val="true"/>
        </w:trPr>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Component</w:t>
            </w:r>
          </w:p>
        </w:tc>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Weight</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Primary-source coverage</w:t>
            </w:r>
          </w:p>
        </w:tc>
        <w:tc>
          <w:tcPr>
            <w:tcW w:type="dxa" w:w="4997"/>
            <w:vAlign w:val="center"/>
            <w:tcMar>
              <w:top w:w="55" w:type="dxa"/>
              <w:start w:w="65" w:type="dxa"/>
              <w:bottom w:w="55" w:type="dxa"/>
              <w:end w:w="65" w:type="dxa"/>
            </w:tcMar>
          </w:tcPr>
          <w:p>
            <w:pPr>
              <w:spacing w:after="0"/>
            </w:pPr>
            <w:r>
              <w:rPr>
                <w:rFonts w:ascii="Cambria" w:hAnsi="Cambria"/>
                <w:sz w:val="18"/>
              </w:rPr>
              <w:t>25</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Financial reconciliation</w:t>
            </w:r>
          </w:p>
        </w:tc>
        <w:tc>
          <w:tcPr>
            <w:tcW w:type="dxa" w:w="4997"/>
            <w:vAlign w:val="center"/>
            <w:tcMar>
              <w:top w:w="55" w:type="dxa"/>
              <w:start w:w="65" w:type="dxa"/>
              <w:bottom w:w="55" w:type="dxa"/>
              <w:end w:w="65" w:type="dxa"/>
            </w:tcMar>
            <w:shd w:fill="F8FAFB"/>
          </w:tcPr>
          <w:p>
            <w:pPr>
              <w:spacing w:after="0"/>
            </w:pPr>
            <w:r>
              <w:rPr>
                <w:rFonts w:ascii="Cambria" w:hAnsi="Cambria"/>
                <w:sz w:val="18"/>
              </w:rPr>
              <w:t>20</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Data freshness</w:t>
            </w:r>
          </w:p>
        </w:tc>
        <w:tc>
          <w:tcPr>
            <w:tcW w:type="dxa" w:w="4997"/>
            <w:vAlign w:val="center"/>
            <w:tcMar>
              <w:top w:w="55" w:type="dxa"/>
              <w:start w:w="65" w:type="dxa"/>
              <w:bottom w:w="55" w:type="dxa"/>
              <w:end w:w="65" w:type="dxa"/>
            </w:tcMar>
          </w:tcPr>
          <w:p>
            <w:pPr>
              <w:spacing w:after="0"/>
            </w:pPr>
            <w:r>
              <w:rPr>
                <w:rFonts w:ascii="Cambria" w:hAnsi="Cambria"/>
                <w:sz w:val="18"/>
              </w:rPr>
              <w:t>15</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Historical coverage</w:t>
            </w:r>
          </w:p>
        </w:tc>
        <w:tc>
          <w:tcPr>
            <w:tcW w:type="dxa" w:w="4997"/>
            <w:vAlign w:val="center"/>
            <w:tcMar>
              <w:top w:w="55" w:type="dxa"/>
              <w:start w:w="65" w:type="dxa"/>
              <w:bottom w:w="55" w:type="dxa"/>
              <w:end w:w="65" w:type="dxa"/>
            </w:tcMar>
            <w:shd w:fill="F8FAFB"/>
          </w:tcPr>
          <w:p>
            <w:pPr>
              <w:spacing w:after="0"/>
            </w:pPr>
            <w:r>
              <w:rPr>
                <w:rFonts w:ascii="Cambria" w:hAnsi="Cambria"/>
                <w:sz w:val="18"/>
              </w:rPr>
              <w:t>10</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Source agreement</w:t>
            </w:r>
          </w:p>
        </w:tc>
        <w:tc>
          <w:tcPr>
            <w:tcW w:type="dxa" w:w="4997"/>
            <w:vAlign w:val="center"/>
            <w:tcMar>
              <w:top w:w="55" w:type="dxa"/>
              <w:start w:w="65" w:type="dxa"/>
              <w:bottom w:w="55" w:type="dxa"/>
              <w:end w:w="65" w:type="dxa"/>
            </w:tcMar>
          </w:tcPr>
          <w:p>
            <w:pPr>
              <w:spacing w:after="0"/>
            </w:pPr>
            <w:r>
              <w:rPr>
                <w:rFonts w:ascii="Cambria" w:hAnsi="Cambria"/>
                <w:sz w:val="18"/>
              </w:rPr>
              <w:t>10</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Parsing confidence</w:t>
            </w:r>
          </w:p>
        </w:tc>
        <w:tc>
          <w:tcPr>
            <w:tcW w:type="dxa" w:w="4997"/>
            <w:vAlign w:val="center"/>
            <w:tcMar>
              <w:top w:w="55" w:type="dxa"/>
              <w:start w:w="65" w:type="dxa"/>
              <w:bottom w:w="55" w:type="dxa"/>
              <w:end w:w="65" w:type="dxa"/>
            </w:tcMar>
            <w:shd w:fill="F8FAFB"/>
          </w:tcPr>
          <w:p>
            <w:pPr>
              <w:spacing w:after="0"/>
            </w:pPr>
            <w:r>
              <w:rPr>
                <w:rFonts w:ascii="Cambria" w:hAnsi="Cambria"/>
                <w:sz w:val="18"/>
              </w:rPr>
              <w:t>10</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Sector-model completeness</w:t>
            </w:r>
          </w:p>
        </w:tc>
        <w:tc>
          <w:tcPr>
            <w:tcW w:type="dxa" w:w="4997"/>
            <w:vAlign w:val="center"/>
            <w:tcMar>
              <w:top w:w="55" w:type="dxa"/>
              <w:start w:w="65" w:type="dxa"/>
              <w:bottom w:w="55" w:type="dxa"/>
              <w:end w:w="65" w:type="dxa"/>
            </w:tcMar>
          </w:tcPr>
          <w:p>
            <w:pPr>
              <w:spacing w:after="0"/>
            </w:pPr>
            <w:r>
              <w:rPr>
                <w:rFonts w:ascii="Cambria" w:hAnsi="Cambria"/>
                <w:sz w:val="18"/>
              </w:rPr>
              <w:t>5</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Corporate-action completeness</w:t>
            </w:r>
          </w:p>
        </w:tc>
        <w:tc>
          <w:tcPr>
            <w:tcW w:type="dxa" w:w="4997"/>
            <w:vAlign w:val="center"/>
            <w:tcMar>
              <w:top w:w="55" w:type="dxa"/>
              <w:start w:w="65" w:type="dxa"/>
              <w:bottom w:w="55" w:type="dxa"/>
              <w:end w:w="65" w:type="dxa"/>
            </w:tcMar>
            <w:shd w:fill="F8FAFB"/>
          </w:tcPr>
          <w:p>
            <w:pPr>
              <w:spacing w:after="0"/>
            </w:pPr>
            <w:r>
              <w:rPr>
                <w:rFonts w:ascii="Cambria" w:hAnsi="Cambria"/>
                <w:sz w:val="18"/>
              </w:rPr>
              <w:t>5</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Total</w:t>
            </w:r>
          </w:p>
        </w:tc>
        <w:tc>
          <w:tcPr>
            <w:tcW w:type="dxa" w:w="4997"/>
            <w:vAlign w:val="center"/>
            <w:tcMar>
              <w:top w:w="55" w:type="dxa"/>
              <w:start w:w="65" w:type="dxa"/>
              <w:bottom w:w="55" w:type="dxa"/>
              <w:end w:w="65" w:type="dxa"/>
            </w:tcMar>
          </w:tcPr>
          <w:p>
            <w:pPr>
              <w:spacing w:after="0"/>
            </w:pPr>
            <w:r>
              <w:rPr>
                <w:rFonts w:ascii="Cambria" w:hAnsi="Cambria"/>
                <w:sz w:val="18"/>
              </w:rPr>
              <w:t>100</w:t>
            </w:r>
          </w:p>
        </w:tc>
      </w:tr>
    </w:tbl>
    <w:p>
      <w:pPr>
        <w:spacing w:after="20"/>
      </w:pPr>
    </w:p>
    <w:p>
      <w:pPr>
        <w:pStyle w:val="FormulaBlock"/>
        <w:shd w:fill="F5F8FA"/>
      </w:pPr>
      <w:r>
        <w:t>[ DC_i = SUM over k of ( w_k x D_{i,k} ) ]</w:t>
      </w:r>
    </w:p>
    <w:p>
      <w:pPr>
        <w:pStyle w:val="Heading2"/>
        <w:keepNext/>
      </w:pPr>
      <w:r>
        <w:t>Confidence classes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blHeader w:val="true"/>
        </w:trPr>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Score</w:t>
            </w:r>
          </w:p>
        </w:tc>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Classification</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90–100</w:t>
            </w:r>
          </w:p>
        </w:tc>
        <w:tc>
          <w:tcPr>
            <w:tcW w:type="dxa" w:w="4997"/>
            <w:vAlign w:val="center"/>
            <w:tcMar>
              <w:top w:w="55" w:type="dxa"/>
              <w:start w:w="65" w:type="dxa"/>
              <w:bottom w:w="55" w:type="dxa"/>
              <w:end w:w="65" w:type="dxa"/>
            </w:tcMar>
          </w:tcPr>
          <w:p>
            <w:pPr>
              <w:spacing w:after="0"/>
            </w:pPr>
            <w:r>
              <w:rPr>
                <w:rFonts w:ascii="Cambria" w:hAnsi="Cambria"/>
                <w:sz w:val="18"/>
              </w:rPr>
              <w:t>High</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80–89.99</w:t>
            </w:r>
          </w:p>
        </w:tc>
        <w:tc>
          <w:tcPr>
            <w:tcW w:type="dxa" w:w="4997"/>
            <w:vAlign w:val="center"/>
            <w:tcMar>
              <w:top w:w="55" w:type="dxa"/>
              <w:start w:w="65" w:type="dxa"/>
              <w:bottom w:w="55" w:type="dxa"/>
              <w:end w:w="65" w:type="dxa"/>
            </w:tcMar>
            <w:shd w:fill="F8FAFB"/>
          </w:tcPr>
          <w:p>
            <w:pPr>
              <w:spacing w:after="0"/>
            </w:pPr>
            <w:r>
              <w:rPr>
                <w:rFonts w:ascii="Cambria" w:hAnsi="Cambria"/>
                <w:sz w:val="18"/>
              </w:rPr>
              <w:t>Acceptable</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70–79.99</w:t>
            </w:r>
          </w:p>
        </w:tc>
        <w:tc>
          <w:tcPr>
            <w:tcW w:type="dxa" w:w="4997"/>
            <w:vAlign w:val="center"/>
            <w:tcMar>
              <w:top w:w="55" w:type="dxa"/>
              <w:start w:w="65" w:type="dxa"/>
              <w:bottom w:w="55" w:type="dxa"/>
              <w:end w:w="65" w:type="dxa"/>
            </w:tcMar>
          </w:tcPr>
          <w:p>
            <w:pPr>
              <w:spacing w:after="0"/>
            </w:pPr>
            <w:r>
              <w:rPr>
                <w:rFonts w:ascii="Cambria" w:hAnsi="Cambria"/>
                <w:sz w:val="18"/>
              </w:rPr>
              <w:t>Restricted</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50–69.99</w:t>
            </w:r>
          </w:p>
        </w:tc>
        <w:tc>
          <w:tcPr>
            <w:tcW w:type="dxa" w:w="4997"/>
            <w:vAlign w:val="center"/>
            <w:tcMar>
              <w:top w:w="55" w:type="dxa"/>
              <w:start w:w="65" w:type="dxa"/>
              <w:bottom w:w="55" w:type="dxa"/>
              <w:end w:w="65" w:type="dxa"/>
            </w:tcMar>
            <w:shd w:fill="F8FAFB"/>
          </w:tcPr>
          <w:p>
            <w:pPr>
              <w:spacing w:after="0"/>
            </w:pPr>
            <w:r>
              <w:rPr>
                <w:rFonts w:ascii="Cambria" w:hAnsi="Cambria"/>
                <w:sz w:val="18"/>
              </w:rPr>
              <w:t>Limited</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Below 50</w:t>
            </w:r>
          </w:p>
        </w:tc>
        <w:tc>
          <w:tcPr>
            <w:tcW w:type="dxa" w:w="4997"/>
            <w:vAlign w:val="center"/>
            <w:tcMar>
              <w:top w:w="55" w:type="dxa"/>
              <w:start w:w="65" w:type="dxa"/>
              <w:bottom w:w="55" w:type="dxa"/>
              <w:end w:w="65" w:type="dxa"/>
            </w:tcMar>
          </w:tcPr>
          <w:p>
            <w:pPr>
              <w:spacing w:after="0"/>
            </w:pPr>
            <w:r>
              <w:rPr>
                <w:rFonts w:ascii="Cambria" w:hAnsi="Cambria"/>
                <w:sz w:val="18"/>
              </w:rPr>
              <w:t>Insufficient</w:t>
            </w:r>
          </w:p>
        </w:tc>
      </w:tr>
    </w:tbl>
    <w:p>
      <w:pPr>
        <w:spacing w:after="20"/>
      </w:pPr>
    </w:p>
    <w:p>
      <w:pPr/>
      <w:r>
        <w:t>A company below the minimum Data Confidence must not receive a standard actionable rank.</w:t>
      </w:r>
    </w:p>
    <w:p>
      <w:pPr>
        <w:spacing w:after="0"/>
      </w:pPr>
      <w:r/>
    </w:p>
    <w:p>
      <w:pPr>
        <w:pStyle w:val="Heading1"/>
        <w:pBdr>
          <w:bottom w:val="single" w:sz="4" w:space="5" w:color="7A9AAA"/>
        </w:pBdr>
        <w:keepNext/>
      </w:pPr>
      <w:r>
        <w:t>15. Universe construction</w:t>
      </w:r>
    </w:p>
    <w:p>
      <w:pPr>
        <w:pStyle w:val="Heading2"/>
        <w:keepNext/>
      </w:pPr>
      <w:r>
        <w:t>15.1 Discovery Universe</w:t>
      </w:r>
    </w:p>
    <w:p>
      <w:pPr/>
      <w:r>
        <w:t>The Discovery Universe contains all known Indian ordinary-equity securities, including historical:</w:t>
      </w:r>
    </w:p>
    <w:p>
      <w:pPr>
        <w:pStyle w:val="ListBody"/>
        <w:ind w:left="490" w:hanging="331"/>
      </w:pPr>
      <w:r>
        <w:rPr>
          <w:b/>
        </w:rPr>
        <w:t xml:space="preserve">• </w:t>
      </w:r>
      <w:r>
        <w:t>Active main-board companies.</w:t>
      </w:r>
    </w:p>
    <w:p>
      <w:pPr>
        <w:pStyle w:val="ListBody"/>
        <w:ind w:left="490" w:hanging="331"/>
      </w:pPr>
      <w:r>
        <w:rPr>
          <w:b/>
        </w:rPr>
        <w:t xml:space="preserve">• </w:t>
      </w:r>
      <w:r>
        <w:t>SME companies.</w:t>
      </w:r>
    </w:p>
    <w:p>
      <w:pPr>
        <w:pStyle w:val="ListBody"/>
        <w:ind w:left="490" w:hanging="331"/>
      </w:pPr>
      <w:r>
        <w:rPr>
          <w:b/>
        </w:rPr>
        <w:t xml:space="preserve">• </w:t>
      </w:r>
      <w:r>
        <w:t>Newly listed companies.</w:t>
      </w:r>
    </w:p>
    <w:p>
      <w:pPr>
        <w:pStyle w:val="ListBody"/>
        <w:ind w:left="490" w:hanging="331"/>
      </w:pPr>
      <w:r>
        <w:rPr>
          <w:b/>
        </w:rPr>
        <w:t xml:space="preserve">• </w:t>
      </w:r>
      <w:r>
        <w:t>Suspended companies.</w:t>
      </w:r>
    </w:p>
    <w:p>
      <w:pPr>
        <w:pStyle w:val="ListBody"/>
        <w:ind w:left="490" w:hanging="331"/>
      </w:pPr>
      <w:r>
        <w:rPr>
          <w:b/>
        </w:rPr>
        <w:t xml:space="preserve">• </w:t>
      </w:r>
      <w:r>
        <w:t>Delisted companies.</w:t>
      </w:r>
    </w:p>
    <w:p>
      <w:pPr>
        <w:pStyle w:val="ListBody"/>
        <w:ind w:left="490" w:hanging="331"/>
      </w:pPr>
      <w:r>
        <w:rPr>
          <w:b/>
        </w:rPr>
        <w:t xml:space="preserve">• </w:t>
      </w:r>
      <w:r>
        <w:t>Insolvency cases.</w:t>
      </w:r>
    </w:p>
    <w:p>
      <w:pPr>
        <w:pStyle w:val="ListBody"/>
        <w:ind w:left="490" w:hanging="331"/>
      </w:pPr>
      <w:r>
        <w:rPr>
          <w:b/>
        </w:rPr>
        <w:t xml:space="preserve">• </w:t>
      </w:r>
      <w:r>
        <w:t>Failed companies.</w:t>
      </w:r>
    </w:p>
    <w:p>
      <w:pPr>
        <w:pStyle w:val="ListBody"/>
        <w:ind w:left="490" w:hanging="331"/>
      </w:pPr>
      <w:r>
        <w:rPr>
          <w:b/>
        </w:rPr>
        <w:t xml:space="preserve">• </w:t>
      </w:r>
      <w:r>
        <w:t>Financial institutions.</w:t>
      </w:r>
    </w:p>
    <w:p>
      <w:pPr>
        <w:pStyle w:val="ListBody"/>
        <w:ind w:left="490" w:hanging="331"/>
      </w:pPr>
      <w:r>
        <w:rPr>
          <w:b/>
        </w:rPr>
        <w:t xml:space="preserve">• </w:t>
      </w:r>
      <w:r>
        <w:t>Holding companies.</w:t>
      </w:r>
    </w:p>
    <w:p>
      <w:pPr>
        <w:pStyle w:val="ListBody"/>
        <w:ind w:left="490" w:hanging="331"/>
      </w:pPr>
      <w:r>
        <w:rPr>
          <w:b/>
        </w:rPr>
        <w:t xml:space="preserve">• </w:t>
      </w:r>
      <w:r>
        <w:t>REITs and InvITs in separate groups.</w:t>
      </w:r>
    </w:p>
    <w:p>
      <w:pPr/>
      <w:r>
        <w:t>Discovery inclusion does not imply investability.</w:t>
      </w:r>
    </w:p>
    <w:p>
      <w:pPr>
        <w:pStyle w:val="Heading2"/>
        <w:keepNext/>
      </w:pPr>
      <w:r>
        <w:t>15.2 Current Investable Universe</w:t>
      </w:r>
    </w:p>
    <w:p>
      <w:pPr/>
      <w:r>
        <w:t>A security becomes investable only when:</w:t>
      </w:r>
    </w:p>
    <w:p>
      <w:pPr>
        <w:pStyle w:val="ListBody"/>
        <w:ind w:left="490" w:hanging="331"/>
      </w:pPr>
      <w:r>
        <w:rPr>
          <w:b/>
        </w:rPr>
        <w:t xml:space="preserve">1. </w:t>
      </w:r>
      <w:r>
        <w:t>Security mapping is valid.</w:t>
      </w:r>
    </w:p>
    <w:p>
      <w:pPr>
        <w:pStyle w:val="ListBody"/>
        <w:ind w:left="490" w:hanging="331"/>
      </w:pPr>
      <w:r>
        <w:rPr>
          <w:b/>
        </w:rPr>
        <w:t xml:space="preserve">2. </w:t>
      </w:r>
      <w:r>
        <w:t>ISIN is valid.</w:t>
      </w:r>
    </w:p>
    <w:p>
      <w:pPr>
        <w:pStyle w:val="ListBody"/>
        <w:ind w:left="490" w:hanging="331"/>
      </w:pPr>
      <w:r>
        <w:rPr>
          <w:b/>
        </w:rPr>
        <w:t xml:space="preserve">3. </w:t>
      </w:r>
      <w:r>
        <w:t>Listing is active.</w:t>
      </w:r>
    </w:p>
    <w:p>
      <w:pPr>
        <w:pStyle w:val="ListBody"/>
        <w:ind w:left="490" w:hanging="331"/>
      </w:pPr>
      <w:r>
        <w:rPr>
          <w:b/>
        </w:rPr>
        <w:t xml:space="preserve">4. </w:t>
      </w:r>
      <w:r>
        <w:t>The security is not suspended.</w:t>
      </w:r>
    </w:p>
    <w:p>
      <w:pPr>
        <w:pStyle w:val="ListBody"/>
        <w:ind w:left="490" w:hanging="331"/>
      </w:pPr>
      <w:r>
        <w:rPr>
          <w:b/>
        </w:rPr>
        <w:t xml:space="preserve">5. </w:t>
      </w:r>
      <w:r>
        <w:t>A valid sector model is assigned.</w:t>
      </w:r>
    </w:p>
    <w:p>
      <w:pPr>
        <w:pStyle w:val="ListBody"/>
        <w:ind w:left="490" w:hanging="331"/>
      </w:pPr>
      <w:r>
        <w:rPr>
          <w:b/>
        </w:rPr>
        <w:t xml:space="preserve">6. </w:t>
      </w:r>
      <w:r>
        <w:t>Minimum price history exists.</w:t>
      </w:r>
    </w:p>
    <w:p>
      <w:pPr>
        <w:pStyle w:val="ListBody"/>
        <w:ind w:left="490" w:hanging="331"/>
      </w:pPr>
      <w:r>
        <w:rPr>
          <w:b/>
        </w:rPr>
        <w:t xml:space="preserve">7. </w:t>
      </w:r>
      <w:r>
        <w:t>Minimum financial history exists or a limited-history classification is assigned.</w:t>
      </w:r>
    </w:p>
    <w:p>
      <w:pPr>
        <w:pStyle w:val="ListBody"/>
        <w:ind w:left="490" w:hanging="331"/>
      </w:pPr>
      <w:r>
        <w:rPr>
          <w:b/>
        </w:rPr>
        <w:t xml:space="preserve">8. </w:t>
      </w:r>
      <w:r>
        <w:t>Latest critical filings are available.</w:t>
      </w:r>
    </w:p>
    <w:p>
      <w:pPr>
        <w:pStyle w:val="ListBody"/>
        <w:ind w:left="490" w:hanging="331"/>
      </w:pPr>
      <w:r>
        <w:rPr>
          <w:b/>
        </w:rPr>
        <w:t xml:space="preserve">9. </w:t>
      </w:r>
      <w:r>
        <w:t>Financial facts reconcile within tolerance.</w:t>
      </w:r>
    </w:p>
    <w:p>
      <w:pPr>
        <w:pStyle w:val="ListBody"/>
        <w:ind w:left="490" w:hanging="331"/>
      </w:pPr>
      <w:r>
        <w:rPr>
          <w:b/>
        </w:rPr>
        <w:t xml:space="preserve">10. </w:t>
      </w:r>
      <w:r>
        <w:t>Liquidity meets the user’s position requirements.</w:t>
      </w:r>
    </w:p>
    <w:p>
      <w:pPr>
        <w:pStyle w:val="ListBody"/>
        <w:ind w:left="490" w:hanging="331"/>
      </w:pPr>
      <w:r>
        <w:rPr>
          <w:b/>
        </w:rPr>
        <w:t xml:space="preserve">11. </w:t>
      </w:r>
      <w:r>
        <w:t>No Level-1 hard gate exists.</w:t>
      </w:r>
    </w:p>
    <w:p>
      <w:pPr>
        <w:pStyle w:val="ListBody"/>
        <w:ind w:left="490" w:hanging="331"/>
      </w:pPr>
      <w:r>
        <w:rPr>
          <w:b/>
        </w:rPr>
        <w:t xml:space="preserve">12. </w:t>
      </w:r>
      <w:r>
        <w:t>Data Confidence meets the minimum.</w:t>
      </w:r>
    </w:p>
    <w:p>
      <w:pPr>
        <w:pStyle w:val="ListBody"/>
        <w:ind w:left="490" w:hanging="331"/>
      </w:pPr>
      <w:r>
        <w:rPr>
          <w:b/>
        </w:rPr>
        <w:t xml:space="preserve">13. </w:t>
      </w:r>
      <w:r>
        <w:t>Corporate actions are reconciled.</w:t>
      </w:r>
    </w:p>
    <w:p>
      <w:pPr>
        <w:pStyle w:val="ListBody"/>
        <w:ind w:left="490" w:hanging="331"/>
      </w:pPr>
      <w:r>
        <w:rPr>
          <w:b/>
        </w:rPr>
        <w:t xml:space="preserve">14. </w:t>
      </w:r>
      <w:r>
        <w:t>Data usage is permitted.</w:t>
      </w:r>
    </w:p>
    <w:p>
      <w:pPr>
        <w:spacing w:after="0"/>
      </w:pPr>
      <w:r/>
    </w:p>
    <w:p>
      <w:pPr>
        <w:pStyle w:val="Heading1"/>
        <w:pBdr>
          <w:bottom w:val="single" w:sz="4" w:space="5" w:color="7A9AAA"/>
        </w:pBdr>
        <w:keepNext/>
      </w:pPr>
      <w:r>
        <w:t>16. Universe groups</w:t>
      </w:r>
    </w:p>
    <w:p>
      <w:pPr/>
      <w:r>
        <w:t>Maintain separate ranking groups for:</w:t>
      </w:r>
    </w:p>
    <w:p>
      <w:pPr>
        <w:pStyle w:val="ListBody"/>
        <w:ind w:left="490" w:hanging="331"/>
      </w:pPr>
      <w:r>
        <w:rPr>
          <w:b/>
        </w:rPr>
        <w:t xml:space="preserve">• </w:t>
      </w:r>
      <w:r>
        <w:t>Large cap.</w:t>
      </w:r>
    </w:p>
    <w:p>
      <w:pPr>
        <w:pStyle w:val="ListBody"/>
        <w:ind w:left="490" w:hanging="331"/>
      </w:pPr>
      <w:r>
        <w:rPr>
          <w:b/>
        </w:rPr>
        <w:t xml:space="preserve">• </w:t>
      </w:r>
      <w:r>
        <w:t>Mid cap.</w:t>
      </w:r>
    </w:p>
    <w:p>
      <w:pPr>
        <w:pStyle w:val="ListBody"/>
        <w:ind w:left="490" w:hanging="331"/>
      </w:pPr>
      <w:r>
        <w:rPr>
          <w:b/>
        </w:rPr>
        <w:t xml:space="preserve">• </w:t>
      </w:r>
      <w:r>
        <w:t>Small cap.</w:t>
      </w:r>
    </w:p>
    <w:p>
      <w:pPr>
        <w:pStyle w:val="ListBody"/>
        <w:ind w:left="490" w:hanging="331"/>
      </w:pPr>
      <w:r>
        <w:rPr>
          <w:b/>
        </w:rPr>
        <w:t xml:space="preserve">• </w:t>
      </w:r>
      <w:r>
        <w:t>Micro cap.</w:t>
      </w:r>
    </w:p>
    <w:p>
      <w:pPr>
        <w:pStyle w:val="ListBody"/>
        <w:ind w:left="490" w:hanging="331"/>
      </w:pPr>
      <w:r>
        <w:rPr>
          <w:b/>
        </w:rPr>
        <w:t xml:space="preserve">• </w:t>
      </w:r>
      <w:r>
        <w:t>SME.</w:t>
      </w:r>
    </w:p>
    <w:p>
      <w:pPr>
        <w:pStyle w:val="ListBody"/>
        <w:ind w:left="490" w:hanging="331"/>
      </w:pPr>
      <w:r>
        <w:rPr>
          <w:b/>
        </w:rPr>
        <w:t xml:space="preserve">• </w:t>
      </w:r>
      <w:r>
        <w:t>New listings.</w:t>
      </w:r>
    </w:p>
    <w:p>
      <w:pPr>
        <w:pStyle w:val="ListBody"/>
        <w:ind w:left="490" w:hanging="331"/>
      </w:pPr>
      <w:r>
        <w:rPr>
          <w:b/>
        </w:rPr>
        <w:t xml:space="preserve">• </w:t>
      </w:r>
      <w:r>
        <w:t>Banks.</w:t>
      </w:r>
    </w:p>
    <w:p>
      <w:pPr>
        <w:pStyle w:val="ListBody"/>
        <w:ind w:left="490" w:hanging="331"/>
      </w:pPr>
      <w:r>
        <w:rPr>
          <w:b/>
        </w:rPr>
        <w:t xml:space="preserve">• </w:t>
      </w:r>
      <w:r>
        <w:t>NBFCs and HFCs.</w:t>
      </w:r>
    </w:p>
    <w:p>
      <w:pPr>
        <w:pStyle w:val="ListBody"/>
        <w:ind w:left="490" w:hanging="331"/>
      </w:pPr>
      <w:r>
        <w:rPr>
          <w:b/>
        </w:rPr>
        <w:t xml:space="preserve">• </w:t>
      </w:r>
      <w:r>
        <w:t>Life insurers.</w:t>
      </w:r>
    </w:p>
    <w:p>
      <w:pPr>
        <w:pStyle w:val="ListBody"/>
        <w:ind w:left="490" w:hanging="331"/>
      </w:pPr>
      <w:r>
        <w:rPr>
          <w:b/>
        </w:rPr>
        <w:t xml:space="preserve">• </w:t>
      </w:r>
      <w:r>
        <w:t>General insurers.</w:t>
      </w:r>
    </w:p>
    <w:p>
      <w:pPr>
        <w:pStyle w:val="ListBody"/>
        <w:ind w:left="490" w:hanging="331"/>
      </w:pPr>
      <w:r>
        <w:rPr>
          <w:b/>
        </w:rPr>
        <w:t xml:space="preserve">• </w:t>
      </w:r>
      <w:r>
        <w:t>REITs.</w:t>
      </w:r>
    </w:p>
    <w:p>
      <w:pPr>
        <w:pStyle w:val="ListBody"/>
        <w:ind w:left="490" w:hanging="331"/>
      </w:pPr>
      <w:r>
        <w:rPr>
          <w:b/>
        </w:rPr>
        <w:t xml:space="preserve">• </w:t>
      </w:r>
      <w:r>
        <w:t>InvITs.</w:t>
      </w:r>
    </w:p>
    <w:p>
      <w:pPr>
        <w:pStyle w:val="ListBody"/>
        <w:ind w:left="490" w:hanging="331"/>
      </w:pPr>
      <w:r>
        <w:rPr>
          <w:b/>
        </w:rPr>
        <w:t xml:space="preserve">• </w:t>
      </w:r>
      <w:r>
        <w:t>Holding companies.</w:t>
      </w:r>
    </w:p>
    <w:p>
      <w:pPr>
        <w:pStyle w:val="ListBody"/>
        <w:ind w:left="490" w:hanging="331"/>
      </w:pPr>
      <w:r>
        <w:rPr>
          <w:b/>
        </w:rPr>
        <w:t xml:space="preserve">• </w:t>
      </w:r>
      <w:r>
        <w:t>Commodity cyclicals.</w:t>
      </w:r>
    </w:p>
    <w:p>
      <w:pPr>
        <w:pStyle w:val="ListBody"/>
        <w:ind w:left="490" w:hanging="331"/>
      </w:pPr>
      <w:r>
        <w:rPr>
          <w:b/>
        </w:rPr>
        <w:t xml:space="preserve">• </w:t>
      </w:r>
      <w:r>
        <w:t>Turnarounds.</w:t>
      </w:r>
    </w:p>
    <w:p>
      <w:pPr>
        <w:pStyle w:val="ListBody"/>
        <w:ind w:left="490" w:hanging="331"/>
      </w:pPr>
      <w:r>
        <w:rPr>
          <w:b/>
        </w:rPr>
        <w:t xml:space="preserve">• </w:t>
      </w:r>
      <w:r>
        <w:t>Special situations.</w:t>
      </w:r>
    </w:p>
    <w:p>
      <w:pPr>
        <w:pStyle w:val="ListBody"/>
        <w:ind w:left="490" w:hanging="331"/>
      </w:pPr>
      <w:r>
        <w:rPr>
          <w:b/>
        </w:rPr>
        <w:t xml:space="preserve">• </w:t>
      </w:r>
      <w:r>
        <w:t>F&amp;O-eligible stocks.</w:t>
      </w:r>
    </w:p>
    <w:p>
      <w:pPr/>
      <w:r>
        <w:t>SME and liquid main-board securities must not share a single unrestricted actionable leaderboard.</w:t>
      </w:r>
    </w:p>
    <w:p>
      <w:pPr>
        <w:spacing w:after="0"/>
      </w:pPr>
      <w:r/>
    </w:p>
    <w:p>
      <w:pPr>
        <w:pStyle w:val="Heading1"/>
        <w:pBdr>
          <w:bottom w:val="single" w:sz="4" w:space="5" w:color="7A9AAA"/>
        </w:pBdr>
        <w:keepNext/>
      </w:pPr>
      <w:r>
        <w:t>17. IPO and limited-history handling</w:t>
      </w:r>
    </w:p>
    <w:p>
      <w:pPr/>
      <w:r>
        <w:t>Suggested classification:</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blHeader w:val="true"/>
        </w:trPr>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History</w:t>
            </w:r>
          </w:p>
        </w:tc>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Classification</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Under 126 trading sessions</w:t>
            </w:r>
          </w:p>
        </w:tc>
        <w:tc>
          <w:tcPr>
            <w:tcW w:type="dxa" w:w="4997"/>
            <w:vAlign w:val="center"/>
            <w:tcMar>
              <w:top w:w="55" w:type="dxa"/>
              <w:start w:w="65" w:type="dxa"/>
              <w:bottom w:w="55" w:type="dxa"/>
              <w:end w:w="65" w:type="dxa"/>
            </w:tcMar>
          </w:tcPr>
          <w:p>
            <w:pPr>
              <w:spacing w:after="0"/>
            </w:pPr>
            <w:r>
              <w:rPr>
                <w:rFonts w:ascii="Cambria" w:hAnsi="Cambria"/>
                <w:sz w:val="18"/>
              </w:rPr>
              <w:t>New Listing</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126–251 sessions</w:t>
            </w:r>
          </w:p>
        </w:tc>
        <w:tc>
          <w:tcPr>
            <w:tcW w:type="dxa" w:w="4997"/>
            <w:vAlign w:val="center"/>
            <w:tcMar>
              <w:top w:w="55" w:type="dxa"/>
              <w:start w:w="65" w:type="dxa"/>
              <w:bottom w:w="55" w:type="dxa"/>
              <w:end w:w="65" w:type="dxa"/>
            </w:tcMar>
            <w:shd w:fill="F8FAFB"/>
          </w:tcPr>
          <w:p>
            <w:pPr>
              <w:spacing w:after="0"/>
            </w:pPr>
            <w:r>
              <w:rPr>
                <w:rFonts w:ascii="Cambria" w:hAnsi="Cambria"/>
                <w:sz w:val="18"/>
              </w:rPr>
              <w:t>Limited Technical History</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Under three annual periods</w:t>
            </w:r>
          </w:p>
        </w:tc>
        <w:tc>
          <w:tcPr>
            <w:tcW w:type="dxa" w:w="4997"/>
            <w:vAlign w:val="center"/>
            <w:tcMar>
              <w:top w:w="55" w:type="dxa"/>
              <w:start w:w="65" w:type="dxa"/>
              <w:bottom w:w="55" w:type="dxa"/>
              <w:end w:w="65" w:type="dxa"/>
            </w:tcMar>
          </w:tcPr>
          <w:p>
            <w:pPr>
              <w:spacing w:after="0"/>
            </w:pPr>
            <w:r>
              <w:rPr>
                <w:rFonts w:ascii="Cambria" w:hAnsi="Cambria"/>
                <w:sz w:val="18"/>
              </w:rPr>
              <w:t>Limited Fundamental History</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Three or more annual periods</w:t>
            </w:r>
          </w:p>
        </w:tc>
        <w:tc>
          <w:tcPr>
            <w:tcW w:type="dxa" w:w="4997"/>
            <w:vAlign w:val="center"/>
            <w:tcMar>
              <w:top w:w="55" w:type="dxa"/>
              <w:start w:w="65" w:type="dxa"/>
              <w:bottom w:w="55" w:type="dxa"/>
              <w:end w:w="65" w:type="dxa"/>
            </w:tcMar>
            <w:shd w:fill="F8FAFB"/>
          </w:tcPr>
          <w:p>
            <w:pPr>
              <w:spacing w:after="0"/>
            </w:pPr>
            <w:r>
              <w:rPr>
                <w:rFonts w:ascii="Cambria" w:hAnsi="Cambria"/>
                <w:sz w:val="18"/>
              </w:rPr>
              <w:t>Standard Fundamental Eligibility</w:t>
            </w:r>
          </w:p>
        </w:tc>
      </w:tr>
    </w:tbl>
    <w:p>
      <w:pPr>
        <w:spacing w:after="20"/>
      </w:pPr>
    </w:p>
    <w:p>
      <w:pPr/>
      <w:r>
        <w:t>Limited-history companies receive:</w:t>
      </w:r>
    </w:p>
    <w:p>
      <w:pPr>
        <w:pStyle w:val="ListBody"/>
        <w:ind w:left="490" w:hanging="331"/>
      </w:pPr>
      <w:r>
        <w:rPr>
          <w:b/>
        </w:rPr>
        <w:t xml:space="preserve">• </w:t>
      </w:r>
      <w:r>
        <w:t>Data Confidence penalty.</w:t>
      </w:r>
    </w:p>
    <w:p>
      <w:pPr>
        <w:pStyle w:val="ListBody"/>
        <w:ind w:left="490" w:hanging="331"/>
      </w:pPr>
      <w:r>
        <w:rPr>
          <w:b/>
        </w:rPr>
        <w:t xml:space="preserve">• </w:t>
      </w:r>
      <w:r>
        <w:t>Lower position cap.</w:t>
      </w:r>
    </w:p>
    <w:p>
      <w:pPr>
        <w:pStyle w:val="ListBody"/>
        <w:ind w:left="490" w:hanging="331"/>
      </w:pPr>
      <w:r>
        <w:rPr>
          <w:b/>
        </w:rPr>
        <w:t xml:space="preserve">• </w:t>
      </w:r>
      <w:r>
        <w:t>Higher liquidity requirement.</w:t>
      </w:r>
    </w:p>
    <w:p>
      <w:pPr>
        <w:pStyle w:val="ListBody"/>
        <w:ind w:left="490" w:hanging="331"/>
      </w:pPr>
      <w:r>
        <w:rPr>
          <w:b/>
        </w:rPr>
        <w:t xml:space="preserve">• </w:t>
      </w:r>
      <w:r>
        <w:t>Higher monitoring frequency.</w:t>
      </w:r>
    </w:p>
    <w:p>
      <w:pPr>
        <w:pStyle w:val="ListBody"/>
        <w:ind w:left="490" w:hanging="331"/>
      </w:pPr>
      <w:r>
        <w:rPr>
          <w:b/>
        </w:rPr>
        <w:t xml:space="preserve">• </w:t>
      </w:r>
      <w:r>
        <w:t>Lower maximum long-term recommendation before full research.</w:t>
      </w:r>
    </w:p>
    <w:p>
      <w:pPr>
        <w:pStyle w:val="ListBody"/>
        <w:ind w:left="490" w:hanging="331"/>
      </w:pPr>
      <w:r>
        <w:rPr>
          <w:b/>
        </w:rPr>
        <w:t xml:space="preserve">• </w:t>
      </w:r>
      <w:r>
        <w:t>Separate rank classification.</w:t>
      </w:r>
    </w:p>
    <w:p>
      <w:pPr>
        <w:spacing w:after="0"/>
      </w:pPr>
      <w:r/>
    </w:p>
    <w:p>
      <w:pPr>
        <w:pStyle w:val="Heading1"/>
        <w:pBdr>
          <w:bottom w:val="single" w:sz="4" w:space="5" w:color="7A9AAA"/>
        </w:pBdr>
        <w:keepNext/>
      </w:pPr>
      <w:r>
        <w:t>18. Liquidity and capacity model</w:t>
      </w:r>
    </w:p>
    <w:p>
      <w:pPr/>
      <w:r>
        <w:t>Liquidity must be relative to intended capital.</w:t>
      </w:r>
    </w:p>
    <w:p>
      <w:pPr>
        <w:pStyle w:val="Heading2"/>
        <w:keepNext/>
      </w:pPr>
      <w:r>
        <w:t>18.1 Required liquidity</w:t>
      </w:r>
    </w:p>
    <w:p>
      <w:pPr>
        <w:pStyle w:val="FormulaBlock"/>
        <w:shd w:fill="F5F8FA"/>
      </w:pPr>
      <w:r>
        <w:t>[ RequiredMedianADV = IntendedPositionValue / MaximumParticipationRate ]</w:t>
      </w:r>
    </w:p>
    <w:p>
      <w:pPr>
        <w:pStyle w:val="Heading2"/>
        <w:keepNext/>
      </w:pPr>
      <w:r>
        <w:t>18.2 Estimated exit period</w:t>
      </w:r>
    </w:p>
    <w:p>
      <w:pPr>
        <w:pStyle w:val="FormulaBlock"/>
        <w:shd w:fill="F5F8FA"/>
      </w:pPr>
      <w:r>
        <w:t>[ ExitDays = PositionValue / (MedianDailyTradedValue x AllowedParticipation) ]</w:t>
      </w:r>
    </w:p>
    <w:p>
      <w:pPr>
        <w:pStyle w:val="Heading2"/>
        <w:keepNext/>
      </w:pPr>
      <w:r>
        <w:t>18.3 Liquidity features</w:t>
      </w:r>
    </w:p>
    <w:p>
      <w:pPr>
        <w:pStyle w:val="ListBody"/>
        <w:ind w:left="490" w:hanging="331"/>
      </w:pPr>
      <w:r>
        <w:rPr>
          <w:b/>
        </w:rPr>
        <w:t xml:space="preserve">• </w:t>
      </w:r>
      <w:r>
        <w:t>20-day median traded value.</w:t>
      </w:r>
    </w:p>
    <w:p>
      <w:pPr>
        <w:pStyle w:val="ListBody"/>
        <w:ind w:left="490" w:hanging="331"/>
      </w:pPr>
      <w:r>
        <w:rPr>
          <w:b/>
        </w:rPr>
        <w:t xml:space="preserve">• </w:t>
      </w:r>
      <w:r>
        <w:t>60-day median traded value.</w:t>
      </w:r>
    </w:p>
    <w:p>
      <w:pPr>
        <w:pStyle w:val="ListBody"/>
        <w:ind w:left="490" w:hanging="331"/>
      </w:pPr>
      <w:r>
        <w:rPr>
          <w:b/>
        </w:rPr>
        <w:t xml:space="preserve">• </w:t>
      </w:r>
      <w:r>
        <w:t>120-day median traded value.</w:t>
      </w:r>
    </w:p>
    <w:p>
      <w:pPr>
        <w:pStyle w:val="ListBody"/>
        <w:ind w:left="490" w:hanging="331"/>
      </w:pPr>
      <w:r>
        <w:rPr>
          <w:b/>
        </w:rPr>
        <w:t xml:space="preserve">• </w:t>
      </w:r>
      <w:r>
        <w:t>Percentage of valid trading days.</w:t>
      </w:r>
    </w:p>
    <w:p>
      <w:pPr>
        <w:pStyle w:val="ListBody"/>
        <w:ind w:left="490" w:hanging="331"/>
      </w:pPr>
      <w:r>
        <w:rPr>
          <w:b/>
        </w:rPr>
        <w:t xml:space="preserve">• </w:t>
      </w:r>
      <w:r>
        <w:t>Zero-volume days.</w:t>
      </w:r>
    </w:p>
    <w:p>
      <w:pPr>
        <w:pStyle w:val="ListBody"/>
        <w:ind w:left="490" w:hanging="331"/>
      </w:pPr>
      <w:r>
        <w:rPr>
          <w:b/>
        </w:rPr>
        <w:t xml:space="preserve">• </w:t>
      </w:r>
      <w:r>
        <w:t>Number of trades where available.</w:t>
      </w:r>
    </w:p>
    <w:p>
      <w:pPr>
        <w:pStyle w:val="ListBody"/>
        <w:ind w:left="490" w:hanging="331"/>
      </w:pPr>
      <w:r>
        <w:rPr>
          <w:b/>
        </w:rPr>
        <w:t xml:space="preserve">• </w:t>
      </w:r>
      <w:r>
        <w:t>Free-float market capitalization.</w:t>
      </w:r>
    </w:p>
    <w:p>
      <w:pPr>
        <w:pStyle w:val="ListBody"/>
        <w:ind w:left="490" w:hanging="331"/>
      </w:pPr>
      <w:r>
        <w:rPr>
          <w:b/>
        </w:rPr>
        <w:t xml:space="preserve">• </w:t>
      </w:r>
      <w:r>
        <w:t>Bid-ask spread where available.</w:t>
      </w:r>
    </w:p>
    <w:p>
      <w:pPr>
        <w:pStyle w:val="ListBody"/>
        <w:ind w:left="490" w:hanging="331"/>
      </w:pPr>
      <w:r>
        <w:rPr>
          <w:b/>
        </w:rPr>
        <w:t xml:space="preserve">• </w:t>
      </w:r>
      <w:r>
        <w:t>Amihud-type illiquidity.</w:t>
      </w:r>
    </w:p>
    <w:p>
      <w:pPr>
        <w:pStyle w:val="ListBody"/>
        <w:ind w:left="490" w:hanging="331"/>
      </w:pPr>
      <w:r>
        <w:rPr>
          <w:b/>
        </w:rPr>
        <w:t xml:space="preserve">• </w:t>
      </w:r>
      <w:r>
        <w:t>Circuit frequency.</w:t>
      </w:r>
    </w:p>
    <w:p>
      <w:pPr>
        <w:pStyle w:val="ListBody"/>
        <w:ind w:left="490" w:hanging="331"/>
      </w:pPr>
      <w:r>
        <w:rPr>
          <w:b/>
        </w:rPr>
        <w:t xml:space="preserve">• </w:t>
      </w:r>
      <w:r>
        <w:t>Price-gap frequency.</w:t>
      </w:r>
    </w:p>
    <w:p>
      <w:pPr>
        <w:pStyle w:val="ListBody"/>
        <w:ind w:left="490" w:hanging="331"/>
      </w:pPr>
      <w:r>
        <w:rPr>
          <w:b/>
        </w:rPr>
        <w:t xml:space="preserve">• </w:t>
      </w:r>
      <w:r>
        <w:t>Average overnight gap.</w:t>
      </w:r>
    </w:p>
    <w:p>
      <w:pPr>
        <w:pStyle w:val="ListBody"/>
        <w:ind w:left="490" w:hanging="331"/>
      </w:pPr>
      <w:r>
        <w:rPr>
          <w:b/>
        </w:rPr>
        <w:t xml:space="preserve">• </w:t>
      </w:r>
      <w:r>
        <w:t>Estimated market impact.</w:t>
      </w:r>
    </w:p>
    <w:p>
      <w:pPr>
        <w:pStyle w:val="ListBody"/>
        <w:ind w:left="490" w:hanging="331"/>
      </w:pPr>
      <w:r>
        <w:rPr>
          <w:b/>
        </w:rPr>
        <w:t xml:space="preserve">• </w:t>
      </w:r>
      <w:r>
        <w:t>Estimated exit days.</w:t>
      </w:r>
    </w:p>
    <w:p>
      <w:pPr>
        <w:pStyle w:val="ListBody"/>
        <w:ind w:left="490" w:hanging="331"/>
      </w:pPr>
      <w:r>
        <w:rPr>
          <w:b/>
        </w:rPr>
        <w:t xml:space="preserve">• </w:t>
      </w:r>
      <w:r>
        <w:t>Delivery liquidity where reliable.</w:t>
      </w:r>
    </w:p>
    <w:p>
      <w:pPr>
        <w:pStyle w:val="Heading2"/>
        <w:keepNext/>
      </w:pPr>
      <w:r>
        <w:t>18.4 Trading-continuity score</w:t>
      </w:r>
    </w:p>
    <w:p>
      <w:pPr>
        <w:pStyle w:val="FormulaBlock"/>
        <w:shd w:fill="F5F8FA"/>
      </w:pPr>
      <w:r>
        <w:t>[ Continuity = ActualTradingDays / ExpectedTradingDays ]</w:t>
      </w:r>
    </w:p>
    <w:p>
      <w:pPr/>
      <w:r>
        <w:t>A stock that cannot be exited within the configured risk limit must be excluded or position-capped.</w:t>
      </w:r>
    </w:p>
    <w:p>
      <w:pPr>
        <w:spacing w:after="0"/>
      </w:pPr>
      <w:r/>
    </w:p>
    <w:p>
      <w:pPr>
        <w:pStyle w:val="Heading1"/>
        <w:pBdr>
          <w:bottom w:val="single" w:sz="4" w:space="5" w:color="7A9AAA"/>
        </w:pBdr>
        <w:keepNext/>
      </w:pPr>
      <w:r>
        <w:t>19. Financial-statement normalization</w:t>
      </w:r>
    </w:p>
    <w:p>
      <w:pPr>
        <w:pStyle w:val="Heading2"/>
        <w:keepNext/>
      </w:pPr>
      <w:r>
        <w:t>19.1 Consolidated versus standalone</w:t>
      </w:r>
    </w:p>
    <w:p>
      <w:pPr/>
      <w:r>
        <w:t>Default:</w:t>
      </w:r>
    </w:p>
    <w:p>
      <w:pPr>
        <w:pStyle w:val="ListBody"/>
        <w:ind w:left="490" w:hanging="331"/>
      </w:pPr>
      <w:r>
        <w:rPr>
          <w:b/>
        </w:rPr>
        <w:t xml:space="preserve">• </w:t>
      </w:r>
      <w:r>
        <w:t>Consolidated accounts for group operating economics.</w:t>
      </w:r>
    </w:p>
    <w:p>
      <w:pPr>
        <w:pStyle w:val="ListBody"/>
        <w:ind w:left="490" w:hanging="331"/>
      </w:pPr>
      <w:r>
        <w:rPr>
          <w:b/>
        </w:rPr>
        <w:t xml:space="preserve">• </w:t>
      </w:r>
      <w:r>
        <w:t>Standalone accounts for parent liquidity, guarantees, dividend capacity, and holding-company risks.</w:t>
      </w:r>
    </w:p>
    <w:p>
      <w:pPr>
        <w:pStyle w:val="ListBody"/>
        <w:ind w:left="490" w:hanging="331"/>
      </w:pPr>
      <w:r>
        <w:rPr>
          <w:b/>
        </w:rPr>
        <w:t xml:space="preserve">• </w:t>
      </w:r>
      <w:r>
        <w:t>Both for conglomerates and material subsidiary structures.</w:t>
      </w:r>
    </w:p>
    <w:p>
      <w:pPr/>
      <w:r>
        <w:t>Every financial fact must include:</w:t>
      </w:r>
    </w:p>
    <w:p>
      <w:pPr/>
      <w:r>
        <w:t>scope = standalone | consolidated</w:t>
      </w:r>
    </w:p>
    <w:p>
      <w:pPr/>
      <w:r>
        <w:t>The system must not combine standalone revenue with consolidated debt or consolidated cash flow without an explicit calculation.</w:t>
      </w:r>
    </w:p>
    <w:p>
      <w:pPr>
        <w:pStyle w:val="Heading2"/>
        <w:keepNext/>
      </w:pPr>
      <w:r>
        <w:t>19.2 Units and currencies</w:t>
      </w:r>
    </w:p>
    <w:p>
      <w:pPr/>
      <w:r>
        <w:t>Store:</w:t>
      </w:r>
    </w:p>
    <w:p>
      <w:pPr/>
      <w:r>
        <w:t>reported_value</w:t>
        <w:br/>
        <w:t>reported_unit</w:t>
        <w:br/>
        <w:t>reported_currency</w:t>
        <w:br/>
        <w:t>normalized_value</w:t>
        <w:br/>
        <w:t>normalized_unit</w:t>
        <w:br/>
        <w:t>normalized_currency</w:t>
        <w:br/>
        <w:t>conversion_rate</w:t>
        <w:br/>
        <w:t>conversion_date</w:t>
      </w:r>
    </w:p>
    <w:p>
      <w:pPr/>
      <w:r>
        <w:t>Support:</w:t>
      </w:r>
    </w:p>
    <w:p>
      <w:pPr>
        <w:pStyle w:val="ListBody"/>
        <w:ind w:left="490" w:hanging="331"/>
      </w:pPr>
      <w:r>
        <w:rPr>
          <w:b/>
        </w:rPr>
        <w:t xml:space="preserve">• </w:t>
      </w:r>
      <w:r>
        <w:t>Rupees.</w:t>
      </w:r>
    </w:p>
    <w:p>
      <w:pPr>
        <w:pStyle w:val="ListBody"/>
        <w:ind w:left="490" w:hanging="331"/>
      </w:pPr>
      <w:r>
        <w:rPr>
          <w:b/>
        </w:rPr>
        <w:t xml:space="preserve">• </w:t>
      </w:r>
      <w:r>
        <w:t>Thousands.</w:t>
      </w:r>
    </w:p>
    <w:p>
      <w:pPr>
        <w:pStyle w:val="ListBody"/>
        <w:ind w:left="490" w:hanging="331"/>
      </w:pPr>
      <w:r>
        <w:rPr>
          <w:b/>
        </w:rPr>
        <w:t xml:space="preserve">• </w:t>
      </w:r>
      <w:r>
        <w:t>Lakhs.</w:t>
      </w:r>
    </w:p>
    <w:p>
      <w:pPr>
        <w:pStyle w:val="ListBody"/>
        <w:ind w:left="490" w:hanging="331"/>
      </w:pPr>
      <w:r>
        <w:rPr>
          <w:b/>
        </w:rPr>
        <w:t xml:space="preserve">• </w:t>
      </w:r>
      <w:r>
        <w:t>Millions.</w:t>
      </w:r>
    </w:p>
    <w:p>
      <w:pPr>
        <w:pStyle w:val="ListBody"/>
        <w:ind w:left="490" w:hanging="331"/>
      </w:pPr>
      <w:r>
        <w:rPr>
          <w:b/>
        </w:rPr>
        <w:t xml:space="preserve">• </w:t>
      </w:r>
      <w:r>
        <w:t>Crores.</w:t>
      </w:r>
    </w:p>
    <w:p>
      <w:pPr>
        <w:pStyle w:val="ListBody"/>
        <w:ind w:left="490" w:hanging="331"/>
      </w:pPr>
      <w:r>
        <w:rPr>
          <w:b/>
        </w:rPr>
        <w:t xml:space="preserve">• </w:t>
      </w:r>
      <w:r>
        <w:t>Foreign currencies.</w:t>
      </w:r>
    </w:p>
    <w:p>
      <w:pPr>
        <w:pStyle w:val="Heading2"/>
        <w:keepNext/>
      </w:pPr>
      <w:r>
        <w:t>19.3 Fiscal periods</w:t>
      </w:r>
    </w:p>
    <w:p>
      <w:pPr/>
      <w:r>
        <w:t>Support:</w:t>
      </w:r>
    </w:p>
    <w:p>
      <w:pPr>
        <w:pStyle w:val="ListBody"/>
        <w:ind w:left="490" w:hanging="331"/>
      </w:pPr>
      <w:r>
        <w:rPr>
          <w:b/>
        </w:rPr>
        <w:t xml:space="preserve">• </w:t>
      </w:r>
      <w:r>
        <w:t>March year-end.</w:t>
      </w:r>
    </w:p>
    <w:p>
      <w:pPr>
        <w:pStyle w:val="ListBody"/>
        <w:ind w:left="490" w:hanging="331"/>
      </w:pPr>
      <w:r>
        <w:rPr>
          <w:b/>
        </w:rPr>
        <w:t xml:space="preserve">• </w:t>
      </w:r>
      <w:r>
        <w:t>December year-end.</w:t>
      </w:r>
    </w:p>
    <w:p>
      <w:pPr>
        <w:pStyle w:val="ListBody"/>
        <w:ind w:left="490" w:hanging="331"/>
      </w:pPr>
      <w:r>
        <w:rPr>
          <w:b/>
        </w:rPr>
        <w:t xml:space="preserve">• </w:t>
      </w:r>
      <w:r>
        <w:t>Changed financial years.</w:t>
      </w:r>
    </w:p>
    <w:p>
      <w:pPr>
        <w:pStyle w:val="ListBody"/>
        <w:ind w:left="490" w:hanging="331"/>
      </w:pPr>
      <w:r>
        <w:rPr>
          <w:b/>
        </w:rPr>
        <w:t xml:space="preserve">• </w:t>
      </w:r>
      <w:r>
        <w:t>Stub periods.</w:t>
      </w:r>
    </w:p>
    <w:p>
      <w:pPr>
        <w:pStyle w:val="ListBody"/>
        <w:ind w:left="490" w:hanging="331"/>
      </w:pPr>
      <w:r>
        <w:rPr>
          <w:b/>
        </w:rPr>
        <w:t xml:space="preserve">• </w:t>
      </w:r>
      <w:r>
        <w:t>15-month periods.</w:t>
      </w:r>
    </w:p>
    <w:p>
      <w:pPr>
        <w:pStyle w:val="ListBody"/>
        <w:ind w:left="490" w:hanging="331"/>
      </w:pPr>
      <w:r>
        <w:rPr>
          <w:b/>
        </w:rPr>
        <w:t xml:space="preserve">• </w:t>
      </w:r>
      <w:r>
        <w:t>18-month periods.</w:t>
      </w:r>
    </w:p>
    <w:p>
      <w:pPr>
        <w:pStyle w:val="ListBody"/>
        <w:ind w:left="490" w:hanging="331"/>
      </w:pPr>
      <w:r>
        <w:rPr>
          <w:b/>
        </w:rPr>
        <w:t xml:space="preserve">• </w:t>
      </w:r>
      <w:r>
        <w:t>Restated comparatives.</w:t>
      </w:r>
    </w:p>
    <w:p>
      <w:pPr>
        <w:pStyle w:val="ListBody"/>
        <w:ind w:left="490" w:hanging="331"/>
      </w:pPr>
      <w:r>
        <w:rPr>
          <w:b/>
        </w:rPr>
        <w:t xml:space="preserve">• </w:t>
      </w:r>
      <w:r>
        <w:t>Duplicate quarters.</w:t>
      </w:r>
    </w:p>
    <w:p>
      <w:pPr>
        <w:pStyle w:val="ListBody"/>
        <w:ind w:left="490" w:hanging="331"/>
      </w:pPr>
      <w:r>
        <w:rPr>
          <w:b/>
        </w:rPr>
        <w:t xml:space="preserve">• </w:t>
      </w:r>
      <w:r>
        <w:t>Overlapping periods.</w:t>
      </w:r>
    </w:p>
    <w:p>
      <w:pPr/>
      <w:r>
        <w:t>Do not calculate CAGR across unequal periods without documented annualization.</w:t>
      </w:r>
    </w:p>
    <w:p>
      <w:pPr>
        <w:pStyle w:val="Heading2"/>
        <w:keepNext/>
      </w:pPr>
      <w:r>
        <w:t>19.4 TTM calculations</w:t>
      </w:r>
    </w:p>
    <w:p>
      <w:pPr>
        <w:pStyle w:val="FormulaBlock"/>
        <w:shd w:fill="F5F8FA"/>
      </w:pPr>
      <w:r>
        <w:t>[ TTM=Q_t+Q_{t-1}+Q_{t-2}+Q_{t-3} ]</w:t>
      </w:r>
    </w:p>
    <w:p>
      <w:pPr/>
      <w:r>
        <w:t>Before calculating, verify:</w:t>
      </w:r>
    </w:p>
    <w:p>
      <w:pPr>
        <w:pStyle w:val="ListBody"/>
        <w:ind w:left="490" w:hanging="331"/>
      </w:pPr>
      <w:r>
        <w:rPr>
          <w:b/>
        </w:rPr>
        <w:t xml:space="preserve">• </w:t>
      </w:r>
      <w:r>
        <w:t>Same scope.</w:t>
      </w:r>
    </w:p>
    <w:p>
      <w:pPr>
        <w:pStyle w:val="ListBody"/>
        <w:ind w:left="490" w:hanging="331"/>
      </w:pPr>
      <w:r>
        <w:rPr>
          <w:b/>
        </w:rPr>
        <w:t xml:space="preserve">• </w:t>
      </w:r>
      <w:r>
        <w:t>Same units.</w:t>
      </w:r>
    </w:p>
    <w:p>
      <w:pPr>
        <w:pStyle w:val="ListBody"/>
        <w:ind w:left="490" w:hanging="331"/>
      </w:pPr>
      <w:r>
        <w:rPr>
          <w:b/>
        </w:rPr>
        <w:t xml:space="preserve">• </w:t>
      </w:r>
      <w:r>
        <w:t>No duplicate transition quarter.</w:t>
      </w:r>
    </w:p>
    <w:p>
      <w:pPr>
        <w:pStyle w:val="ListBody"/>
        <w:ind w:left="490" w:hanging="331"/>
      </w:pPr>
      <w:r>
        <w:rPr>
          <w:b/>
        </w:rPr>
        <w:t xml:space="preserve">• </w:t>
      </w:r>
      <w:r>
        <w:t>No overlapping periods.</w:t>
      </w:r>
    </w:p>
    <w:p>
      <w:pPr>
        <w:pStyle w:val="ListBody"/>
        <w:ind w:left="490" w:hanging="331"/>
      </w:pPr>
      <w:r>
        <w:rPr>
          <w:b/>
        </w:rPr>
        <w:t xml:space="preserve">• </w:t>
      </w:r>
      <w:r>
        <w:t>Comparable accounting policy.</w:t>
      </w:r>
    </w:p>
    <w:p>
      <w:pPr>
        <w:spacing w:after="0"/>
      </w:pPr>
      <w:r/>
    </w:p>
    <w:p>
      <w:pPr>
        <w:pStyle w:val="Heading1"/>
        <w:pBdr>
          <w:bottom w:val="single" w:sz="4" w:space="5" w:color="7A9AAA"/>
        </w:pBdr>
        <w:keepNext/>
      </w:pPr>
      <w:r>
        <w:t>20. Financial reconciliation</w:t>
      </w:r>
    </w:p>
    <w:p>
      <w:pPr/>
      <w:r>
        <w:t>Required checks:</w:t>
      </w:r>
    </w:p>
    <w:p>
      <w:pPr>
        <w:pStyle w:val="FormulaBlock"/>
        <w:shd w:fill="F5F8FA"/>
      </w:pPr>
      <w:r>
        <w:t>[ Assets = Liabilities + Equity ]</w:t>
      </w:r>
    </w:p>
    <w:p>
      <w:pPr>
        <w:pStyle w:val="FormulaBlock"/>
        <w:shd w:fill="F5F8FA"/>
      </w:pPr>
      <w:r>
        <w:t>[ OpeningCash + CashFlowChange = ClosingCash ]</w:t>
      </w:r>
    </w:p>
    <w:p>
      <w:pPr/>
      <w:r>
        <w:t>Also reconcile:</w:t>
      </w:r>
    </w:p>
    <w:p>
      <w:pPr>
        <w:pStyle w:val="ListBody"/>
        <w:ind w:left="490" w:hanging="331"/>
      </w:pPr>
      <w:r>
        <w:rPr>
          <w:b/>
        </w:rPr>
        <w:t xml:space="preserve">• </w:t>
      </w:r>
      <w:r>
        <w:t>Segment revenue to total revenue.</w:t>
      </w:r>
    </w:p>
    <w:p>
      <w:pPr>
        <w:pStyle w:val="ListBody"/>
        <w:ind w:left="490" w:hanging="331"/>
      </w:pPr>
      <w:r>
        <w:rPr>
          <w:b/>
        </w:rPr>
        <w:t xml:space="preserve">• </w:t>
      </w:r>
      <w:r>
        <w:t>Segment profit to operating profit.</w:t>
      </w:r>
    </w:p>
    <w:p>
      <w:pPr>
        <w:pStyle w:val="ListBody"/>
        <w:ind w:left="490" w:hanging="331"/>
      </w:pPr>
      <w:r>
        <w:rPr>
          <w:b/>
        </w:rPr>
        <w:t xml:space="preserve">• </w:t>
      </w:r>
      <w:r>
        <w:t>Debt to financing notes.</w:t>
      </w:r>
    </w:p>
    <w:p>
      <w:pPr>
        <w:pStyle w:val="ListBody"/>
        <w:ind w:left="490" w:hanging="331"/>
      </w:pPr>
      <w:r>
        <w:rPr>
          <w:b/>
        </w:rPr>
        <w:t xml:space="preserve">• </w:t>
      </w:r>
      <w:r>
        <w:t>EPS to earnings and diluted shares.</w:t>
      </w:r>
    </w:p>
    <w:p>
      <w:pPr>
        <w:pStyle w:val="ListBody"/>
        <w:ind w:left="490" w:hanging="331"/>
      </w:pPr>
      <w:r>
        <w:rPr>
          <w:b/>
        </w:rPr>
        <w:t xml:space="preserve">• </w:t>
      </w:r>
      <w:r>
        <w:t>Share-count changes to equity events.</w:t>
      </w:r>
    </w:p>
    <w:p>
      <w:pPr>
        <w:pStyle w:val="ListBody"/>
        <w:ind w:left="490" w:hanging="331"/>
      </w:pPr>
      <w:r>
        <w:rPr>
          <w:b/>
        </w:rPr>
        <w:t xml:space="preserve">• </w:t>
      </w:r>
      <w:r>
        <w:t>Dividends to financing cash flow.</w:t>
      </w:r>
    </w:p>
    <w:p>
      <w:pPr>
        <w:pStyle w:val="ListBody"/>
        <w:ind w:left="490" w:hanging="331"/>
      </w:pPr>
      <w:r>
        <w:rPr>
          <w:b/>
        </w:rPr>
        <w:t xml:space="preserve">• </w:t>
      </w:r>
      <w:r>
        <w:t>Acquisitions to investing cash flow.</w:t>
      </w:r>
    </w:p>
    <w:p>
      <w:pPr>
        <w:pStyle w:val="ListBody"/>
        <w:ind w:left="490" w:hanging="331"/>
      </w:pPr>
      <w:r>
        <w:rPr>
          <w:b/>
        </w:rPr>
        <w:t xml:space="preserve">• </w:t>
      </w:r>
      <w:r>
        <w:t>Minority interests.</w:t>
      </w:r>
    </w:p>
    <w:p>
      <w:pPr>
        <w:pStyle w:val="ListBody"/>
        <w:ind w:left="490" w:hanging="331"/>
      </w:pPr>
      <w:r>
        <w:rPr>
          <w:b/>
        </w:rPr>
        <w:t xml:space="preserve">• </w:t>
      </w:r>
      <w:r>
        <w:t>Associate-company earnings.</w:t>
      </w:r>
    </w:p>
    <w:p>
      <w:pPr>
        <w:pStyle w:val="ListBody"/>
        <w:ind w:left="490" w:hanging="331"/>
      </w:pPr>
      <w:r>
        <w:rPr>
          <w:b/>
        </w:rPr>
        <w:t xml:space="preserve">• </w:t>
      </w:r>
      <w:r>
        <w:t>Lease liabilities.</w:t>
      </w:r>
    </w:p>
    <w:p>
      <w:pPr/>
      <w:r>
        <w:t>Each period receives a reconciliation status:</w:t>
      </w:r>
    </w:p>
    <w:p>
      <w:pPr/>
      <w:r>
        <w:t>RECONCILED</w:t>
        <w:br/>
        <w:t>RECONCILED_WITH_IMMATERIAL_VARIANCE</w:t>
        <w:br/>
        <w:t>PARTIALLY_RECONCILED</w:t>
        <w:br/>
        <w:t>UNRECONCILED</w:t>
        <w:br/>
        <w:t>REVISED</w:t>
        <w:br/>
        <w:t>RESTATED</w:t>
        <w:br/>
        <w:t>MISSING</w:t>
        <w:br/>
        <w:t>MANUAL_REVIEW</w:t>
      </w:r>
    </w:p>
    <w:p>
      <w:pPr>
        <w:spacing w:after="0"/>
      </w:pPr>
      <w:r/>
    </w:p>
    <w:p>
      <w:pPr>
        <w:pStyle w:val="Heading1"/>
        <w:pBdr>
          <w:bottom w:val="single" w:sz="4" w:space="5" w:color="7A9AAA"/>
        </w:pBdr>
        <w:keepNext/>
      </w:pPr>
      <w:r>
        <w:t>21. Normalized earnings</w:t>
      </w:r>
    </w:p>
    <w:p>
      <w:pPr/>
      <w:r>
        <w:t>Maintain both reported and normalized values.</w:t>
      </w:r>
    </w:p>
    <w:p>
      <w:pPr/>
      <w:r>
        <w:t>Potential adjustments:</w:t>
      </w:r>
    </w:p>
    <w:p>
      <w:pPr>
        <w:pStyle w:val="ListBody"/>
        <w:ind w:left="490" w:hanging="331"/>
      </w:pPr>
      <w:r>
        <w:rPr>
          <w:b/>
        </w:rPr>
        <w:t xml:space="preserve">• </w:t>
      </w:r>
      <w:r>
        <w:t>Exceptional gains.</w:t>
      </w:r>
    </w:p>
    <w:p>
      <w:pPr>
        <w:pStyle w:val="ListBody"/>
        <w:ind w:left="490" w:hanging="331"/>
      </w:pPr>
      <w:r>
        <w:rPr>
          <w:b/>
        </w:rPr>
        <w:t xml:space="preserve">• </w:t>
      </w:r>
      <w:r>
        <w:t>Asset sales.</w:t>
      </w:r>
    </w:p>
    <w:p>
      <w:pPr>
        <w:pStyle w:val="ListBody"/>
        <w:ind w:left="490" w:hanging="331"/>
      </w:pPr>
      <w:r>
        <w:rPr>
          <w:b/>
        </w:rPr>
        <w:t xml:space="preserve">• </w:t>
      </w:r>
      <w:r>
        <w:t>One-time tax credits.</w:t>
      </w:r>
    </w:p>
    <w:p>
      <w:pPr>
        <w:pStyle w:val="ListBody"/>
        <w:ind w:left="490" w:hanging="331"/>
      </w:pPr>
      <w:r>
        <w:rPr>
          <w:b/>
        </w:rPr>
        <w:t xml:space="preserve">• </w:t>
      </w:r>
      <w:r>
        <w:t>Impairments.</w:t>
      </w:r>
    </w:p>
    <w:p>
      <w:pPr>
        <w:pStyle w:val="ListBody"/>
        <w:ind w:left="490" w:hanging="331"/>
      </w:pPr>
      <w:r>
        <w:rPr>
          <w:b/>
        </w:rPr>
        <w:t xml:space="preserve">• </w:t>
      </w:r>
      <w:r>
        <w:t>Acquisition expenses.</w:t>
      </w:r>
    </w:p>
    <w:p>
      <w:pPr>
        <w:pStyle w:val="ListBody"/>
        <w:ind w:left="490" w:hanging="331"/>
      </w:pPr>
      <w:r>
        <w:rPr>
          <w:b/>
        </w:rPr>
        <w:t xml:space="preserve">• </w:t>
      </w:r>
      <w:r>
        <w:t>Discontinued operations.</w:t>
      </w:r>
    </w:p>
    <w:p>
      <w:pPr>
        <w:pStyle w:val="ListBody"/>
        <w:ind w:left="490" w:hanging="331"/>
      </w:pPr>
      <w:r>
        <w:rPr>
          <w:b/>
        </w:rPr>
        <w:t xml:space="preserve">• </w:t>
      </w:r>
      <w:r>
        <w:t>Foreign-exchange effects.</w:t>
      </w:r>
    </w:p>
    <w:p>
      <w:pPr>
        <w:pStyle w:val="ListBody"/>
        <w:ind w:left="490" w:hanging="331"/>
      </w:pPr>
      <w:r>
        <w:rPr>
          <w:b/>
        </w:rPr>
        <w:t xml:space="preserve">• </w:t>
      </w:r>
      <w:r>
        <w:t>Revaluation gains.</w:t>
      </w:r>
    </w:p>
    <w:p>
      <w:pPr>
        <w:pStyle w:val="ListBody"/>
        <w:ind w:left="490" w:hanging="331"/>
      </w:pPr>
      <w:r>
        <w:rPr>
          <w:b/>
        </w:rPr>
        <w:t xml:space="preserve">• </w:t>
      </w:r>
      <w:r>
        <w:t>Stock-based compensation.</w:t>
      </w:r>
    </w:p>
    <w:p>
      <w:pPr>
        <w:pStyle w:val="ListBody"/>
        <w:ind w:left="490" w:hanging="331"/>
      </w:pPr>
      <w:r>
        <w:rPr>
          <w:b/>
        </w:rPr>
        <w:t xml:space="preserve">• </w:t>
      </w:r>
      <w:r>
        <w:t>Aggressive capitalization.</w:t>
      </w:r>
    </w:p>
    <w:p>
      <w:pPr>
        <w:pStyle w:val="ListBody"/>
        <w:ind w:left="490" w:hanging="331"/>
      </w:pPr>
      <w:r>
        <w:rPr>
          <w:b/>
        </w:rPr>
        <w:t xml:space="preserve">• </w:t>
      </w:r>
      <w:r>
        <w:t>Lease adjustments.</w:t>
      </w:r>
    </w:p>
    <w:p>
      <w:pPr>
        <w:pStyle w:val="ListBody"/>
        <w:ind w:left="490" w:hanging="331"/>
      </w:pPr>
      <w:r>
        <w:rPr>
          <w:b/>
        </w:rPr>
        <w:t xml:space="preserve">• </w:t>
      </w:r>
      <w:r>
        <w:t>Minority interests.</w:t>
      </w:r>
    </w:p>
    <w:p>
      <w:pPr>
        <w:pStyle w:val="ListBody"/>
        <w:ind w:left="490" w:hanging="331"/>
      </w:pPr>
      <w:r>
        <w:rPr>
          <w:b/>
        </w:rPr>
        <w:t xml:space="preserve">• </w:t>
      </w:r>
      <w:r>
        <w:t>Associate income.</w:t>
      </w:r>
    </w:p>
    <w:p>
      <w:pPr>
        <w:pStyle w:val="ListBody"/>
        <w:ind w:left="490" w:hanging="331"/>
      </w:pPr>
      <w:r>
        <w:rPr>
          <w:b/>
        </w:rPr>
        <w:t xml:space="preserve">• </w:t>
      </w:r>
      <w:r>
        <w:t>One-time provisions.</w:t>
      </w:r>
    </w:p>
    <w:p>
      <w:pPr>
        <w:pStyle w:val="ListBody"/>
        <w:ind w:left="490" w:hanging="331"/>
      </w:pPr>
      <w:r>
        <w:rPr>
          <w:b/>
        </w:rPr>
        <w:t xml:space="preserve">• </w:t>
      </w:r>
      <w:r>
        <w:t>Restructuring charges.</w:t>
      </w:r>
    </w:p>
    <w:p>
      <w:pPr>
        <w:pStyle w:val="ListBody"/>
        <w:ind w:left="490" w:hanging="331"/>
      </w:pPr>
      <w:r>
        <w:rPr>
          <w:b/>
        </w:rPr>
        <w:t xml:space="preserve">• </w:t>
      </w:r>
      <w:r>
        <w:t>Litigation settlements.</w:t>
      </w:r>
    </w:p>
    <w:p>
      <w:pPr/>
      <w:r>
        <w:t>Every adjustment must include:</w:t>
      </w:r>
    </w:p>
    <w:p>
      <w:pPr/>
      <w:r>
        <w:t>source</w:t>
        <w:br/>
        <w:t>reported_value</w:t>
        <w:br/>
        <w:t>adjustment_value</w:t>
        <w:br/>
        <w:t>normalized_value</w:t>
        <w:br/>
        <w:t>reason</w:t>
        <w:br/>
        <w:t>method</w:t>
        <w:br/>
        <w:t>analyst_or_rule_owner</w:t>
        <w:br/>
        <w:t>confidence</w:t>
      </w:r>
    </w:p>
    <w:p>
      <w:pPr/>
      <w:r>
        <w:t>No normalization may occur silently.</w:t>
      </w:r>
    </w:p>
    <w:p>
      <w:pPr>
        <w:spacing w:after="0"/>
      </w:pPr>
      <w:r/>
    </w:p>
    <w:p>
      <w:pPr>
        <w:pStyle w:val="Heading1"/>
        <w:pBdr>
          <w:bottom w:val="single" w:sz="4" w:space="5" w:color="7A9AAA"/>
        </w:pBdr>
        <w:keepNext/>
      </w:pPr>
      <w:r>
        <w:t>22. Corporate-action engine</w:t>
      </w:r>
    </w:p>
    <w:p>
      <w:pPr/>
      <w:r>
        <w:t>Supported actions:</w:t>
      </w:r>
    </w:p>
    <w:p>
      <w:pPr>
        <w:pStyle w:val="ListBody"/>
        <w:ind w:left="490" w:hanging="331"/>
      </w:pPr>
      <w:r>
        <w:rPr>
          <w:b/>
        </w:rPr>
        <w:t xml:space="preserve">• </w:t>
      </w:r>
      <w:r>
        <w:t>Cash dividends.</w:t>
      </w:r>
    </w:p>
    <w:p>
      <w:pPr>
        <w:pStyle w:val="ListBody"/>
        <w:ind w:left="490" w:hanging="331"/>
      </w:pPr>
      <w:r>
        <w:rPr>
          <w:b/>
        </w:rPr>
        <w:t xml:space="preserve">• </w:t>
      </w:r>
      <w:r>
        <w:t>Stock splits.</w:t>
      </w:r>
    </w:p>
    <w:p>
      <w:pPr>
        <w:pStyle w:val="ListBody"/>
        <w:ind w:left="490" w:hanging="331"/>
      </w:pPr>
      <w:r>
        <w:rPr>
          <w:b/>
        </w:rPr>
        <w:t xml:space="preserve">• </w:t>
      </w:r>
      <w:r>
        <w:t>Bonus issues.</w:t>
      </w:r>
    </w:p>
    <w:p>
      <w:pPr>
        <w:pStyle w:val="ListBody"/>
        <w:ind w:left="490" w:hanging="331"/>
      </w:pPr>
      <w:r>
        <w:rPr>
          <w:b/>
        </w:rPr>
        <w:t xml:space="preserve">• </w:t>
      </w:r>
      <w:r>
        <w:t>Rights issues.</w:t>
      </w:r>
    </w:p>
    <w:p>
      <w:pPr>
        <w:pStyle w:val="ListBody"/>
        <w:ind w:left="490" w:hanging="331"/>
      </w:pPr>
      <w:r>
        <w:rPr>
          <w:b/>
        </w:rPr>
        <w:t xml:space="preserve">• </w:t>
      </w:r>
      <w:r>
        <w:t>Buybacks.</w:t>
      </w:r>
    </w:p>
    <w:p>
      <w:pPr>
        <w:pStyle w:val="ListBody"/>
        <w:ind w:left="490" w:hanging="331"/>
      </w:pPr>
      <w:r>
        <w:rPr>
          <w:b/>
        </w:rPr>
        <w:t xml:space="preserve">• </w:t>
      </w:r>
      <w:r>
        <w:t>Preferential issues.</w:t>
      </w:r>
    </w:p>
    <w:p>
      <w:pPr>
        <w:pStyle w:val="ListBody"/>
        <w:ind w:left="490" w:hanging="331"/>
      </w:pPr>
      <w:r>
        <w:rPr>
          <w:b/>
        </w:rPr>
        <w:t xml:space="preserve">• </w:t>
      </w:r>
      <w:r>
        <w:t>Qualified institutional placements.</w:t>
      </w:r>
    </w:p>
    <w:p>
      <w:pPr>
        <w:pStyle w:val="ListBody"/>
        <w:ind w:left="490" w:hanging="331"/>
      </w:pPr>
      <w:r>
        <w:rPr>
          <w:b/>
        </w:rPr>
        <w:t xml:space="preserve">• </w:t>
      </w:r>
      <w:r>
        <w:t>ESOP dilution.</w:t>
      </w:r>
    </w:p>
    <w:p>
      <w:pPr>
        <w:pStyle w:val="ListBody"/>
        <w:ind w:left="490" w:hanging="331"/>
      </w:pPr>
      <w:r>
        <w:rPr>
          <w:b/>
        </w:rPr>
        <w:t xml:space="preserve">• </w:t>
      </w:r>
      <w:r>
        <w:t>Mergers.</w:t>
      </w:r>
    </w:p>
    <w:p>
      <w:pPr>
        <w:pStyle w:val="ListBody"/>
        <w:ind w:left="490" w:hanging="331"/>
      </w:pPr>
      <w:r>
        <w:rPr>
          <w:b/>
        </w:rPr>
        <w:t xml:space="preserve">• </w:t>
      </w:r>
      <w:r>
        <w:t>Demergers.</w:t>
      </w:r>
    </w:p>
    <w:p>
      <w:pPr>
        <w:pStyle w:val="ListBody"/>
        <w:ind w:left="490" w:hanging="331"/>
      </w:pPr>
      <w:r>
        <w:rPr>
          <w:b/>
        </w:rPr>
        <w:t xml:space="preserve">• </w:t>
      </w:r>
      <w:r>
        <w:t>Spin-offs.</w:t>
      </w:r>
    </w:p>
    <w:p>
      <w:pPr>
        <w:pStyle w:val="ListBody"/>
        <w:ind w:left="490" w:hanging="331"/>
      </w:pPr>
      <w:r>
        <w:rPr>
          <w:b/>
        </w:rPr>
        <w:t xml:space="preserve">• </w:t>
      </w:r>
      <w:r>
        <w:t>Schemes of arrangement.</w:t>
      </w:r>
    </w:p>
    <w:p>
      <w:pPr>
        <w:pStyle w:val="ListBody"/>
        <w:ind w:left="490" w:hanging="331"/>
      </w:pPr>
      <w:r>
        <w:rPr>
          <w:b/>
        </w:rPr>
        <w:t xml:space="preserve">• </w:t>
      </w:r>
      <w:r>
        <w:t>Capital reductions.</w:t>
      </w:r>
    </w:p>
    <w:p>
      <w:pPr>
        <w:pStyle w:val="ListBody"/>
        <w:ind w:left="490" w:hanging="331"/>
      </w:pPr>
      <w:r>
        <w:rPr>
          <w:b/>
        </w:rPr>
        <w:t xml:space="preserve">• </w:t>
      </w:r>
      <w:r>
        <w:t>Face-value changes.</w:t>
      </w:r>
    </w:p>
    <w:p>
      <w:pPr>
        <w:pStyle w:val="Heading2"/>
        <w:keepNext/>
      </w:pPr>
      <w:r>
        <w:t>22.1 Price series</w:t>
      </w:r>
    </w:p>
    <w:p>
      <w:pPr/>
      <w:r>
        <w:t>Maintain:</w:t>
      </w:r>
    </w:p>
    <w:p>
      <w:pPr>
        <w:pStyle w:val="ListBody"/>
        <w:ind w:left="490" w:hanging="331"/>
      </w:pPr>
      <w:r>
        <w:rPr>
          <w:b/>
        </w:rPr>
        <w:t xml:space="preserve">• </w:t>
      </w:r>
      <w:r>
        <w:t>Raw price.</w:t>
      </w:r>
    </w:p>
    <w:p>
      <w:pPr>
        <w:pStyle w:val="ListBody"/>
        <w:ind w:left="490" w:hanging="331"/>
      </w:pPr>
      <w:r>
        <w:rPr>
          <w:b/>
        </w:rPr>
        <w:t xml:space="preserve">• </w:t>
      </w:r>
      <w:r>
        <w:t>Split-adjusted price.</w:t>
      </w:r>
    </w:p>
    <w:p>
      <w:pPr>
        <w:pStyle w:val="ListBody"/>
        <w:ind w:left="490" w:hanging="331"/>
      </w:pPr>
      <w:r>
        <w:rPr>
          <w:b/>
        </w:rPr>
        <w:t xml:space="preserve">• </w:t>
      </w:r>
      <w:r>
        <w:t>Total-return price.</w:t>
      </w:r>
    </w:p>
    <w:p>
      <w:pPr>
        <w:pStyle w:val="ListBody"/>
        <w:ind w:left="490" w:hanging="331"/>
      </w:pPr>
      <w:r>
        <w:rPr>
          <w:b/>
        </w:rPr>
        <w:t xml:space="preserve">• </w:t>
      </w:r>
      <w:r>
        <w:t>Backtest execution price.</w:t>
      </w:r>
    </w:p>
    <w:p>
      <w:pPr/>
      <w:r>
        <w:t>Adjusted close must not be used as the assumed trade execution price.</w:t>
      </w:r>
    </w:p>
    <w:p>
      <w:pPr>
        <w:pStyle w:val="Heading2"/>
        <w:keepNext/>
      </w:pPr>
      <w:r>
        <w:t>22.2 Share counts</w:t>
      </w:r>
    </w:p>
    <w:p>
      <w:pPr/>
      <w:r>
        <w:t>Maintain:</w:t>
      </w:r>
    </w:p>
    <w:p>
      <w:pPr>
        <w:pStyle w:val="ListBody"/>
        <w:ind w:left="490" w:hanging="331"/>
      </w:pPr>
      <w:r>
        <w:rPr>
          <w:b/>
        </w:rPr>
        <w:t xml:space="preserve">• </w:t>
      </w:r>
      <w:r>
        <w:t>Basic weighted-average shares.</w:t>
      </w:r>
    </w:p>
    <w:p>
      <w:pPr>
        <w:pStyle w:val="ListBody"/>
        <w:ind w:left="490" w:hanging="331"/>
      </w:pPr>
      <w:r>
        <w:rPr>
          <w:b/>
        </w:rPr>
        <w:t xml:space="preserve">• </w:t>
      </w:r>
      <w:r>
        <w:t>Diluted weighted-average shares.</w:t>
      </w:r>
    </w:p>
    <w:p>
      <w:pPr>
        <w:pStyle w:val="ListBody"/>
        <w:ind w:left="490" w:hanging="331"/>
      </w:pPr>
      <w:r>
        <w:rPr>
          <w:b/>
        </w:rPr>
        <w:t xml:space="preserve">• </w:t>
      </w:r>
      <w:r>
        <w:t>Period-end shares.</w:t>
      </w:r>
    </w:p>
    <w:p>
      <w:pPr>
        <w:pStyle w:val="ListBody"/>
        <w:ind w:left="490" w:hanging="331"/>
      </w:pPr>
      <w:r>
        <w:rPr>
          <w:b/>
        </w:rPr>
        <w:t xml:space="preserve">• </w:t>
      </w:r>
      <w:r>
        <w:t>Potential fully diluted shares.</w:t>
      </w:r>
    </w:p>
    <w:p>
      <w:pPr>
        <w:pStyle w:val="ListBody"/>
        <w:ind w:left="490" w:hanging="331"/>
      </w:pPr>
      <w:r>
        <w:rPr>
          <w:b/>
        </w:rPr>
        <w:t xml:space="preserve">• </w:t>
      </w:r>
      <w:r>
        <w:t>Corporate-action-adjusted historical shares.</w:t>
      </w:r>
    </w:p>
    <w:p>
      <w:pPr>
        <w:spacing w:after="0"/>
      </w:pPr>
      <w:r/>
    </w:p>
    <w:p>
      <w:pPr>
        <w:pStyle w:val="Heading1"/>
        <w:pBdr>
          <w:bottom w:val="single" w:sz="4" w:space="5" w:color="7A9AAA"/>
        </w:pBdr>
        <w:keepNext/>
      </w:pPr>
      <w:r>
        <w:t>23. Feature-store contract</w:t>
      </w:r>
    </w:p>
    <w:p>
      <w:pPr/>
      <w:r>
        <w:t>Every feature must define:</w:t>
      </w:r>
    </w:p>
    <w:p>
      <w:pPr/>
      <w:r>
        <w:t>feature_id</w:t>
        <w:br/>
        <w:t>feature_version</w:t>
        <w:br/>
        <w:t>feature_name</w:t>
        <w:br/>
        <w:t>economic_definition</w:t>
        <w:br/>
        <w:t>formula</w:t>
        <w:br/>
        <w:t>source_fields</w:t>
        <w:br/>
        <w:t>scope</w:t>
        <w:br/>
        <w:t>sector_applicability</w:t>
        <w:br/>
        <w:t>lookback</w:t>
        <w:br/>
        <w:t>minimum_history</w:t>
        <w:br/>
        <w:t>direction</w:t>
        <w:br/>
        <w:t>outlier_rule</w:t>
        <w:br/>
        <w:t>missing_rule</w:t>
        <w:br/>
        <w:t>negative_base_rule</w:t>
        <w:br/>
        <w:t>staleness_rule</w:t>
        <w:br/>
        <w:t>publication_lag</w:t>
        <w:br/>
        <w:t>data_type</w:t>
        <w:br/>
        <w:t>owner</w:t>
        <w:br/>
        <w:t>approval_status</w:t>
      </w:r>
    </w:p>
    <w:p>
      <w:pPr/>
      <w:r>
        <w:t>A formula change creates a new feature version and requires a new backtest.</w:t>
      </w:r>
    </w:p>
    <w:p>
      <w:pPr>
        <w:spacing w:after="0"/>
      </w:pPr>
      <w:r/>
    </w:p>
    <w:p>
      <w:pPr>
        <w:pStyle w:val="Heading1"/>
        <w:pBdr>
          <w:bottom w:val="single" w:sz="4" w:space="5" w:color="7A9AAA"/>
        </w:pBdr>
        <w:keepNext/>
      </w:pPr>
      <w:r>
        <w:t>24. Missing and stale data</w:t>
      </w:r>
    </w:p>
    <w:p>
      <w:pPr>
        <w:pStyle w:val="Heading2"/>
        <w:keepNext/>
      </w:pPr>
      <w:r>
        <w:t>24.1 Coverage</w:t>
      </w:r>
    </w:p>
    <w:p>
      <w:pPr>
        <w:pStyle w:val="FormulaBlock"/>
        <w:shd w:fill="F5F8FA"/>
      </w:pPr>
      <w:r>
        <w:t>[ Coverage_j = AvailableWeight_j / RequiredWeight_j ]</w:t>
      </w:r>
    </w:p>
    <w:p>
      <w:pPr>
        <w:pStyle w:val="Heading2"/>
        <w:keepNext/>
      </w:pPr>
      <w:r>
        <w:t>24.2 Shrinkage to neutral</w:t>
      </w:r>
    </w:p>
    <w:p>
      <w:pPr>
        <w:pStyle w:val="FormulaBlock"/>
        <w:shd w:fill="F5F8FA"/>
      </w:pPr>
      <w:r>
        <w:t>[ AdjustedScore_j = 50 + Coverage_j x (RawScore_j - 50) ]</w:t>
      </w:r>
    </w:p>
    <w:p>
      <w:pPr>
        <w:pStyle w:val="Heading2"/>
        <w:keepNext/>
      </w:pPr>
      <w:r>
        <w:t>Coverage classifications</w:t>
      </w:r>
    </w:p>
    <w:p>
      <w:pPr>
        <w:pStyle w:val="ListBody"/>
        <w:ind w:left="490" w:hanging="331"/>
      </w:pPr>
      <w:r>
        <w:rPr>
          <w:b/>
        </w:rPr>
        <w:t xml:space="preserve">• </w:t>
      </w:r>
      <w:r>
        <w:t>90–100%: Full.</w:t>
      </w:r>
    </w:p>
    <w:p>
      <w:pPr>
        <w:pStyle w:val="ListBody"/>
        <w:ind w:left="490" w:hanging="331"/>
      </w:pPr>
      <w:r>
        <w:rPr>
          <w:b/>
        </w:rPr>
        <w:t xml:space="preserve">• </w:t>
      </w:r>
      <w:r>
        <w:t>80–89.99%: Acceptable.</w:t>
      </w:r>
    </w:p>
    <w:p>
      <w:pPr>
        <w:pStyle w:val="ListBody"/>
        <w:ind w:left="490" w:hanging="331"/>
      </w:pPr>
      <w:r>
        <w:rPr>
          <w:b/>
        </w:rPr>
        <w:t xml:space="preserve">• </w:t>
      </w:r>
      <w:r>
        <w:t>70–79.99%: Restricted.</w:t>
      </w:r>
    </w:p>
    <w:p>
      <w:pPr>
        <w:pStyle w:val="ListBody"/>
        <w:ind w:left="490" w:hanging="331"/>
      </w:pPr>
      <w:r>
        <w:rPr>
          <w:b/>
        </w:rPr>
        <w:t xml:space="preserve">• </w:t>
      </w:r>
      <w:r>
        <w:t>50–69.99%: Limited.</w:t>
      </w:r>
    </w:p>
    <w:p>
      <w:pPr>
        <w:pStyle w:val="ListBody"/>
        <w:ind w:left="490" w:hanging="331"/>
      </w:pPr>
      <w:r>
        <w:rPr>
          <w:b/>
        </w:rPr>
        <w:t xml:space="preserve">• </w:t>
      </w:r>
      <w:r>
        <w:t>Below 50%: Insufficient.</w:t>
      </w:r>
    </w:p>
    <w:p>
      <w:pPr>
        <w:pStyle w:val="Heading2"/>
        <w:keepNext/>
      </w:pPr>
      <w:r>
        <w:t>24.3 Staleness</w:t>
      </w:r>
    </w:p>
    <w:p>
      <w:pPr>
        <w:pStyle w:val="FormulaBlock"/>
        <w:shd w:fill="F5F8FA"/>
      </w:pPr>
      <w:r>
        <w:t>[ FreshnessFactor=e^{-ExcessAge} ]</w:t>
      </w:r>
    </w:p>
    <w:p>
      <w:pPr/>
      <w:r>
        <w:t>Staleness rules must be feature-specific.</w:t>
      </w:r>
    </w:p>
    <w:p>
      <w:pPr/>
      <w:r>
        <w:t>Examples:</w:t>
      </w:r>
    </w:p>
    <w:p>
      <w:pPr>
        <w:pStyle w:val="ListBody"/>
        <w:ind w:left="490" w:hanging="331"/>
      </w:pPr>
      <w:r>
        <w:rPr>
          <w:b/>
        </w:rPr>
        <w:t xml:space="preserve">• </w:t>
      </w:r>
      <w:r>
        <w:t>Daily price: short freshness window.</w:t>
      </w:r>
    </w:p>
    <w:p>
      <w:pPr>
        <w:pStyle w:val="ListBody"/>
        <w:ind w:left="490" w:hanging="331"/>
      </w:pPr>
      <w:r>
        <w:rPr>
          <w:b/>
        </w:rPr>
        <w:t xml:space="preserve">• </w:t>
      </w:r>
      <w:r>
        <w:t>Quarterly financial result: longer window.</w:t>
      </w:r>
    </w:p>
    <w:p>
      <w:pPr>
        <w:pStyle w:val="ListBody"/>
        <w:ind w:left="490" w:hanging="331"/>
      </w:pPr>
      <w:r>
        <w:rPr>
          <w:b/>
        </w:rPr>
        <w:t xml:space="preserve">• </w:t>
      </w:r>
      <w:r>
        <w:t>Audit opinion: remains active until superseded.</w:t>
      </w:r>
    </w:p>
    <w:p>
      <w:pPr>
        <w:pStyle w:val="ListBody"/>
        <w:ind w:left="490" w:hanging="331"/>
      </w:pPr>
      <w:r>
        <w:rPr>
          <w:b/>
        </w:rPr>
        <w:t xml:space="preserve">• </w:t>
      </w:r>
      <w:r>
        <w:t>Sector classification: valid until changed.</w:t>
      </w:r>
    </w:p>
    <w:p>
      <w:pPr/>
      <w:r>
        <w:t>Missing governance data must reduce confidence and may trigger Pending Resolution.</w:t>
      </w:r>
    </w:p>
    <w:p>
      <w:pPr>
        <w:spacing w:after="0"/>
      </w:pPr>
      <w:r/>
    </w:p>
    <w:p>
      <w:pPr>
        <w:pStyle w:val="Heading1"/>
        <w:pBdr>
          <w:bottom w:val="single" w:sz="4" w:space="5" w:color="7A9AAA"/>
        </w:pBdr>
        <w:keepNext/>
      </w:pPr>
      <w:r>
        <w:t>25. Outlier and denominator rules</w:t>
      </w:r>
    </w:p>
    <w:p>
      <w:pPr/>
      <w:r>
        <w:t>Processing order:</w:t>
      </w:r>
    </w:p>
    <w:p>
      <w:pPr>
        <w:pStyle w:val="ListBody"/>
        <w:ind w:left="490" w:hanging="331"/>
      </w:pPr>
      <w:r>
        <w:rPr>
          <w:b/>
        </w:rPr>
        <w:t xml:space="preserve">1. </w:t>
      </w:r>
      <w:r>
        <w:t>Validate the denominator.</w:t>
      </w:r>
    </w:p>
    <w:p>
      <w:pPr>
        <w:pStyle w:val="ListBody"/>
        <w:ind w:left="490" w:hanging="331"/>
      </w:pPr>
      <w:r>
        <w:rPr>
          <w:b/>
        </w:rPr>
        <w:t xml:space="preserve">2. </w:t>
      </w:r>
      <w:r>
        <w:t>Validate economic meaning.</w:t>
      </w:r>
    </w:p>
    <w:p>
      <w:pPr>
        <w:pStyle w:val="ListBody"/>
        <w:ind w:left="490" w:hanging="331"/>
      </w:pPr>
      <w:r>
        <w:rPr>
          <w:b/>
        </w:rPr>
        <w:t xml:space="preserve">3. </w:t>
      </w:r>
      <w:r>
        <w:t>Separate sector groups.</w:t>
      </w:r>
    </w:p>
    <w:p>
      <w:pPr>
        <w:pStyle w:val="ListBody"/>
        <w:ind w:left="490" w:hanging="331"/>
      </w:pPr>
      <w:r>
        <w:rPr>
          <w:b/>
        </w:rPr>
        <w:t xml:space="preserve">4. </w:t>
      </w:r>
      <w:r>
        <w:t>Separate profitable and turnaround companies.</w:t>
      </w:r>
    </w:p>
    <w:p>
      <w:pPr>
        <w:pStyle w:val="ListBody"/>
        <w:ind w:left="490" w:hanging="331"/>
      </w:pPr>
      <w:r>
        <w:rPr>
          <w:b/>
        </w:rPr>
        <w:t xml:space="preserve">5. </w:t>
      </w:r>
      <w:r>
        <w:t>Winsorize valid continuous metrics.</w:t>
      </w:r>
    </w:p>
    <w:p>
      <w:pPr>
        <w:pStyle w:val="ListBody"/>
        <w:ind w:left="490" w:hanging="331"/>
      </w:pPr>
      <w:r>
        <w:rPr>
          <w:b/>
        </w:rPr>
        <w:t xml:space="preserve">6. </w:t>
      </w:r>
      <w:r>
        <w:t>Preserve binary risk events.</w:t>
      </w:r>
    </w:p>
    <w:p>
      <w:pPr>
        <w:pStyle w:val="ListBody"/>
        <w:ind w:left="490" w:hanging="331"/>
      </w:pPr>
      <w:r>
        <w:rPr>
          <w:b/>
        </w:rPr>
        <w:t xml:space="preserve">7. </w:t>
      </w:r>
      <w:r>
        <w:t>Retain raw values.</w:t>
      </w:r>
    </w:p>
    <w:p>
      <w:pPr>
        <w:pStyle w:val="ListBody"/>
        <w:ind w:left="490" w:hanging="331"/>
      </w:pPr>
      <w:r>
        <w:rPr>
          <w:b/>
        </w:rPr>
        <w:t xml:space="preserve">8. </w:t>
      </w:r>
      <w:r>
        <w:t>Calculate robust percentiles.</w:t>
      </w:r>
    </w:p>
    <w:p>
      <w:pPr/>
      <w:r>
        <w:t>Special cases:</w:t>
      </w:r>
    </w:p>
    <w:p>
      <w:pPr>
        <w:pStyle w:val="ListBody"/>
        <w:ind w:left="490" w:hanging="331"/>
      </w:pPr>
      <w:r>
        <w:rPr>
          <w:b/>
        </w:rPr>
        <w:t xml:space="preserve">• </w:t>
      </w:r>
      <w:r>
        <w:t>Negative earnings: no ordinary P/E.</w:t>
      </w:r>
    </w:p>
    <w:p>
      <w:pPr>
        <w:pStyle w:val="ListBody"/>
        <w:ind w:left="490" w:hanging="331"/>
      </w:pPr>
      <w:r>
        <w:rPr>
          <w:b/>
        </w:rPr>
        <w:t xml:space="preserve">• </w:t>
      </w:r>
      <w:r>
        <w:t>Negative equity: no ordinary ROE or P/B interpretation.</w:t>
      </w:r>
    </w:p>
    <w:p>
      <w:pPr>
        <w:pStyle w:val="ListBody"/>
        <w:ind w:left="490" w:hanging="331"/>
      </w:pPr>
      <w:r>
        <w:rPr>
          <w:b/>
        </w:rPr>
        <w:t xml:space="preserve">• </w:t>
      </w:r>
      <w:r>
        <w:t>Near-zero capital employed: no extreme ROIC reward.</w:t>
      </w:r>
    </w:p>
    <w:p>
      <w:pPr>
        <w:pStyle w:val="ListBody"/>
        <w:ind w:left="490" w:hanging="331"/>
      </w:pPr>
      <w:r>
        <w:rPr>
          <w:b/>
        </w:rPr>
        <w:t xml:space="preserve">• </w:t>
      </w:r>
      <w:r>
        <w:t>Negative operating cash flow: use a cash-burn model.</w:t>
      </w:r>
    </w:p>
    <w:p>
      <w:pPr>
        <w:pStyle w:val="ListBody"/>
        <w:ind w:left="490" w:hanging="331"/>
      </w:pPr>
      <w:r>
        <w:rPr>
          <w:b/>
        </w:rPr>
        <w:t xml:space="preserve">• </w:t>
      </w:r>
      <w:r>
        <w:t>Peak cyclical profits: normalize to mid-cycle.</w:t>
      </w:r>
    </w:p>
    <w:p>
      <w:pPr>
        <w:pStyle w:val="ListBody"/>
        <w:ind w:left="490" w:hanging="331"/>
      </w:pPr>
      <w:r>
        <w:rPr>
          <w:b/>
        </w:rPr>
        <w:t xml:space="preserve">• </w:t>
      </w:r>
      <w:r>
        <w:t>Newly profitable company: use a transition model.</w:t>
      </w:r>
    </w:p>
    <w:p>
      <w:pPr>
        <w:pStyle w:val="ListBody"/>
        <w:ind w:left="490" w:hanging="331"/>
      </w:pPr>
      <w:r>
        <w:rPr>
          <w:b/>
        </w:rPr>
        <w:t xml:space="preserve">• </w:t>
      </w:r>
      <w:r>
        <w:t>Bank or insurer: no ordinary-company FCF or EV/EBITDA model.</w:t>
      </w:r>
    </w:p>
    <w:p>
      <w:pPr>
        <w:spacing w:after="0"/>
      </w:pPr>
      <w:r/>
    </w:p>
    <w:p>
      <w:pPr>
        <w:pStyle w:val="Heading1"/>
        <w:pBdr>
          <w:bottom w:val="single" w:sz="4" w:space="5" w:color="7A9AAA"/>
        </w:pBdr>
        <w:keepNext/>
      </w:pPr>
      <w:r>
        <w:t>26. Cross-sectional normalization</w:t>
      </w:r>
    </w:p>
    <w:p>
      <w:pPr/>
      <w:r>
        <w:t>For company (i) and metric (m):</w:t>
      </w:r>
    </w:p>
    <w:p>
      <w:pPr>
        <w:pStyle w:val="FormulaBlock"/>
        <w:shd w:fill="F5F8FA"/>
      </w:pPr>
      <w:r>
        <w:t>[ P_{i,m} = 0.60 x P_{sector} + 0.20 x P_{size} + 0.20 x P_{eligible universe} ]</w:t>
      </w:r>
    </w:p>
    <w:p>
      <w:pPr/>
      <w:r>
        <w:t>For lower-is-better metrics:</w:t>
      </w:r>
    </w:p>
    <w:p>
      <w:pPr>
        <w:pStyle w:val="FormulaBlock"/>
        <w:shd w:fill="F5F8FA"/>
      </w:pPr>
      <w:r>
        <w:t>[ Score_{i,m}=100-P_{i,m} ]</w:t>
      </w:r>
    </w:p>
    <w:p>
      <w:pPr/>
      <w:r>
        <w:t>The starting weights must be validated and may be revised through model governance.</w:t>
      </w:r>
    </w:p>
    <w:p>
      <w:pPr/>
      <w:r>
        <w:t>Historical normalization may also be used:</w:t>
      </w:r>
    </w:p>
    <w:p>
      <w:pPr>
        <w:pStyle w:val="FormulaBlock"/>
        <w:shd w:fill="F5F8FA"/>
      </w:pPr>
      <w:r>
        <w:t>[ HistoricalZ = (CurrentMetric - HistoricalMedian) / HistoricalMAD ]</w:t>
      </w:r>
    </w:p>
    <w:p>
      <w:pPr/>
      <w:r>
        <w:t>This helps distinguish a genuinely cheap company from an expensive sector.</w:t>
      </w:r>
    </w:p>
    <w:p>
      <w:pPr>
        <w:spacing w:after="0"/>
      </w:pPr>
      <w:r/>
    </w:p>
    <w:p>
      <w:pPr>
        <w:pStyle w:val="Heading1"/>
        <w:pBdr>
          <w:bottom w:val="single" w:sz="4" w:space="5" w:color="7A9AAA"/>
        </w:pBdr>
        <w:keepNext/>
      </w:pPr>
      <w:r>
        <w:t>27. Hard-gate architecture</w:t>
      </w:r>
    </w:p>
    <w:p>
      <w:pPr/>
      <w:r>
        <w:t>Hard gates run before attractiveness scoring and before signal generation.</w:t>
      </w:r>
    </w:p>
    <w:p>
      <w:pPr>
        <w:pStyle w:val="Heading2"/>
        <w:keepNext/>
      </w:pPr>
      <w:r>
        <w:t>27.1 Level 1 — Action blocked</w:t>
      </w:r>
    </w:p>
    <w:p>
      <w:pPr/>
      <w:r>
        <w:t>Potential triggers:</w:t>
      </w:r>
    </w:p>
    <w:p>
      <w:pPr>
        <w:pStyle w:val="ListBody"/>
        <w:ind w:left="490" w:hanging="331"/>
      </w:pPr>
      <w:r>
        <w:rPr>
          <w:b/>
        </w:rPr>
        <w:t xml:space="preserve">• </w:t>
      </w:r>
      <w:r>
        <w:t>Adverse audit opinion.</w:t>
      </w:r>
    </w:p>
    <w:p>
      <w:pPr>
        <w:pStyle w:val="ListBody"/>
        <w:ind w:left="490" w:hanging="331"/>
      </w:pPr>
      <w:r>
        <w:rPr>
          <w:b/>
        </w:rPr>
        <w:t xml:space="preserve">• </w:t>
      </w:r>
      <w:r>
        <w:t>Disclaimer of opinion.</w:t>
      </w:r>
    </w:p>
    <w:p>
      <w:pPr>
        <w:pStyle w:val="ListBody"/>
        <w:ind w:left="490" w:hanging="331"/>
      </w:pPr>
      <w:r>
        <w:rPr>
          <w:b/>
        </w:rPr>
        <w:t xml:space="preserve">• </w:t>
      </w:r>
      <w:r>
        <w:t>Confirmed material financial manipulation.</w:t>
      </w:r>
    </w:p>
    <w:p>
      <w:pPr>
        <w:pStyle w:val="ListBody"/>
        <w:ind w:left="490" w:hanging="331"/>
      </w:pPr>
      <w:r>
        <w:rPr>
          <w:b/>
        </w:rPr>
        <w:t xml:space="preserve">• </w:t>
      </w:r>
      <w:r>
        <w:t>Confirmed diversion of funds.</w:t>
      </w:r>
    </w:p>
    <w:p>
      <w:pPr>
        <w:pStyle w:val="ListBody"/>
        <w:ind w:left="490" w:hanging="331"/>
      </w:pPr>
      <w:r>
        <w:rPr>
          <w:b/>
        </w:rPr>
        <w:t xml:space="preserve">• </w:t>
      </w:r>
      <w:r>
        <w:t>Insolvency or liquidation.</w:t>
      </w:r>
    </w:p>
    <w:p>
      <w:pPr>
        <w:pStyle w:val="ListBody"/>
        <w:ind w:left="490" w:hanging="331"/>
      </w:pPr>
      <w:r>
        <w:rPr>
          <w:b/>
        </w:rPr>
        <w:t xml:space="preserve">• </w:t>
      </w:r>
      <w:r>
        <w:t>Material unresolved payment default.</w:t>
      </w:r>
    </w:p>
    <w:p>
      <w:pPr>
        <w:pStyle w:val="ListBody"/>
        <w:ind w:left="490" w:hanging="331"/>
      </w:pPr>
      <w:r>
        <w:rPr>
          <w:b/>
        </w:rPr>
        <w:t xml:space="preserve">• </w:t>
      </w:r>
      <w:r>
        <w:t>Unreconciled critical accounts.</w:t>
      </w:r>
    </w:p>
    <w:p>
      <w:pPr>
        <w:pStyle w:val="ListBody"/>
        <w:ind w:left="490" w:hanging="331"/>
      </w:pPr>
      <w:r>
        <w:rPr>
          <w:b/>
        </w:rPr>
        <w:t xml:space="preserve">• </w:t>
      </w:r>
      <w:r>
        <w:t>Severe going-concern uncertainty.</w:t>
      </w:r>
    </w:p>
    <w:p>
      <w:pPr>
        <w:pStyle w:val="ListBody"/>
        <w:ind w:left="490" w:hanging="331"/>
      </w:pPr>
      <w:r>
        <w:rPr>
          <w:b/>
        </w:rPr>
        <w:t xml:space="preserve">• </w:t>
      </w:r>
      <w:r>
        <w:t>Current security suspension.</w:t>
      </w:r>
    </w:p>
    <w:p>
      <w:pPr>
        <w:pStyle w:val="ListBody"/>
        <w:ind w:left="490" w:hanging="331"/>
      </w:pPr>
      <w:r>
        <w:rPr>
          <w:b/>
        </w:rPr>
        <w:t xml:space="preserve">• </w:t>
      </w:r>
      <w:r>
        <w:t>Invalid security mapping.</w:t>
      </w:r>
    </w:p>
    <w:p>
      <w:pPr>
        <w:pStyle w:val="ListBody"/>
        <w:ind w:left="490" w:hanging="331"/>
      </w:pPr>
      <w:r>
        <w:rPr>
          <w:b/>
        </w:rPr>
        <w:t xml:space="preserve">• </w:t>
      </w:r>
      <w:r>
        <w:t>Critical missing financial filing.</w:t>
      </w:r>
    </w:p>
    <w:p>
      <w:pPr>
        <w:pStyle w:val="ListBody"/>
        <w:ind w:left="490" w:hanging="331"/>
      </w:pPr>
      <w:r>
        <w:rPr>
          <w:b/>
        </w:rPr>
        <w:t xml:space="preserve">• </w:t>
      </w:r>
      <w:r>
        <w:t>Regulatory prohibition.</w:t>
      </w:r>
    </w:p>
    <w:p>
      <w:pPr>
        <w:pStyle w:val="ListBody"/>
        <w:ind w:left="490" w:hanging="331"/>
      </w:pPr>
      <w:r>
        <w:rPr>
          <w:b/>
        </w:rPr>
        <w:t xml:space="preserve">• </w:t>
      </w:r>
      <w:r>
        <w:t>Inadequate liquidity.</w:t>
      </w:r>
    </w:p>
    <w:p>
      <w:pPr>
        <w:pStyle w:val="ListBody"/>
        <w:ind w:left="490" w:hanging="331"/>
      </w:pPr>
      <w:r>
        <w:rPr>
          <w:b/>
        </w:rPr>
        <w:t xml:space="preserve">• </w:t>
      </w:r>
      <w:r>
        <w:t>Catastrophic unquantified liability.</w:t>
      </w:r>
    </w:p>
    <w:p>
      <w:pPr>
        <w:pStyle w:val="ListBody"/>
        <w:ind w:left="490" w:hanging="331"/>
      </w:pPr>
      <w:r>
        <w:rPr>
          <w:b/>
        </w:rPr>
        <w:t xml:space="preserve">• </w:t>
      </w:r>
      <w:r>
        <w:t>Material source conflict affecting core facts.</w:t>
      </w:r>
    </w:p>
    <w:p>
      <w:pPr/>
      <w:r>
        <w:t>Output:</w:t>
      </w:r>
    </w:p>
    <w:p>
      <w:pPr/>
      <w:r>
        <w:t>AVOID</w:t>
        <w:br/>
        <w:t>PENDING_RESOLUTION</w:t>
        <w:br/>
        <w:t>NOT_RANKED</w:t>
      </w:r>
    </w:p>
    <w:p>
      <w:pPr>
        <w:pStyle w:val="Heading2"/>
        <w:keepNext/>
      </w:pPr>
      <w:r>
        <w:t>27.2 Level 2 — Rank cap</w:t>
      </w:r>
    </w:p>
    <w:p>
      <w:pPr/>
      <w:r>
        <w:t>Potential triggers:</w:t>
      </w:r>
    </w:p>
    <w:p>
      <w:pPr>
        <w:pStyle w:val="ListBody"/>
        <w:ind w:left="490" w:hanging="331"/>
      </w:pPr>
      <w:r>
        <w:rPr>
          <w:b/>
        </w:rPr>
        <w:t xml:space="preserve">• </w:t>
      </w:r>
      <w:r>
        <w:t>Qualified audit opinion.</w:t>
      </w:r>
    </w:p>
    <w:p>
      <w:pPr>
        <w:pStyle w:val="ListBody"/>
        <w:ind w:left="490" w:hanging="331"/>
      </w:pPr>
      <w:r>
        <w:rPr>
          <w:b/>
        </w:rPr>
        <w:t xml:space="preserve">• </w:t>
      </w:r>
      <w:r>
        <w:t>Serious emphasis of matter.</w:t>
      </w:r>
    </w:p>
    <w:p>
      <w:pPr>
        <w:pStyle w:val="ListBody"/>
        <w:ind w:left="490" w:hanging="331"/>
      </w:pPr>
      <w:r>
        <w:rPr>
          <w:b/>
        </w:rPr>
        <w:t xml:space="preserve">• </w:t>
      </w:r>
      <w:r>
        <w:t>Significant auditor resignation concern.</w:t>
      </w:r>
    </w:p>
    <w:p>
      <w:pPr>
        <w:pStyle w:val="ListBody"/>
        <w:ind w:left="490" w:hanging="331"/>
      </w:pPr>
      <w:r>
        <w:rPr>
          <w:b/>
        </w:rPr>
        <w:t xml:space="preserve">• </w:t>
      </w:r>
      <w:r>
        <w:t>Large related-party exposure.</w:t>
      </w:r>
    </w:p>
    <w:p>
      <w:pPr>
        <w:pStyle w:val="ListBody"/>
        <w:ind w:left="490" w:hanging="331"/>
      </w:pPr>
      <w:r>
        <w:rPr>
          <w:b/>
        </w:rPr>
        <w:t xml:space="preserve">• </w:t>
      </w:r>
      <w:r>
        <w:t>Sharp promoter-pledge increase.</w:t>
      </w:r>
    </w:p>
    <w:p>
      <w:pPr>
        <w:pStyle w:val="ListBody"/>
        <w:ind w:left="490" w:hanging="331"/>
      </w:pPr>
      <w:r>
        <w:rPr>
          <w:b/>
        </w:rPr>
        <w:t xml:space="preserve">• </w:t>
      </w:r>
      <w:r>
        <w:t>Repeated dilution.</w:t>
      </w:r>
    </w:p>
    <w:p>
      <w:pPr>
        <w:pStyle w:val="ListBody"/>
        <w:ind w:left="490" w:hanging="331"/>
      </w:pPr>
      <w:r>
        <w:rPr>
          <w:b/>
        </w:rPr>
        <w:t xml:space="preserve">• </w:t>
      </w:r>
      <w:r>
        <w:t>Material rating downgrade.</w:t>
      </w:r>
    </w:p>
    <w:p>
      <w:pPr>
        <w:pStyle w:val="ListBody"/>
        <w:ind w:left="490" w:hanging="331"/>
      </w:pPr>
      <w:r>
        <w:rPr>
          <w:b/>
        </w:rPr>
        <w:t xml:space="preserve">• </w:t>
      </w:r>
      <w:r>
        <w:t>Rating-agency non-cooperation.</w:t>
      </w:r>
    </w:p>
    <w:p>
      <w:pPr>
        <w:pStyle w:val="ListBody"/>
        <w:ind w:left="490" w:hanging="331"/>
      </w:pPr>
      <w:r>
        <w:rPr>
          <w:b/>
        </w:rPr>
        <w:t xml:space="preserve">• </w:t>
      </w:r>
      <w:r>
        <w:t>Repeated revised filings.</w:t>
      </w:r>
    </w:p>
    <w:p>
      <w:pPr>
        <w:pStyle w:val="ListBody"/>
        <w:ind w:left="490" w:hanging="331"/>
      </w:pPr>
      <w:r>
        <w:rPr>
          <w:b/>
        </w:rPr>
        <w:t xml:space="preserve">• </w:t>
      </w:r>
      <w:r>
        <w:t>Large unresolved contingent liability.</w:t>
      </w:r>
    </w:p>
    <w:p>
      <w:pPr>
        <w:pStyle w:val="ListBody"/>
        <w:ind w:left="490" w:hanging="331"/>
      </w:pPr>
      <w:r>
        <w:rPr>
          <w:b/>
        </w:rPr>
        <w:t xml:space="preserve">• </w:t>
      </w:r>
      <w:r>
        <w:t>Persistent CFO/PAT divergence.</w:t>
      </w:r>
    </w:p>
    <w:p>
      <w:pPr>
        <w:pStyle w:val="ListBody"/>
        <w:ind w:left="490" w:hanging="331"/>
      </w:pPr>
      <w:r>
        <w:rPr>
          <w:b/>
        </w:rPr>
        <w:t xml:space="preserve">• </w:t>
      </w:r>
      <w:r>
        <w:t>Material exchange non-compliance.</w:t>
      </w:r>
    </w:p>
    <w:p>
      <w:pPr/>
      <w:r>
        <w:t>Illustrative cap:</w:t>
      </w:r>
    </w:p>
    <w:p>
      <w:pPr>
        <w:pStyle w:val="FormulaBlock"/>
        <w:shd w:fill="F5F8FA"/>
      </w:pPr>
      <w:r>
        <w:t>[ MaximumCandidateScore=69 ]</w:t>
      </w:r>
    </w:p>
    <w:p>
      <w:pPr/>
      <w:r>
        <w:t>The cap must be configurable and validated.</w:t>
      </w:r>
    </w:p>
    <w:p>
      <w:pPr>
        <w:pStyle w:val="Heading2"/>
        <w:keepNext/>
      </w:pPr>
      <w:r>
        <w:t>27.3 Level 3 — Penalty</w:t>
      </w:r>
    </w:p>
    <w:p>
      <w:pPr/>
      <w:r>
        <w:t>Potential triggers:</w:t>
      </w:r>
    </w:p>
    <w:p>
      <w:pPr>
        <w:pStyle w:val="ListBody"/>
        <w:ind w:left="490" w:hanging="331"/>
      </w:pPr>
      <w:r>
        <w:rPr>
          <w:b/>
        </w:rPr>
        <w:t xml:space="preserve">• </w:t>
      </w:r>
      <w:r>
        <w:t>Short operating history.</w:t>
      </w:r>
    </w:p>
    <w:p>
      <w:pPr>
        <w:pStyle w:val="ListBody"/>
        <w:ind w:left="490" w:hanging="331"/>
      </w:pPr>
      <w:r>
        <w:rPr>
          <w:b/>
        </w:rPr>
        <w:t xml:space="preserve">• </w:t>
      </w:r>
      <w:r>
        <w:t>Moderate concentration.</w:t>
      </w:r>
    </w:p>
    <w:p>
      <w:pPr>
        <w:pStyle w:val="ListBody"/>
        <w:ind w:left="490" w:hanging="331"/>
      </w:pPr>
      <w:r>
        <w:rPr>
          <w:b/>
        </w:rPr>
        <w:t xml:space="preserve">• </w:t>
      </w:r>
      <w:r>
        <w:t>Temporary leverage increase.</w:t>
      </w:r>
    </w:p>
    <w:p>
      <w:pPr>
        <w:pStyle w:val="ListBody"/>
        <w:ind w:left="490" w:hanging="331"/>
      </w:pPr>
      <w:r>
        <w:rPr>
          <w:b/>
        </w:rPr>
        <w:t xml:space="preserve">• </w:t>
      </w:r>
      <w:r>
        <w:t>Working-capital deterioration.</w:t>
      </w:r>
    </w:p>
    <w:p>
      <w:pPr>
        <w:pStyle w:val="ListBody"/>
        <w:ind w:left="490" w:hanging="331"/>
      </w:pPr>
      <w:r>
        <w:rPr>
          <w:b/>
        </w:rPr>
        <w:t xml:space="preserve">• </w:t>
      </w:r>
      <w:r>
        <w:t>Moderate earnings instability.</w:t>
      </w:r>
    </w:p>
    <w:p>
      <w:pPr>
        <w:pStyle w:val="ListBody"/>
        <w:ind w:left="490" w:hanging="331"/>
      </w:pPr>
      <w:r>
        <w:rPr>
          <w:b/>
        </w:rPr>
        <w:t xml:space="preserve">• </w:t>
      </w:r>
      <w:r>
        <w:t>Non-critical missing data.</w:t>
      </w:r>
    </w:p>
    <w:p>
      <w:pPr>
        <w:pStyle w:val="ListBody"/>
        <w:ind w:left="490" w:hanging="331"/>
      </w:pPr>
      <w:r>
        <w:rPr>
          <w:b/>
        </w:rPr>
        <w:t xml:space="preserve">• </w:t>
      </w:r>
      <w:r>
        <w:t>Temporary margin shock.</w:t>
      </w:r>
    </w:p>
    <w:p>
      <w:pPr>
        <w:pStyle w:val="ListBody"/>
        <w:ind w:left="490" w:hanging="331"/>
      </w:pPr>
      <w:r>
        <w:rPr>
          <w:b/>
        </w:rPr>
        <w:t xml:space="preserve">• </w:t>
      </w:r>
      <w:r>
        <w:t>Minor governance-coverage weakness.</w:t>
      </w:r>
    </w:p>
    <w:p>
      <w:pPr>
        <w:pStyle w:val="Heading2"/>
        <w:keepNext/>
      </w:pPr>
      <w:r>
        <w:t>27.4 Human-review workflow</w:t>
      </w:r>
    </w:p>
    <w:p>
      <w:pPr/>
      <w:r>
        <w:t>Every gate record stores:</w:t>
      </w:r>
    </w:p>
    <w:p>
      <w:pPr/>
      <w:r>
        <w:t>trigger</w:t>
        <w:br/>
        <w:t>source</w:t>
        <w:br/>
        <w:t>timestamp</w:t>
        <w:br/>
        <w:t>severity</w:t>
        <w:br/>
        <w:t>automated_confidence</w:t>
        <w:br/>
        <w:t>analyst_status</w:t>
        <w:br/>
        <w:t>analyst_notes</w:t>
        <w:br/>
        <w:t>resolution_requirement</w:t>
        <w:br/>
        <w:t>review_date</w:t>
        <w:br/>
        <w:t>score_effect</w:t>
        <w:br/>
        <w:t>signal_effect</w:t>
      </w:r>
    </w:p>
    <w:p>
      <w:pPr/>
      <w:r>
        <w:t>AI may flag suspected issues but must not declare fraud without authoritative evidence.</w:t>
      </w:r>
    </w:p>
    <w:p>
      <w:pPr>
        <w:spacing w:after="0"/>
      </w:pPr>
      <w:r/>
    </w:p>
    <w:p>
      <w:pPr>
        <w:pStyle w:val="Heading1"/>
        <w:pBdr>
          <w:bottom w:val="single" w:sz="4" w:space="5" w:color="7A9AAA"/>
        </w:pBdr>
        <w:keepNext/>
      </w:pPr>
      <w:r>
        <w:t>28. Automated Candidate Score</w:t>
      </w:r>
    </w:p>
    <w:p>
      <w:pPr/>
      <w:r>
        <w:t>The broad-universe Candidate Score applies to eligible securities.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blHeader w:val="true"/>
        </w:trPr>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Component</w:t>
            </w:r>
          </w:p>
        </w:tc>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Weight</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Financial quality</w:t>
            </w:r>
          </w:p>
        </w:tc>
        <w:tc>
          <w:tcPr>
            <w:tcW w:type="dxa" w:w="4997"/>
            <w:vAlign w:val="center"/>
            <w:tcMar>
              <w:top w:w="55" w:type="dxa"/>
              <w:start w:w="65" w:type="dxa"/>
              <w:bottom w:w="55" w:type="dxa"/>
              <w:end w:w="65" w:type="dxa"/>
            </w:tcMar>
          </w:tcPr>
          <w:p>
            <w:pPr>
              <w:spacing w:after="0"/>
            </w:pPr>
            <w:r>
              <w:rPr>
                <w:rFonts w:ascii="Cambria" w:hAnsi="Cambria"/>
                <w:sz w:val="18"/>
              </w:rPr>
              <w:t>20</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Growth durability</w:t>
            </w:r>
          </w:p>
        </w:tc>
        <w:tc>
          <w:tcPr>
            <w:tcW w:type="dxa" w:w="4997"/>
            <w:vAlign w:val="center"/>
            <w:tcMar>
              <w:top w:w="55" w:type="dxa"/>
              <w:start w:w="65" w:type="dxa"/>
              <w:bottom w:w="55" w:type="dxa"/>
              <w:end w:w="65" w:type="dxa"/>
            </w:tcMar>
            <w:shd w:fill="F8FAFB"/>
          </w:tcPr>
          <w:p>
            <w:pPr>
              <w:spacing w:after="0"/>
            </w:pPr>
            <w:r>
              <w:rPr>
                <w:rFonts w:ascii="Cambria" w:hAnsi="Cambria"/>
                <w:sz w:val="18"/>
              </w:rPr>
              <w:t>12</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Valuation</w:t>
            </w:r>
          </w:p>
        </w:tc>
        <w:tc>
          <w:tcPr>
            <w:tcW w:type="dxa" w:w="4997"/>
            <w:vAlign w:val="center"/>
            <w:tcMar>
              <w:top w:w="55" w:type="dxa"/>
              <w:start w:w="65" w:type="dxa"/>
              <w:bottom w:w="55" w:type="dxa"/>
              <w:end w:w="65" w:type="dxa"/>
            </w:tcMar>
          </w:tcPr>
          <w:p>
            <w:pPr>
              <w:spacing w:after="0"/>
            </w:pPr>
            <w:r>
              <w:rPr>
                <w:rFonts w:ascii="Cambria" w:hAnsi="Cambria"/>
                <w:sz w:val="18"/>
              </w:rPr>
              <w:t>18</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Balance-sheet resilience</w:t>
            </w:r>
          </w:p>
        </w:tc>
        <w:tc>
          <w:tcPr>
            <w:tcW w:type="dxa" w:w="4997"/>
            <w:vAlign w:val="center"/>
            <w:tcMar>
              <w:top w:w="55" w:type="dxa"/>
              <w:start w:w="65" w:type="dxa"/>
              <w:bottom w:w="55" w:type="dxa"/>
              <w:end w:w="65" w:type="dxa"/>
            </w:tcMar>
            <w:shd w:fill="F8FAFB"/>
          </w:tcPr>
          <w:p>
            <w:pPr>
              <w:spacing w:after="0"/>
            </w:pPr>
            <w:r>
              <w:rPr>
                <w:rFonts w:ascii="Cambria" w:hAnsi="Cambria"/>
                <w:sz w:val="18"/>
              </w:rPr>
              <w:t>12</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Capital allocation</w:t>
            </w:r>
          </w:p>
        </w:tc>
        <w:tc>
          <w:tcPr>
            <w:tcW w:type="dxa" w:w="4997"/>
            <w:vAlign w:val="center"/>
            <w:tcMar>
              <w:top w:w="55" w:type="dxa"/>
              <w:start w:w="65" w:type="dxa"/>
              <w:bottom w:w="55" w:type="dxa"/>
              <w:end w:w="65" w:type="dxa"/>
            </w:tcMar>
          </w:tcPr>
          <w:p>
            <w:pPr>
              <w:spacing w:after="0"/>
            </w:pPr>
            <w:r>
              <w:rPr>
                <w:rFonts w:ascii="Cambria" w:hAnsi="Cambria"/>
                <w:sz w:val="18"/>
              </w:rPr>
              <w:t>10</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Integrity and governance</w:t>
            </w:r>
          </w:p>
        </w:tc>
        <w:tc>
          <w:tcPr>
            <w:tcW w:type="dxa" w:w="4997"/>
            <w:vAlign w:val="center"/>
            <w:tcMar>
              <w:top w:w="55" w:type="dxa"/>
              <w:start w:w="65" w:type="dxa"/>
              <w:bottom w:w="55" w:type="dxa"/>
              <w:end w:w="65" w:type="dxa"/>
            </w:tcMar>
            <w:shd w:fill="F8FAFB"/>
          </w:tcPr>
          <w:p>
            <w:pPr>
              <w:spacing w:after="0"/>
            </w:pPr>
            <w:r>
              <w:rPr>
                <w:rFonts w:ascii="Cambria" w:hAnsi="Cambria"/>
                <w:sz w:val="18"/>
              </w:rPr>
              <w:t>18</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Market confirmation</w:t>
            </w:r>
          </w:p>
        </w:tc>
        <w:tc>
          <w:tcPr>
            <w:tcW w:type="dxa" w:w="4997"/>
            <w:vAlign w:val="center"/>
            <w:tcMar>
              <w:top w:w="55" w:type="dxa"/>
              <w:start w:w="65" w:type="dxa"/>
              <w:bottom w:w="55" w:type="dxa"/>
              <w:end w:w="65" w:type="dxa"/>
            </w:tcMar>
          </w:tcPr>
          <w:p>
            <w:pPr>
              <w:spacing w:after="0"/>
            </w:pPr>
            <w:r>
              <w:rPr>
                <w:rFonts w:ascii="Cambria" w:hAnsi="Cambria"/>
                <w:sz w:val="18"/>
              </w:rPr>
              <w:t>5</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Liquidity and tradability</w:t>
            </w:r>
          </w:p>
        </w:tc>
        <w:tc>
          <w:tcPr>
            <w:tcW w:type="dxa" w:w="4997"/>
            <w:vAlign w:val="center"/>
            <w:tcMar>
              <w:top w:w="55" w:type="dxa"/>
              <w:start w:w="65" w:type="dxa"/>
              <w:bottom w:w="55" w:type="dxa"/>
              <w:end w:w="65" w:type="dxa"/>
            </w:tcMar>
            <w:shd w:fill="F8FAFB"/>
          </w:tcPr>
          <w:p>
            <w:pPr>
              <w:spacing w:after="0"/>
            </w:pPr>
            <w:r>
              <w:rPr>
                <w:rFonts w:ascii="Cambria" w:hAnsi="Cambria"/>
                <w:sz w:val="18"/>
              </w:rPr>
              <w:t>5</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Total</w:t>
            </w:r>
          </w:p>
        </w:tc>
        <w:tc>
          <w:tcPr>
            <w:tcW w:type="dxa" w:w="4997"/>
            <w:vAlign w:val="center"/>
            <w:tcMar>
              <w:top w:w="55" w:type="dxa"/>
              <w:start w:w="65" w:type="dxa"/>
              <w:bottom w:w="55" w:type="dxa"/>
              <w:end w:w="65" w:type="dxa"/>
            </w:tcMar>
          </w:tcPr>
          <w:p>
            <w:pPr>
              <w:spacing w:after="0"/>
            </w:pPr>
            <w:r>
              <w:rPr>
                <w:rFonts w:ascii="Cambria" w:hAnsi="Cambria"/>
                <w:sz w:val="18"/>
              </w:rPr>
              <w:t>100</w:t>
            </w:r>
          </w:p>
        </w:tc>
      </w:tr>
    </w:tbl>
    <w:p>
      <w:pPr>
        <w:spacing w:after="20"/>
      </w:pPr>
    </w:p>
    <w:p>
      <w:pPr>
        <w:pStyle w:val="FormulaBlock"/>
        <w:shd w:fill="F5F8FA"/>
      </w:pPr>
      <w:r>
        <w:t>[ RawCS_i = SUM over j of ( w_j x S_{i,j} ) ]</w:t>
      </w:r>
    </w:p>
    <w:p>
      <w:pPr>
        <w:pStyle w:val="Heading2"/>
        <w:keepNext/>
      </w:pPr>
      <w:r>
        <w:t>Data-confidence adjustment</w:t>
      </w:r>
    </w:p>
    <w:p>
      <w:pPr>
        <w:pStyle w:val="FormulaBlock"/>
        <w:shd w:fill="F5F8FA"/>
      </w:pPr>
      <w:r>
        <w:t>[ AdjustedCS_i = 50 + DC_i x (RawCS_i - 50) ]</w:t>
      </w:r>
    </w:p>
    <w:p>
      <w:pPr>
        <w:pStyle w:val="Heading2"/>
        <w:keepNext/>
      </w:pPr>
      <w:r>
        <w:t>Hard-gate cap</w:t>
      </w:r>
    </w:p>
    <w:p>
      <w:pPr>
        <w:pStyle w:val="FormulaBlock"/>
        <w:shd w:fill="F5F8FA"/>
      </w:pPr>
      <w:r>
        <w:t>[ FinalCS_i = min(AdjustedCS_i, HardGateCap_i) ]</w:t>
      </w:r>
    </w:p>
    <w:p>
      <w:pPr>
        <w:spacing w:after="0"/>
      </w:pPr>
      <w:r/>
    </w:p>
    <w:p>
      <w:pPr>
        <w:pStyle w:val="Heading1"/>
        <w:pBdr>
          <w:bottom w:val="single" w:sz="4" w:space="5" w:color="7A9AAA"/>
        </w:pBdr>
        <w:keepNext/>
      </w:pPr>
      <w:r>
        <w:t>29. Financial-quality score</w:t>
      </w:r>
    </w:p>
    <w:p>
      <w:pPr/>
      <w:r>
        <w:t>For ordinary non-financial companies: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blHeader w:val="true"/>
        </w:trPr>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Feature</w:t>
            </w:r>
          </w:p>
        </w:tc>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Sub-weight</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Normalized ROIC</w:t>
            </w:r>
          </w:p>
        </w:tc>
        <w:tc>
          <w:tcPr>
            <w:tcW w:type="dxa" w:w="4997"/>
            <w:vAlign w:val="center"/>
            <w:tcMar>
              <w:top w:w="55" w:type="dxa"/>
              <w:start w:w="65" w:type="dxa"/>
              <w:bottom w:w="55" w:type="dxa"/>
              <w:end w:w="65" w:type="dxa"/>
            </w:tcMar>
          </w:tcPr>
          <w:p>
            <w:pPr>
              <w:spacing w:after="0"/>
            </w:pPr>
            <w:r>
              <w:rPr>
                <w:rFonts w:ascii="Cambria" w:hAnsi="Cambria"/>
                <w:sz w:val="18"/>
              </w:rPr>
              <w:t>18</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ROCE</w:t>
            </w:r>
          </w:p>
        </w:tc>
        <w:tc>
          <w:tcPr>
            <w:tcW w:type="dxa" w:w="4997"/>
            <w:vAlign w:val="center"/>
            <w:tcMar>
              <w:top w:w="55" w:type="dxa"/>
              <w:start w:w="65" w:type="dxa"/>
              <w:bottom w:w="55" w:type="dxa"/>
              <w:end w:w="65" w:type="dxa"/>
            </w:tcMar>
            <w:shd w:fill="F8FAFB"/>
          </w:tcPr>
          <w:p>
            <w:pPr>
              <w:spacing w:after="0"/>
            </w:pPr>
            <w:r>
              <w:rPr>
                <w:rFonts w:ascii="Cambria" w:hAnsi="Cambria"/>
                <w:sz w:val="18"/>
              </w:rPr>
              <w:t>8</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CFO/PAT</w:t>
            </w:r>
          </w:p>
        </w:tc>
        <w:tc>
          <w:tcPr>
            <w:tcW w:type="dxa" w:w="4997"/>
            <w:vAlign w:val="center"/>
            <w:tcMar>
              <w:top w:w="55" w:type="dxa"/>
              <w:start w:w="65" w:type="dxa"/>
              <w:bottom w:w="55" w:type="dxa"/>
              <w:end w:w="65" w:type="dxa"/>
            </w:tcMar>
          </w:tcPr>
          <w:p>
            <w:pPr>
              <w:spacing w:after="0"/>
            </w:pPr>
            <w:r>
              <w:rPr>
                <w:rFonts w:ascii="Cambria" w:hAnsi="Cambria"/>
                <w:sz w:val="18"/>
              </w:rPr>
              <w:t>12</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FCF conversion</w:t>
            </w:r>
          </w:p>
        </w:tc>
        <w:tc>
          <w:tcPr>
            <w:tcW w:type="dxa" w:w="4997"/>
            <w:vAlign w:val="center"/>
            <w:tcMar>
              <w:top w:w="55" w:type="dxa"/>
              <w:start w:w="65" w:type="dxa"/>
              <w:bottom w:w="55" w:type="dxa"/>
              <w:end w:w="65" w:type="dxa"/>
            </w:tcMar>
            <w:shd w:fill="F8FAFB"/>
          </w:tcPr>
          <w:p>
            <w:pPr>
              <w:spacing w:after="0"/>
            </w:pPr>
            <w:r>
              <w:rPr>
                <w:rFonts w:ascii="Cambria" w:hAnsi="Cambria"/>
                <w:sz w:val="18"/>
              </w:rPr>
              <w:t>12</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Operating-margin stability</w:t>
            </w:r>
          </w:p>
        </w:tc>
        <w:tc>
          <w:tcPr>
            <w:tcW w:type="dxa" w:w="4997"/>
            <w:vAlign w:val="center"/>
            <w:tcMar>
              <w:top w:w="55" w:type="dxa"/>
              <w:start w:w="65" w:type="dxa"/>
              <w:bottom w:w="55" w:type="dxa"/>
              <w:end w:w="65" w:type="dxa"/>
            </w:tcMar>
          </w:tcPr>
          <w:p>
            <w:pPr>
              <w:spacing w:after="0"/>
            </w:pPr>
            <w:r>
              <w:rPr>
                <w:rFonts w:ascii="Cambria" w:hAnsi="Cambria"/>
                <w:sz w:val="18"/>
              </w:rPr>
              <w:t>10</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Gross-margin stability</w:t>
            </w:r>
          </w:p>
        </w:tc>
        <w:tc>
          <w:tcPr>
            <w:tcW w:type="dxa" w:w="4997"/>
            <w:vAlign w:val="center"/>
            <w:tcMar>
              <w:top w:w="55" w:type="dxa"/>
              <w:start w:w="65" w:type="dxa"/>
              <w:bottom w:w="55" w:type="dxa"/>
              <w:end w:w="65" w:type="dxa"/>
            </w:tcMar>
            <w:shd w:fill="F8FAFB"/>
          </w:tcPr>
          <w:p>
            <w:pPr>
              <w:spacing w:after="0"/>
            </w:pPr>
            <w:r>
              <w:rPr>
                <w:rFonts w:ascii="Cambria" w:hAnsi="Cambria"/>
                <w:sz w:val="18"/>
              </w:rPr>
              <w:t>5</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Asset turnover</w:t>
            </w:r>
          </w:p>
        </w:tc>
        <w:tc>
          <w:tcPr>
            <w:tcW w:type="dxa" w:w="4997"/>
            <w:vAlign w:val="center"/>
            <w:tcMar>
              <w:top w:w="55" w:type="dxa"/>
              <w:start w:w="65" w:type="dxa"/>
              <w:bottom w:w="55" w:type="dxa"/>
              <w:end w:w="65" w:type="dxa"/>
            </w:tcMar>
          </w:tcPr>
          <w:p>
            <w:pPr>
              <w:spacing w:after="0"/>
            </w:pPr>
            <w:r>
              <w:rPr>
                <w:rFonts w:ascii="Cambria" w:hAnsi="Cambria"/>
                <w:sz w:val="18"/>
              </w:rPr>
              <w:t>8</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Earnings stability</w:t>
            </w:r>
          </w:p>
        </w:tc>
        <w:tc>
          <w:tcPr>
            <w:tcW w:type="dxa" w:w="4997"/>
            <w:vAlign w:val="center"/>
            <w:tcMar>
              <w:top w:w="55" w:type="dxa"/>
              <w:start w:w="65" w:type="dxa"/>
              <w:bottom w:w="55" w:type="dxa"/>
              <w:end w:w="65" w:type="dxa"/>
            </w:tcMar>
            <w:shd w:fill="F8FAFB"/>
          </w:tcPr>
          <w:p>
            <w:pPr>
              <w:spacing w:after="0"/>
            </w:pPr>
            <w:r>
              <w:rPr>
                <w:rFonts w:ascii="Cambria" w:hAnsi="Cambria"/>
                <w:sz w:val="18"/>
              </w:rPr>
              <w:t>10</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Accrual quality</w:t>
            </w:r>
          </w:p>
        </w:tc>
        <w:tc>
          <w:tcPr>
            <w:tcW w:type="dxa" w:w="4997"/>
            <w:vAlign w:val="center"/>
            <w:tcMar>
              <w:top w:w="55" w:type="dxa"/>
              <w:start w:w="65" w:type="dxa"/>
              <w:bottom w:w="55" w:type="dxa"/>
              <w:end w:w="65" w:type="dxa"/>
            </w:tcMar>
          </w:tcPr>
          <w:p>
            <w:pPr>
              <w:spacing w:after="0"/>
            </w:pPr>
            <w:r>
              <w:rPr>
                <w:rFonts w:ascii="Cambria" w:hAnsi="Cambria"/>
                <w:sz w:val="18"/>
              </w:rPr>
              <w:t>10</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Incremental returns</w:t>
            </w:r>
          </w:p>
        </w:tc>
        <w:tc>
          <w:tcPr>
            <w:tcW w:type="dxa" w:w="4997"/>
            <w:vAlign w:val="center"/>
            <w:tcMar>
              <w:top w:w="55" w:type="dxa"/>
              <w:start w:w="65" w:type="dxa"/>
              <w:bottom w:w="55" w:type="dxa"/>
              <w:end w:w="65" w:type="dxa"/>
            </w:tcMar>
            <w:shd w:fill="F8FAFB"/>
          </w:tcPr>
          <w:p>
            <w:pPr>
              <w:spacing w:after="0"/>
            </w:pPr>
            <w:r>
              <w:rPr>
                <w:rFonts w:ascii="Cambria" w:hAnsi="Cambria"/>
                <w:sz w:val="18"/>
              </w:rPr>
              <w:t>7</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Total</w:t>
            </w:r>
          </w:p>
        </w:tc>
        <w:tc>
          <w:tcPr>
            <w:tcW w:type="dxa" w:w="4997"/>
            <w:vAlign w:val="center"/>
            <w:tcMar>
              <w:top w:w="55" w:type="dxa"/>
              <w:start w:w="65" w:type="dxa"/>
              <w:bottom w:w="55" w:type="dxa"/>
              <w:end w:w="65" w:type="dxa"/>
            </w:tcMar>
          </w:tcPr>
          <w:p>
            <w:pPr>
              <w:spacing w:after="0"/>
            </w:pPr>
            <w:r>
              <w:rPr>
                <w:rFonts w:ascii="Cambria" w:hAnsi="Cambria"/>
                <w:sz w:val="18"/>
              </w:rPr>
              <w:t>100</w:t>
            </w:r>
          </w:p>
        </w:tc>
      </w:tr>
    </w:tbl>
    <w:p>
      <w:pPr>
        <w:spacing w:after="20"/>
      </w:pPr>
    </w:p>
    <w:p>
      <w:pPr>
        <w:pStyle w:val="Heading2"/>
        <w:keepNext/>
      </w:pPr>
      <w:r>
        <w:t>CFO conversion</w:t>
      </w:r>
    </w:p>
    <w:p>
      <w:pPr>
        <w:pStyle w:val="FormulaBlock"/>
        <w:shd w:fill="F5F8FA"/>
      </w:pPr>
      <w:r>
        <w:t>[ CFOConversion = CFO / NormalizedPAT ]</w:t>
      </w:r>
    </w:p>
    <w:p>
      <w:pPr>
        <w:pStyle w:val="Heading2"/>
        <w:keepNext/>
      </w:pPr>
      <w:r>
        <w:t>FCF conversion</w:t>
      </w:r>
    </w:p>
    <w:p>
      <w:pPr>
        <w:pStyle w:val="FormulaBlock"/>
        <w:shd w:fill="F5F8FA"/>
      </w:pPr>
      <w:r>
        <w:t>[ FCFConversion = FCF / NormalizedPAT ]</w:t>
      </w:r>
    </w:p>
    <w:p>
      <w:pPr>
        <w:pStyle w:val="Heading2"/>
        <w:keepNext/>
      </w:pPr>
      <w:r>
        <w:t>Accrual ratio</w:t>
      </w:r>
    </w:p>
    <w:p>
      <w:pPr>
        <w:pStyle w:val="FormulaBlock"/>
        <w:shd w:fill="F5F8FA"/>
      </w:pPr>
      <w:r>
        <w:t>[ AccrualRatio = (NormalizedPAT - FCF) / AverageOperatingAssets ]</w:t>
      </w:r>
    </w:p>
    <w:p>
      <w:pPr>
        <w:spacing w:after="0"/>
      </w:pPr>
      <w:r/>
    </w:p>
    <w:p>
      <w:pPr>
        <w:pStyle w:val="Heading1"/>
        <w:pBdr>
          <w:bottom w:val="single" w:sz="4" w:space="5" w:color="7A9AAA"/>
        </w:pBdr>
        <w:keepNext/>
      </w:pPr>
      <w:r>
        <w:t>30. Growth-durability score</w:t>
      </w:r>
    </w:p>
    <w:p>
      <w:pPr/>
      <w:r>
        <w:t>Inputs:</w:t>
      </w:r>
    </w:p>
    <w:p>
      <w:pPr>
        <w:pStyle w:val="ListBody"/>
        <w:ind w:left="490" w:hanging="331"/>
      </w:pPr>
      <w:r>
        <w:rPr>
          <w:b/>
        </w:rPr>
        <w:t xml:space="preserve">• </w:t>
      </w:r>
      <w:r>
        <w:t>Five-year normalized revenue CAGR.</w:t>
      </w:r>
    </w:p>
    <w:p>
      <w:pPr>
        <w:pStyle w:val="ListBody"/>
        <w:ind w:left="490" w:hanging="331"/>
      </w:pPr>
      <w:r>
        <w:rPr>
          <w:b/>
        </w:rPr>
        <w:t xml:space="preserve">• </w:t>
      </w:r>
      <w:r>
        <w:t>Three-year normalized revenue CAGR.</w:t>
      </w:r>
    </w:p>
    <w:p>
      <w:pPr>
        <w:pStyle w:val="ListBody"/>
        <w:ind w:left="490" w:hanging="331"/>
      </w:pPr>
      <w:r>
        <w:rPr>
          <w:b/>
        </w:rPr>
        <w:t xml:space="preserve">• </w:t>
      </w:r>
      <w:r>
        <w:t>TTM revenue growth.</w:t>
      </w:r>
    </w:p>
    <w:p>
      <w:pPr>
        <w:pStyle w:val="ListBody"/>
        <w:ind w:left="490" w:hanging="331"/>
      </w:pPr>
      <w:r>
        <w:rPr>
          <w:b/>
        </w:rPr>
        <w:t xml:space="preserve">• </w:t>
      </w:r>
      <w:r>
        <w:t>Five-year normalized EPS growth.</w:t>
      </w:r>
    </w:p>
    <w:p>
      <w:pPr>
        <w:pStyle w:val="ListBody"/>
        <w:ind w:left="490" w:hanging="331"/>
      </w:pPr>
      <w:r>
        <w:rPr>
          <w:b/>
        </w:rPr>
        <w:t xml:space="preserve">• </w:t>
      </w:r>
      <w:r>
        <w:t>Three-year normalized EPS growth.</w:t>
      </w:r>
    </w:p>
    <w:p>
      <w:pPr>
        <w:pStyle w:val="ListBody"/>
        <w:ind w:left="490" w:hanging="331"/>
      </w:pPr>
      <w:r>
        <w:rPr>
          <w:b/>
        </w:rPr>
        <w:t xml:space="preserve">• </w:t>
      </w:r>
      <w:r>
        <w:t>FCF growth.</w:t>
      </w:r>
    </w:p>
    <w:p>
      <w:pPr>
        <w:pStyle w:val="ListBody"/>
        <w:ind w:left="490" w:hanging="331"/>
      </w:pPr>
      <w:r>
        <w:rPr>
          <w:b/>
        </w:rPr>
        <w:t xml:space="preserve">• </w:t>
      </w:r>
      <w:r>
        <w:t>Growth consistency.</w:t>
      </w:r>
    </w:p>
    <w:p>
      <w:pPr>
        <w:pStyle w:val="ListBody"/>
        <w:ind w:left="490" w:hanging="331"/>
      </w:pPr>
      <w:r>
        <w:rPr>
          <w:b/>
        </w:rPr>
        <w:t xml:space="preserve">• </w:t>
      </w:r>
      <w:r>
        <w:t>Organic growth.</w:t>
      </w:r>
    </w:p>
    <w:p>
      <w:pPr>
        <w:pStyle w:val="ListBody"/>
        <w:ind w:left="490" w:hanging="331"/>
      </w:pPr>
      <w:r>
        <w:rPr>
          <w:b/>
        </w:rPr>
        <w:t xml:space="preserve">• </w:t>
      </w:r>
      <w:r>
        <w:t>Incremental-return quality.</w:t>
      </w:r>
    </w:p>
    <w:p>
      <w:pPr>
        <w:pStyle w:val="ListBody"/>
        <w:ind w:left="490" w:hanging="331"/>
      </w:pPr>
      <w:r>
        <w:rPr>
          <w:b/>
        </w:rPr>
        <w:t xml:space="preserve">• </w:t>
      </w:r>
      <w:r>
        <w:t>Per-share growth.</w:t>
      </w:r>
    </w:p>
    <w:p>
      <w:pPr>
        <w:pStyle w:val="ListBody"/>
        <w:ind w:left="490" w:hanging="331"/>
      </w:pPr>
      <w:r>
        <w:rPr>
          <w:b/>
        </w:rPr>
        <w:t xml:space="preserve">• </w:t>
      </w:r>
      <w:r>
        <w:t>Dilution.</w:t>
      </w:r>
    </w:p>
    <w:p>
      <w:pPr>
        <w:pStyle w:val="Heading2"/>
        <w:keepNext/>
      </w:pPr>
      <w:r>
        <w:t>Per-share growth</w:t>
      </w:r>
    </w:p>
    <w:p>
      <w:pPr>
        <w:pStyle w:val="FormulaBlock"/>
        <w:shd w:fill="F5F8FA"/>
      </w:pPr>
      <w:r>
        <w:t>[ PerShareGrowth = ( (Metric_n/Shares_n) / (Metric_0/Shares_0) )^{1/n} - 1 ]</w:t>
      </w:r>
    </w:p>
    <w:p>
      <w:pPr/>
      <w:r>
        <w:t>Growth caused mainly by:</w:t>
      </w:r>
    </w:p>
    <w:p>
      <w:pPr>
        <w:pStyle w:val="ListBody"/>
        <w:ind w:left="490" w:hanging="331"/>
      </w:pPr>
      <w:r>
        <w:rPr>
          <w:b/>
        </w:rPr>
        <w:t xml:space="preserve">• </w:t>
      </w:r>
      <w:r>
        <w:t>Debt.</w:t>
      </w:r>
    </w:p>
    <w:p>
      <w:pPr>
        <w:pStyle w:val="ListBody"/>
        <w:ind w:left="490" w:hanging="331"/>
      </w:pPr>
      <w:r>
        <w:rPr>
          <w:b/>
        </w:rPr>
        <w:t xml:space="preserve">• </w:t>
      </w:r>
      <w:r>
        <w:t>Acquisitions.</w:t>
      </w:r>
    </w:p>
    <w:p>
      <w:pPr>
        <w:pStyle w:val="ListBody"/>
        <w:ind w:left="490" w:hanging="331"/>
      </w:pPr>
      <w:r>
        <w:rPr>
          <w:b/>
        </w:rPr>
        <w:t xml:space="preserve">• </w:t>
      </w:r>
      <w:r>
        <w:t>Dilution.</w:t>
      </w:r>
    </w:p>
    <w:p>
      <w:pPr>
        <w:pStyle w:val="ListBody"/>
        <w:ind w:left="490" w:hanging="331"/>
      </w:pPr>
      <w:r>
        <w:rPr>
          <w:b/>
        </w:rPr>
        <w:t xml:space="preserve">• </w:t>
      </w:r>
      <w:r>
        <w:t>Receivable expansion.</w:t>
      </w:r>
    </w:p>
    <w:p>
      <w:pPr>
        <w:pStyle w:val="ListBody"/>
        <w:ind w:left="490" w:hanging="331"/>
      </w:pPr>
      <w:r>
        <w:rPr>
          <w:b/>
        </w:rPr>
        <w:t xml:space="preserve">• </w:t>
      </w:r>
      <w:r>
        <w:t>Inventory expansion.</w:t>
      </w:r>
    </w:p>
    <w:p>
      <w:pPr>
        <w:pStyle w:val="ListBody"/>
        <w:ind w:left="490" w:hanging="331"/>
      </w:pPr>
      <w:r>
        <w:rPr>
          <w:b/>
        </w:rPr>
        <w:t xml:space="preserve">• </w:t>
      </w:r>
      <w:r>
        <w:t>Peak commodity prices.</w:t>
      </w:r>
    </w:p>
    <w:p>
      <w:pPr/>
      <w:r>
        <w:t>must receive a durability penalty.</w:t>
      </w:r>
    </w:p>
    <w:p>
      <w:pPr/>
      <w:r>
        <w:t>Negative or near-zero bases must use absolute-change or turnaround models rather than ordinary CAGR.</w:t>
      </w:r>
    </w:p>
    <w:p>
      <w:pPr>
        <w:spacing w:after="0"/>
      </w:pPr>
      <w:r/>
    </w:p>
    <w:p>
      <w:pPr>
        <w:pStyle w:val="Heading1"/>
        <w:pBdr>
          <w:bottom w:val="single" w:sz="4" w:space="5" w:color="7A9AAA"/>
        </w:pBdr>
        <w:keepNext/>
      </w:pPr>
      <w:r>
        <w:t>31. Valuation score</w:t>
      </w:r>
    </w:p>
    <w:p>
      <w:pPr/>
      <w:r>
        <w:t>Possible broad-universe metrics:</w:t>
      </w:r>
    </w:p>
    <w:p>
      <w:pPr>
        <w:pStyle w:val="ListBody"/>
        <w:ind w:left="490" w:hanging="331"/>
      </w:pPr>
      <w:r>
        <w:rPr>
          <w:b/>
        </w:rPr>
        <w:t xml:space="preserve">• </w:t>
      </w:r>
      <w:r>
        <w:t>Earnings yield.</w:t>
      </w:r>
    </w:p>
    <w:p>
      <w:pPr>
        <w:pStyle w:val="ListBody"/>
        <w:ind w:left="490" w:hanging="331"/>
      </w:pPr>
      <w:r>
        <w:rPr>
          <w:b/>
        </w:rPr>
        <w:t xml:space="preserve">• </w:t>
      </w:r>
      <w:r>
        <w:t>FCF yield.</w:t>
      </w:r>
    </w:p>
    <w:p>
      <w:pPr>
        <w:pStyle w:val="ListBody"/>
        <w:ind w:left="490" w:hanging="331"/>
      </w:pPr>
      <w:r>
        <w:rPr>
          <w:b/>
        </w:rPr>
        <w:t xml:space="preserve">• </w:t>
      </w:r>
      <w:r>
        <w:t>EV/EBIT.</w:t>
      </w:r>
    </w:p>
    <w:p>
      <w:pPr>
        <w:pStyle w:val="ListBody"/>
        <w:ind w:left="490" w:hanging="331"/>
      </w:pPr>
      <w:r>
        <w:rPr>
          <w:b/>
        </w:rPr>
        <w:t xml:space="preserve">• </w:t>
      </w:r>
      <w:r>
        <w:t>EV/EBITDA.</w:t>
      </w:r>
    </w:p>
    <w:p>
      <w:pPr>
        <w:pStyle w:val="ListBody"/>
        <w:ind w:left="490" w:hanging="331"/>
      </w:pPr>
      <w:r>
        <w:rPr>
          <w:b/>
        </w:rPr>
        <w:t xml:space="preserve">• </w:t>
      </w:r>
      <w:r>
        <w:t>Price/book.</w:t>
      </w:r>
    </w:p>
    <w:p>
      <w:pPr>
        <w:pStyle w:val="ListBody"/>
        <w:ind w:left="490" w:hanging="331"/>
      </w:pPr>
      <w:r>
        <w:rPr>
          <w:b/>
        </w:rPr>
        <w:t xml:space="preserve">• </w:t>
      </w:r>
      <w:r>
        <w:t>Dividend yield.</w:t>
      </w:r>
    </w:p>
    <w:p>
      <w:pPr>
        <w:pStyle w:val="ListBody"/>
        <w:ind w:left="490" w:hanging="331"/>
      </w:pPr>
      <w:r>
        <w:rPr>
          <w:b/>
        </w:rPr>
        <w:t xml:space="preserve">• </w:t>
      </w:r>
      <w:r>
        <w:t>Historical-relative valuation.</w:t>
      </w:r>
    </w:p>
    <w:p>
      <w:pPr>
        <w:pStyle w:val="ListBody"/>
        <w:ind w:left="490" w:hanging="331"/>
      </w:pPr>
      <w:r>
        <w:rPr>
          <w:b/>
        </w:rPr>
        <w:t xml:space="preserve">• </w:t>
      </w:r>
      <w:r>
        <w:t>Sector-relative valuation.</w:t>
      </w:r>
    </w:p>
    <w:p>
      <w:pPr>
        <w:pStyle w:val="ListBody"/>
        <w:ind w:left="490" w:hanging="331"/>
      </w:pPr>
      <w:r>
        <w:rPr>
          <w:b/>
        </w:rPr>
        <w:t xml:space="preserve">• </w:t>
      </w:r>
      <w:r>
        <w:t>Universe-relative valuation.</w:t>
      </w:r>
    </w:p>
    <w:p>
      <w:pPr>
        <w:pStyle w:val="ListBody"/>
        <w:ind w:left="490" w:hanging="331"/>
      </w:pPr>
      <w:r>
        <w:rPr>
          <w:b/>
        </w:rPr>
        <w:t xml:space="preserve">• </w:t>
      </w:r>
      <w:r>
        <w:t>Reverse-expectation proxy.</w:t>
      </w:r>
    </w:p>
    <w:p>
      <w:pPr>
        <w:pStyle w:val="FormulaBlock"/>
        <w:shd w:fill="F5F8FA"/>
      </w:pPr>
      <w:r>
        <w:t>[ ValuationScore = 0.40 x SectorRelative + 0.25 x HistoricalRelative + 0.20 x UniverseRelative + 0.15 x CashYield ]</w:t>
      </w:r>
    </w:p>
    <w:p>
      <w:pPr>
        <w:pStyle w:val="Heading2"/>
        <w:keepNext/>
      </w:pPr>
      <w:r>
        <w:t>Value-trap adjustment</w:t>
      </w:r>
    </w:p>
    <w:p>
      <w:pPr>
        <w:pStyle w:val="FormulaBlock"/>
        <w:shd w:fill="F5F8FA"/>
      </w:pPr>
      <w:r>
        <w:t>[ AdjustedValue = ValueScore x (0.5 + 0.5 x QualityFactor) ]</w:t>
      </w:r>
    </w:p>
    <w:p>
      <w:pPr/>
      <w:r>
        <w:t>This prevents weak companies from ranking highly only because they appear cheap.</w:t>
      </w:r>
    </w:p>
    <w:p>
      <w:pPr>
        <w:spacing w:after="0"/>
      </w:pPr>
      <w:r/>
    </w:p>
    <w:p>
      <w:pPr>
        <w:pStyle w:val="Heading1"/>
        <w:pBdr>
          <w:bottom w:val="single" w:sz="4" w:space="5" w:color="7A9AAA"/>
        </w:pBdr>
        <w:keepNext/>
      </w:pPr>
      <w:r>
        <w:t>32. Balance-sheet resilience</w:t>
      </w:r>
    </w:p>
    <w:p>
      <w:pPr/>
      <w:r>
        <w:t>For ordinary non-financial companies:</w:t>
      </w:r>
    </w:p>
    <w:p>
      <w:pPr>
        <w:pStyle w:val="ListBody"/>
        <w:ind w:left="490" w:hanging="331"/>
      </w:pPr>
      <w:r>
        <w:rPr>
          <w:b/>
        </w:rPr>
        <w:t xml:space="preserve">• </w:t>
      </w:r>
      <w:r>
        <w:t>Net debt/EBITDA.</w:t>
      </w:r>
    </w:p>
    <w:p>
      <w:pPr>
        <w:pStyle w:val="ListBody"/>
        <w:ind w:left="490" w:hanging="331"/>
      </w:pPr>
      <w:r>
        <w:rPr>
          <w:b/>
        </w:rPr>
        <w:t xml:space="preserve">• </w:t>
      </w:r>
      <w:r>
        <w:t>Interest coverage.</w:t>
      </w:r>
    </w:p>
    <w:p>
      <w:pPr>
        <w:pStyle w:val="ListBody"/>
        <w:ind w:left="490" w:hanging="331"/>
      </w:pPr>
      <w:r>
        <w:rPr>
          <w:b/>
        </w:rPr>
        <w:t xml:space="preserve">• </w:t>
      </w:r>
      <w:r>
        <w:t>CFO/debt.</w:t>
      </w:r>
    </w:p>
    <w:p>
      <w:pPr>
        <w:pStyle w:val="ListBody"/>
        <w:ind w:left="490" w:hanging="331"/>
      </w:pPr>
      <w:r>
        <w:rPr>
          <w:b/>
        </w:rPr>
        <w:t xml:space="preserve">• </w:t>
      </w:r>
      <w:r>
        <w:t>Debt-maturity coverage.</w:t>
      </w:r>
    </w:p>
    <w:p>
      <w:pPr>
        <w:pStyle w:val="ListBody"/>
        <w:ind w:left="490" w:hanging="331"/>
      </w:pPr>
      <w:r>
        <w:rPr>
          <w:b/>
        </w:rPr>
        <w:t xml:space="preserve">• </w:t>
      </w:r>
      <w:r>
        <w:t>Cash adequacy.</w:t>
      </w:r>
    </w:p>
    <w:p>
      <w:pPr>
        <w:pStyle w:val="ListBody"/>
        <w:ind w:left="490" w:hanging="331"/>
      </w:pPr>
      <w:r>
        <w:rPr>
          <w:b/>
        </w:rPr>
        <w:t xml:space="preserve">• </w:t>
      </w:r>
      <w:r>
        <w:t>Working-capital liquidity.</w:t>
      </w:r>
    </w:p>
    <w:p>
      <w:pPr>
        <w:pStyle w:val="ListBody"/>
        <w:ind w:left="490" w:hanging="331"/>
      </w:pPr>
      <w:r>
        <w:rPr>
          <w:b/>
        </w:rPr>
        <w:t xml:space="preserve">• </w:t>
      </w:r>
      <w:r>
        <w:t>Contingent liabilities.</w:t>
      </w:r>
    </w:p>
    <w:p>
      <w:pPr>
        <w:pStyle w:val="ListBody"/>
        <w:ind w:left="490" w:hanging="331"/>
      </w:pPr>
      <w:r>
        <w:rPr>
          <w:b/>
        </w:rPr>
        <w:t xml:space="preserve">• </w:t>
      </w:r>
      <w:r>
        <w:t>Foreign-currency debt.</w:t>
      </w:r>
    </w:p>
    <w:p>
      <w:pPr>
        <w:pStyle w:val="ListBody"/>
        <w:ind w:left="490" w:hanging="331"/>
      </w:pPr>
      <w:r>
        <w:rPr>
          <w:b/>
        </w:rPr>
        <w:t xml:space="preserve">• </w:t>
      </w:r>
      <w:r>
        <w:t>Off-balance-sheet exposures.</w:t>
      </w:r>
    </w:p>
    <w:p>
      <w:pPr/>
      <w:r>
        <w:t>Do not apply this generic model to banks, NBFCs, or insurers.</w:t>
      </w:r>
    </w:p>
    <w:p>
      <w:pPr>
        <w:spacing w:after="0"/>
      </w:pPr>
      <w:r/>
    </w:p>
    <w:p>
      <w:pPr>
        <w:pStyle w:val="Heading1"/>
        <w:pBdr>
          <w:bottom w:val="single" w:sz="4" w:space="5" w:color="7A9AAA"/>
        </w:pBdr>
        <w:keepNext/>
      </w:pPr>
      <w:r>
        <w:t>33. Capital-allocation score</w:t>
      </w:r>
    </w:p>
    <w:p>
      <w:pPr/>
      <w:r>
        <w:t>Inputs:</w:t>
      </w:r>
    </w:p>
    <w:p>
      <w:pPr>
        <w:pStyle w:val="ListBody"/>
        <w:ind w:left="490" w:hanging="331"/>
      </w:pPr>
      <w:r>
        <w:rPr>
          <w:b/>
        </w:rPr>
        <w:t xml:space="preserve">• </w:t>
      </w:r>
      <w:r>
        <w:t>Return on incremental invested capital.</w:t>
      </w:r>
    </w:p>
    <w:p>
      <w:pPr>
        <w:pStyle w:val="ListBody"/>
        <w:ind w:left="490" w:hanging="331"/>
      </w:pPr>
      <w:r>
        <w:rPr>
          <w:b/>
        </w:rPr>
        <w:t xml:space="preserve">• </w:t>
      </w:r>
      <w:r>
        <w:t>Capex productivity.</w:t>
      </w:r>
    </w:p>
    <w:p>
      <w:pPr>
        <w:pStyle w:val="ListBody"/>
        <w:ind w:left="490" w:hanging="331"/>
      </w:pPr>
      <w:r>
        <w:rPr>
          <w:b/>
        </w:rPr>
        <w:t xml:space="preserve">• </w:t>
      </w:r>
      <w:r>
        <w:t>Acquisition performance.</w:t>
      </w:r>
    </w:p>
    <w:p>
      <w:pPr>
        <w:pStyle w:val="ListBody"/>
        <w:ind w:left="490" w:hanging="331"/>
      </w:pPr>
      <w:r>
        <w:rPr>
          <w:b/>
        </w:rPr>
        <w:t xml:space="preserve">• </w:t>
      </w:r>
      <w:r>
        <w:t>Debt reduction.</w:t>
      </w:r>
    </w:p>
    <w:p>
      <w:pPr>
        <w:pStyle w:val="ListBody"/>
        <w:ind w:left="490" w:hanging="331"/>
      </w:pPr>
      <w:r>
        <w:rPr>
          <w:b/>
        </w:rPr>
        <w:t xml:space="preserve">• </w:t>
      </w:r>
      <w:r>
        <w:t>Dividend sustainability.</w:t>
      </w:r>
    </w:p>
    <w:p>
      <w:pPr>
        <w:pStyle w:val="ListBody"/>
        <w:ind w:left="490" w:hanging="331"/>
      </w:pPr>
      <w:r>
        <w:rPr>
          <w:b/>
        </w:rPr>
        <w:t xml:space="preserve">• </w:t>
      </w:r>
      <w:r>
        <w:t>Buyback discipline.</w:t>
      </w:r>
    </w:p>
    <w:p>
      <w:pPr>
        <w:pStyle w:val="ListBody"/>
        <w:ind w:left="490" w:hanging="331"/>
      </w:pPr>
      <w:r>
        <w:rPr>
          <w:b/>
        </w:rPr>
        <w:t xml:space="preserve">• </w:t>
      </w:r>
      <w:r>
        <w:t>Equity dilution.</w:t>
      </w:r>
    </w:p>
    <w:p>
      <w:pPr>
        <w:pStyle w:val="ListBody"/>
        <w:ind w:left="490" w:hanging="331"/>
      </w:pPr>
      <w:r>
        <w:rPr>
          <w:b/>
        </w:rPr>
        <w:t xml:space="preserve">• </w:t>
      </w:r>
      <w:r>
        <w:t>Related-party capital deployment.</w:t>
      </w:r>
    </w:p>
    <w:p>
      <w:pPr>
        <w:pStyle w:val="ListBody"/>
        <w:ind w:left="490" w:hanging="331"/>
      </w:pPr>
      <w:r>
        <w:rPr>
          <w:b/>
        </w:rPr>
        <w:t xml:space="preserve">• </w:t>
      </w:r>
      <w:r>
        <w:t>Cash deployment.</w:t>
      </w:r>
    </w:p>
    <w:p>
      <w:pPr>
        <w:pStyle w:val="ListBody"/>
        <w:ind w:left="490" w:hanging="331"/>
      </w:pPr>
      <w:r>
        <w:rPr>
          <w:b/>
        </w:rPr>
        <w:t xml:space="preserve">• </w:t>
      </w:r>
      <w:r>
        <w:t>Allocation consistency.</w:t>
      </w:r>
    </w:p>
    <w:p>
      <w:pPr>
        <w:pStyle w:val="FormulaBlock"/>
        <w:shd w:fill="F5F8FA"/>
      </w:pPr>
      <w:r>
        <w:t>[ ROIIC = DeltaNOPAT / DeltaInvestedCapital ]</w:t>
      </w:r>
    </w:p>
    <w:p>
      <w:pPr/>
      <w:r>
        <w:t>Use multi-year smoothing.</w:t>
      </w:r>
    </w:p>
    <w:p>
      <w:pPr>
        <w:spacing w:after="0"/>
      </w:pPr>
      <w:r/>
    </w:p>
    <w:p>
      <w:pPr>
        <w:pStyle w:val="Heading1"/>
        <w:pBdr>
          <w:bottom w:val="single" w:sz="4" w:space="5" w:color="7A9AAA"/>
        </w:pBdr>
        <w:keepNext/>
      </w:pPr>
      <w:r>
        <w:t>34. Integrity and governance score</w:t>
      </w:r>
    </w:p>
    <w:p>
      <w:pPr/>
      <w:r>
        <w:t>The score starts at neutral, not 100.</w:t>
      </w:r>
    </w:p>
    <w:p>
      <w:pPr/>
      <w:r>
        <w:t>Inputs:</w:t>
      </w:r>
    </w:p>
    <w:p>
      <w:pPr>
        <w:pStyle w:val="ListBody"/>
        <w:ind w:left="490" w:hanging="331"/>
      </w:pPr>
      <w:r>
        <w:rPr>
          <w:b/>
        </w:rPr>
        <w:t xml:space="preserve">• </w:t>
      </w:r>
      <w:r>
        <w:t>Audit opinion.</w:t>
      </w:r>
    </w:p>
    <w:p>
      <w:pPr>
        <w:pStyle w:val="ListBody"/>
        <w:ind w:left="490" w:hanging="331"/>
      </w:pPr>
      <w:r>
        <w:rPr>
          <w:b/>
        </w:rPr>
        <w:t xml:space="preserve">• </w:t>
      </w:r>
      <w:r>
        <w:t>Key audit matters.</w:t>
      </w:r>
    </w:p>
    <w:p>
      <w:pPr>
        <w:pStyle w:val="ListBody"/>
        <w:ind w:left="490" w:hanging="331"/>
      </w:pPr>
      <w:r>
        <w:rPr>
          <w:b/>
        </w:rPr>
        <w:t xml:space="preserve">• </w:t>
      </w:r>
      <w:r>
        <w:t>Auditor changes.</w:t>
      </w:r>
    </w:p>
    <w:p>
      <w:pPr>
        <w:pStyle w:val="ListBody"/>
        <w:ind w:left="490" w:hanging="331"/>
      </w:pPr>
      <w:r>
        <w:rPr>
          <w:b/>
        </w:rPr>
        <w:t xml:space="preserve">• </w:t>
      </w:r>
      <w:r>
        <w:t>Auditor resignation.</w:t>
      </w:r>
    </w:p>
    <w:p>
      <w:pPr>
        <w:pStyle w:val="ListBody"/>
        <w:ind w:left="490" w:hanging="331"/>
      </w:pPr>
      <w:r>
        <w:rPr>
          <w:b/>
        </w:rPr>
        <w:t xml:space="preserve">• </w:t>
      </w:r>
      <w:r>
        <w:t>Financial restatements.</w:t>
      </w:r>
    </w:p>
    <w:p>
      <w:pPr>
        <w:pStyle w:val="ListBody"/>
        <w:ind w:left="490" w:hanging="331"/>
      </w:pPr>
      <w:r>
        <w:rPr>
          <w:b/>
        </w:rPr>
        <w:t xml:space="preserve">• </w:t>
      </w:r>
      <w:r>
        <w:t>Revised filings.</w:t>
      </w:r>
    </w:p>
    <w:p>
      <w:pPr>
        <w:pStyle w:val="ListBody"/>
        <w:ind w:left="490" w:hanging="331"/>
      </w:pPr>
      <w:r>
        <w:rPr>
          <w:b/>
        </w:rPr>
        <w:t xml:space="preserve">• </w:t>
      </w:r>
      <w:r>
        <w:t>Related-party transactions.</w:t>
      </w:r>
    </w:p>
    <w:p>
      <w:pPr>
        <w:pStyle w:val="ListBody"/>
        <w:ind w:left="490" w:hanging="331"/>
      </w:pPr>
      <w:r>
        <w:rPr>
          <w:b/>
        </w:rPr>
        <w:t xml:space="preserve">• </w:t>
      </w:r>
      <w:r>
        <w:t>Promoter pledge.</w:t>
      </w:r>
    </w:p>
    <w:p>
      <w:pPr>
        <w:pStyle w:val="ListBody"/>
        <w:ind w:left="490" w:hanging="331"/>
      </w:pPr>
      <w:r>
        <w:rPr>
          <w:b/>
        </w:rPr>
        <w:t xml:space="preserve">• </w:t>
      </w:r>
      <w:r>
        <w:t>Promoter encumbrances.</w:t>
      </w:r>
    </w:p>
    <w:p>
      <w:pPr>
        <w:pStyle w:val="ListBody"/>
        <w:ind w:left="490" w:hanging="331"/>
      </w:pPr>
      <w:r>
        <w:rPr>
          <w:b/>
        </w:rPr>
        <w:t xml:space="preserve">• </w:t>
      </w:r>
      <w:r>
        <w:t>Equity dilution.</w:t>
      </w:r>
    </w:p>
    <w:p>
      <w:pPr>
        <w:pStyle w:val="ListBody"/>
        <w:ind w:left="490" w:hanging="331"/>
      </w:pPr>
      <w:r>
        <w:rPr>
          <w:b/>
        </w:rPr>
        <w:t xml:space="preserve">• </w:t>
      </w:r>
      <w:r>
        <w:t>Cash-profit divergence.</w:t>
      </w:r>
    </w:p>
    <w:p>
      <w:pPr>
        <w:pStyle w:val="ListBody"/>
        <w:ind w:left="490" w:hanging="331"/>
      </w:pPr>
      <w:r>
        <w:rPr>
          <w:b/>
        </w:rPr>
        <w:t xml:space="preserve">• </w:t>
      </w:r>
      <w:r>
        <w:t>Defaults.</w:t>
      </w:r>
    </w:p>
    <w:p>
      <w:pPr>
        <w:pStyle w:val="ListBody"/>
        <w:ind w:left="490" w:hanging="331"/>
      </w:pPr>
      <w:r>
        <w:rPr>
          <w:b/>
        </w:rPr>
        <w:t xml:space="preserve">• </w:t>
      </w:r>
      <w:r>
        <w:t>Rating changes.</w:t>
      </w:r>
    </w:p>
    <w:p>
      <w:pPr>
        <w:pStyle w:val="ListBody"/>
        <w:ind w:left="490" w:hanging="331"/>
      </w:pPr>
      <w:r>
        <w:rPr>
          <w:b/>
        </w:rPr>
        <w:t xml:space="preserve">• </w:t>
      </w:r>
      <w:r>
        <w:t>Regulatory actions.</w:t>
      </w:r>
    </w:p>
    <w:p>
      <w:pPr>
        <w:pStyle w:val="ListBody"/>
        <w:ind w:left="490" w:hanging="331"/>
      </w:pPr>
      <w:r>
        <w:rPr>
          <w:b/>
        </w:rPr>
        <w:t xml:space="preserve">• </w:t>
      </w:r>
      <w:r>
        <w:t>Secretarial-compliance findings.</w:t>
      </w:r>
    </w:p>
    <w:p>
      <w:pPr>
        <w:pStyle w:val="ListBody"/>
        <w:ind w:left="490" w:hanging="331"/>
      </w:pPr>
      <w:r>
        <w:rPr>
          <w:b/>
        </w:rPr>
        <w:t xml:space="preserve">• </w:t>
      </w:r>
      <w:r>
        <w:t>Board independence.</w:t>
      </w:r>
    </w:p>
    <w:p>
      <w:pPr>
        <w:pStyle w:val="ListBody"/>
        <w:ind w:left="490" w:hanging="331"/>
      </w:pPr>
      <w:r>
        <w:rPr>
          <w:b/>
        </w:rPr>
        <w:t xml:space="preserve">• </w:t>
      </w:r>
      <w:r>
        <w:t>Remuneration alignment.</w:t>
      </w:r>
    </w:p>
    <w:p>
      <w:pPr>
        <w:pStyle w:val="ListBody"/>
        <w:ind w:left="490" w:hanging="331"/>
      </w:pPr>
      <w:r>
        <w:rPr>
          <w:b/>
        </w:rPr>
        <w:t xml:space="preserve">• </w:t>
      </w:r>
      <w:r>
        <w:t>Minority-shareholder treatment.</w:t>
      </w:r>
    </w:p>
    <w:p>
      <w:pPr>
        <w:pStyle w:val="ListBody"/>
        <w:ind w:left="490" w:hanging="331"/>
      </w:pPr>
      <w:r>
        <w:rPr>
          <w:b/>
        </w:rPr>
        <w:t xml:space="preserve">• </w:t>
      </w:r>
      <w:r>
        <w:t>Subsidiary governance.</w:t>
      </w:r>
    </w:p>
    <w:p>
      <w:pPr>
        <w:pStyle w:val="ListBody"/>
        <w:ind w:left="490" w:hanging="331"/>
      </w:pPr>
      <w:r>
        <w:rPr>
          <w:b/>
        </w:rPr>
        <w:t xml:space="preserve">• </w:t>
      </w:r>
      <w:r>
        <w:t>Investor complaints where available.</w:t>
      </w:r>
    </w:p>
    <w:p>
      <w:pPr>
        <w:spacing w:after="0"/>
      </w:pPr>
      <w:r/>
    </w:p>
    <w:p>
      <w:pPr>
        <w:pStyle w:val="Heading1"/>
        <w:pBdr>
          <w:bottom w:val="single" w:sz="4" w:space="5" w:color="7A9AAA"/>
        </w:pBdr>
        <w:keepNext/>
      </w:pPr>
      <w:r>
        <w:t>35. Market-confirmation score</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blHeader w:val="true"/>
        </w:trPr>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Feature</w:t>
            </w:r>
          </w:p>
        </w:tc>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Weight</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12–1 month momentum</w:t>
            </w:r>
          </w:p>
        </w:tc>
        <w:tc>
          <w:tcPr>
            <w:tcW w:type="dxa" w:w="4997"/>
            <w:vAlign w:val="center"/>
            <w:tcMar>
              <w:top w:w="55" w:type="dxa"/>
              <w:start w:w="65" w:type="dxa"/>
              <w:bottom w:w="55" w:type="dxa"/>
              <w:end w:w="65" w:type="dxa"/>
            </w:tcMar>
          </w:tcPr>
          <w:p>
            <w:pPr>
              <w:spacing w:after="0"/>
            </w:pPr>
            <w:r>
              <w:rPr>
                <w:rFonts w:ascii="Cambria" w:hAnsi="Cambria"/>
                <w:sz w:val="18"/>
              </w:rPr>
              <w:t>25</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Six-month momentum</w:t>
            </w:r>
          </w:p>
        </w:tc>
        <w:tc>
          <w:tcPr>
            <w:tcW w:type="dxa" w:w="4997"/>
            <w:vAlign w:val="center"/>
            <w:tcMar>
              <w:top w:w="55" w:type="dxa"/>
              <w:start w:w="65" w:type="dxa"/>
              <w:bottom w:w="55" w:type="dxa"/>
              <w:end w:w="65" w:type="dxa"/>
            </w:tcMar>
            <w:shd w:fill="F8FAFB"/>
          </w:tcPr>
          <w:p>
            <w:pPr>
              <w:spacing w:after="0"/>
            </w:pPr>
            <w:r>
              <w:rPr>
                <w:rFonts w:ascii="Cambria" w:hAnsi="Cambria"/>
                <w:sz w:val="18"/>
              </w:rPr>
              <w:t>20</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Sector-relative strength</w:t>
            </w:r>
          </w:p>
        </w:tc>
        <w:tc>
          <w:tcPr>
            <w:tcW w:type="dxa" w:w="4997"/>
            <w:vAlign w:val="center"/>
            <w:tcMar>
              <w:top w:w="55" w:type="dxa"/>
              <w:start w:w="65" w:type="dxa"/>
              <w:bottom w:w="55" w:type="dxa"/>
              <w:end w:w="65" w:type="dxa"/>
            </w:tcMar>
          </w:tcPr>
          <w:p>
            <w:pPr>
              <w:spacing w:after="0"/>
            </w:pPr>
            <w:r>
              <w:rPr>
                <w:rFonts w:ascii="Cambria" w:hAnsi="Cambria"/>
                <w:sz w:val="18"/>
              </w:rPr>
              <w:t>20</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Risk-adjusted momentum</w:t>
            </w:r>
          </w:p>
        </w:tc>
        <w:tc>
          <w:tcPr>
            <w:tcW w:type="dxa" w:w="4997"/>
            <w:vAlign w:val="center"/>
            <w:tcMar>
              <w:top w:w="55" w:type="dxa"/>
              <w:start w:w="65" w:type="dxa"/>
              <w:bottom w:w="55" w:type="dxa"/>
              <w:end w:w="65" w:type="dxa"/>
            </w:tcMar>
            <w:shd w:fill="F8FAFB"/>
          </w:tcPr>
          <w:p>
            <w:pPr>
              <w:spacing w:after="0"/>
            </w:pPr>
            <w:r>
              <w:rPr>
                <w:rFonts w:ascii="Cambria" w:hAnsi="Cambria"/>
                <w:sz w:val="18"/>
              </w:rPr>
              <w:t>15</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Trend persistence</w:t>
            </w:r>
          </w:p>
        </w:tc>
        <w:tc>
          <w:tcPr>
            <w:tcW w:type="dxa" w:w="4997"/>
            <w:vAlign w:val="center"/>
            <w:tcMar>
              <w:top w:w="55" w:type="dxa"/>
              <w:start w:w="65" w:type="dxa"/>
              <w:bottom w:w="55" w:type="dxa"/>
              <w:end w:w="65" w:type="dxa"/>
            </w:tcMar>
          </w:tcPr>
          <w:p>
            <w:pPr>
              <w:spacing w:after="0"/>
            </w:pPr>
            <w:r>
              <w:rPr>
                <w:rFonts w:ascii="Cambria" w:hAnsi="Cambria"/>
                <w:sz w:val="18"/>
              </w:rPr>
              <w:t>10</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Volume confirmation</w:t>
            </w:r>
          </w:p>
        </w:tc>
        <w:tc>
          <w:tcPr>
            <w:tcW w:type="dxa" w:w="4997"/>
            <w:vAlign w:val="center"/>
            <w:tcMar>
              <w:top w:w="55" w:type="dxa"/>
              <w:start w:w="65" w:type="dxa"/>
              <w:bottom w:w="55" w:type="dxa"/>
              <w:end w:w="65" w:type="dxa"/>
            </w:tcMar>
            <w:shd w:fill="F8FAFB"/>
          </w:tcPr>
          <w:p>
            <w:pPr>
              <w:spacing w:after="0"/>
            </w:pPr>
            <w:r>
              <w:rPr>
                <w:rFonts w:ascii="Cambria" w:hAnsi="Cambria"/>
                <w:sz w:val="18"/>
              </w:rPr>
              <w:t>10</w:t>
            </w:r>
          </w:p>
        </w:tc>
      </w:tr>
    </w:tbl>
    <w:p>
      <w:pPr>
        <w:spacing w:after="20"/>
      </w:pPr>
    </w:p>
    <w:p>
      <w:pPr/>
      <w:r>
        <w:t>Momentum and technical factors remain subordinate to integrity and data reliability.</w:t>
      </w:r>
    </w:p>
    <w:p>
      <w:pPr>
        <w:spacing w:after="0"/>
      </w:pPr>
      <w:r/>
    </w:p>
    <w:p>
      <w:pPr>
        <w:pStyle w:val="Heading1"/>
        <w:pBdr>
          <w:bottom w:val="single" w:sz="4" w:space="5" w:color="7A9AAA"/>
        </w:pBdr>
        <w:keepNext/>
      </w:pPr>
      <w:r>
        <w:t>36. Liquidity score</w:t>
      </w:r>
    </w:p>
    <w:p>
      <w:pPr/>
      <w:r>
        <w:t>Inputs:</w:t>
      </w:r>
    </w:p>
    <w:p>
      <w:pPr>
        <w:pStyle w:val="ListBody"/>
        <w:ind w:left="490" w:hanging="331"/>
      </w:pPr>
      <w:r>
        <w:rPr>
          <w:b/>
        </w:rPr>
        <w:t xml:space="preserve">• </w:t>
      </w:r>
      <w:r>
        <w:t>Median traded value.</w:t>
      </w:r>
    </w:p>
    <w:p>
      <w:pPr>
        <w:pStyle w:val="ListBody"/>
        <w:ind w:left="490" w:hanging="331"/>
      </w:pPr>
      <w:r>
        <w:rPr>
          <w:b/>
        </w:rPr>
        <w:t xml:space="preserve">• </w:t>
      </w:r>
      <w:r>
        <w:t>Trading continuity.</w:t>
      </w:r>
    </w:p>
    <w:p>
      <w:pPr>
        <w:pStyle w:val="ListBody"/>
        <w:ind w:left="490" w:hanging="331"/>
      </w:pPr>
      <w:r>
        <w:rPr>
          <w:b/>
        </w:rPr>
        <w:t xml:space="preserve">• </w:t>
      </w:r>
      <w:r>
        <w:t>Free float.</w:t>
      </w:r>
    </w:p>
    <w:p>
      <w:pPr>
        <w:pStyle w:val="ListBody"/>
        <w:ind w:left="490" w:hanging="331"/>
      </w:pPr>
      <w:r>
        <w:rPr>
          <w:b/>
        </w:rPr>
        <w:t xml:space="preserve">• </w:t>
      </w:r>
      <w:r>
        <w:t>Spread.</w:t>
      </w:r>
    </w:p>
    <w:p>
      <w:pPr>
        <w:pStyle w:val="ListBody"/>
        <w:ind w:left="490" w:hanging="331"/>
      </w:pPr>
      <w:r>
        <w:rPr>
          <w:b/>
        </w:rPr>
        <w:t xml:space="preserve">• </w:t>
      </w:r>
      <w:r>
        <w:t>Amihud illiquidity.</w:t>
      </w:r>
    </w:p>
    <w:p>
      <w:pPr>
        <w:pStyle w:val="ListBody"/>
        <w:ind w:left="490" w:hanging="331"/>
      </w:pPr>
      <w:r>
        <w:rPr>
          <w:b/>
        </w:rPr>
        <w:t xml:space="preserve">• </w:t>
      </w:r>
      <w:r>
        <w:t>Gap frequency.</w:t>
      </w:r>
    </w:p>
    <w:p>
      <w:pPr>
        <w:pStyle w:val="ListBody"/>
        <w:ind w:left="490" w:hanging="331"/>
      </w:pPr>
      <w:r>
        <w:rPr>
          <w:b/>
        </w:rPr>
        <w:t xml:space="preserve">• </w:t>
      </w:r>
      <w:r>
        <w:t>Circuit frequency.</w:t>
      </w:r>
    </w:p>
    <w:p>
      <w:pPr>
        <w:pStyle w:val="ListBody"/>
        <w:ind w:left="490" w:hanging="331"/>
      </w:pPr>
      <w:r>
        <w:rPr>
          <w:b/>
        </w:rPr>
        <w:t xml:space="preserve">• </w:t>
      </w:r>
      <w:r>
        <w:t>Estimated exit period.</w:t>
      </w:r>
    </w:p>
    <w:p>
      <w:pPr>
        <w:pStyle w:val="ListBody"/>
        <w:ind w:left="490" w:hanging="331"/>
      </w:pPr>
      <w:r>
        <w:rPr>
          <w:b/>
        </w:rPr>
        <w:t xml:space="preserve">• </w:t>
      </w:r>
      <w:r>
        <w:t>Expected market impact.</w:t>
      </w:r>
    </w:p>
    <w:p>
      <w:pPr>
        <w:pStyle w:val="ListBody"/>
        <w:ind w:left="490" w:hanging="331"/>
      </w:pPr>
      <w:r>
        <w:rPr>
          <w:b/>
        </w:rPr>
        <w:t xml:space="preserve">• </w:t>
      </w:r>
      <w:r>
        <w:t>Delivery liquidity where reliable.</w:t>
      </w:r>
    </w:p>
    <w:p>
      <w:pPr>
        <w:spacing w:after="0"/>
      </w:pPr>
      <w:r/>
    </w:p>
    <w:p>
      <w:pPr>
        <w:pStyle w:val="Heading1"/>
        <w:pBdr>
          <w:bottom w:val="single" w:sz="4" w:space="5" w:color="7A9AAA"/>
        </w:pBdr>
        <w:keepNext/>
      </w:pPr>
      <w:r>
        <w:t>37. Sector-model router</w:t>
      </w:r>
    </w:p>
    <w:p>
      <w:pPr/>
      <w:r>
        <w:t>def assign_sector_model(company):</w:t>
        <w:br/>
        <w:t xml:space="preserve">    if company.is_bank:</w:t>
        <w:br/>
        <w:t xml:space="preserve">        return "BANK"</w:t>
        <w:br/>
        <w:t xml:space="preserve">    if company.is_nbfc_or_hfc:</w:t>
        <w:br/>
        <w:t xml:space="preserve">        return "NBFC"</w:t>
        <w:br/>
        <w:t xml:space="preserve">    if company.is_life_insurer:</w:t>
        <w:br/>
        <w:t xml:space="preserve">        return "LIFE_INSURANCE"</w:t>
        <w:br/>
        <w:t xml:space="preserve">    if company.is_general_insurer:</w:t>
        <w:br/>
        <w:t xml:space="preserve">        return "GENERAL_INSURANCE"</w:t>
        <w:br/>
        <w:t xml:space="preserve">    if company.is_reit:</w:t>
        <w:br/>
        <w:t xml:space="preserve">        return "REIT"</w:t>
        <w:br/>
        <w:t xml:space="preserve">    if company.is_invit:</w:t>
        <w:br/>
        <w:t xml:space="preserve">        return "INVIT"</w:t>
        <w:br/>
        <w:t xml:space="preserve">    if company.is_holding_company:</w:t>
        <w:br/>
        <w:t xml:space="preserve">        return "HOLDING_COMPANY"</w:t>
        <w:br/>
        <w:t xml:space="preserve">    if company.is_cyclical:</w:t>
        <w:br/>
        <w:t xml:space="preserve">        return "CYCLICAL"</w:t>
        <w:br/>
        <w:t xml:space="preserve">    return company.operating_sector_model</w:t>
      </w:r>
    </w:p>
    <w:p>
      <w:pPr/>
      <w:r>
        <w:t>Manual overrides must be supported, versioned, and audited.</w:t>
      </w:r>
    </w:p>
    <w:p>
      <w:pPr>
        <w:spacing w:after="0"/>
      </w:pPr>
      <w:r/>
    </w:p>
    <w:p>
      <w:pPr>
        <w:pStyle w:val="Heading1"/>
        <w:pBdr>
          <w:bottom w:val="single" w:sz="4" w:space="5" w:color="7A9AAA"/>
        </w:pBdr>
        <w:keepNext/>
      </w:pPr>
      <w:r>
        <w:t>38. Sector-specific models</w:t>
      </w:r>
    </w:p>
    <w:p>
      <w:pPr>
        <w:pStyle w:val="Heading2"/>
        <w:keepNext/>
      </w:pPr>
      <w:r>
        <w:t>38.1 Banks</w:t>
      </w:r>
    </w:p>
    <w:p>
      <w:pPr/>
      <w:r>
        <w:t>Use:</w:t>
      </w:r>
    </w:p>
    <w:p>
      <w:pPr>
        <w:pStyle w:val="ListBody"/>
        <w:ind w:left="490" w:hanging="331"/>
      </w:pPr>
      <w:r>
        <w:rPr>
          <w:b/>
        </w:rPr>
        <w:t xml:space="preserve">• </w:t>
      </w:r>
      <w:r>
        <w:t>Return on assets.</w:t>
      </w:r>
    </w:p>
    <w:p>
      <w:pPr>
        <w:pStyle w:val="ListBody"/>
        <w:ind w:left="490" w:hanging="331"/>
      </w:pPr>
      <w:r>
        <w:rPr>
          <w:b/>
        </w:rPr>
        <w:t xml:space="preserve">• </w:t>
      </w:r>
      <w:r>
        <w:t>Sustainable ROE.</w:t>
      </w:r>
    </w:p>
    <w:p>
      <w:pPr>
        <w:pStyle w:val="ListBody"/>
        <w:ind w:left="490" w:hanging="331"/>
      </w:pPr>
      <w:r>
        <w:rPr>
          <w:b/>
        </w:rPr>
        <w:t xml:space="preserve">• </w:t>
      </w:r>
      <w:r>
        <w:t>NIM.</w:t>
      </w:r>
    </w:p>
    <w:p>
      <w:pPr>
        <w:pStyle w:val="ListBody"/>
        <w:ind w:left="490" w:hanging="331"/>
      </w:pPr>
      <w:r>
        <w:rPr>
          <w:b/>
        </w:rPr>
        <w:t xml:space="preserve">• </w:t>
      </w:r>
      <w:r>
        <w:t>Cost-to-income.</w:t>
      </w:r>
    </w:p>
    <w:p>
      <w:pPr>
        <w:pStyle w:val="ListBody"/>
        <w:ind w:left="490" w:hanging="331"/>
      </w:pPr>
      <w:r>
        <w:rPr>
          <w:b/>
        </w:rPr>
        <w:t xml:space="preserve">• </w:t>
      </w:r>
      <w:r>
        <w:t>Deposit growth.</w:t>
      </w:r>
    </w:p>
    <w:p>
      <w:pPr>
        <w:pStyle w:val="ListBody"/>
        <w:ind w:left="490" w:hanging="331"/>
      </w:pPr>
      <w:r>
        <w:rPr>
          <w:b/>
        </w:rPr>
        <w:t xml:space="preserve">• </w:t>
      </w:r>
      <w:r>
        <w:t>CASA.</w:t>
      </w:r>
    </w:p>
    <w:p>
      <w:pPr>
        <w:pStyle w:val="ListBody"/>
        <w:ind w:left="490" w:hanging="331"/>
      </w:pPr>
      <w:r>
        <w:rPr>
          <w:b/>
        </w:rPr>
        <w:t xml:space="preserve">• </w:t>
      </w:r>
      <w:r>
        <w:t>Loan growth.</w:t>
      </w:r>
    </w:p>
    <w:p>
      <w:pPr>
        <w:pStyle w:val="ListBody"/>
        <w:ind w:left="490" w:hanging="331"/>
      </w:pPr>
      <w:r>
        <w:rPr>
          <w:b/>
        </w:rPr>
        <w:t xml:space="preserve">• </w:t>
      </w:r>
      <w:r>
        <w:t>GNPA.</w:t>
      </w:r>
    </w:p>
    <w:p>
      <w:pPr>
        <w:pStyle w:val="ListBody"/>
        <w:ind w:left="490" w:hanging="331"/>
      </w:pPr>
      <w:r>
        <w:rPr>
          <w:b/>
        </w:rPr>
        <w:t xml:space="preserve">• </w:t>
      </w:r>
      <w:r>
        <w:t>NNPA.</w:t>
      </w:r>
    </w:p>
    <w:p>
      <w:pPr>
        <w:pStyle w:val="ListBody"/>
        <w:ind w:left="490" w:hanging="331"/>
      </w:pPr>
      <w:r>
        <w:rPr>
          <w:b/>
        </w:rPr>
        <w:t xml:space="preserve">• </w:t>
      </w:r>
      <w:r>
        <w:t>Slippages.</w:t>
      </w:r>
    </w:p>
    <w:p>
      <w:pPr>
        <w:pStyle w:val="ListBody"/>
        <w:ind w:left="490" w:hanging="331"/>
      </w:pPr>
      <w:r>
        <w:rPr>
          <w:b/>
        </w:rPr>
        <w:t xml:space="preserve">• </w:t>
      </w:r>
      <w:r>
        <w:t>Credit cost.</w:t>
      </w:r>
    </w:p>
    <w:p>
      <w:pPr>
        <w:pStyle w:val="ListBody"/>
        <w:ind w:left="490" w:hanging="331"/>
      </w:pPr>
      <w:r>
        <w:rPr>
          <w:b/>
        </w:rPr>
        <w:t xml:space="preserve">• </w:t>
      </w:r>
      <w:r>
        <w:t>Provision coverage.</w:t>
      </w:r>
    </w:p>
    <w:p>
      <w:pPr>
        <w:pStyle w:val="ListBody"/>
        <w:ind w:left="490" w:hanging="331"/>
      </w:pPr>
      <w:r>
        <w:rPr>
          <w:b/>
        </w:rPr>
        <w:t xml:space="preserve">• </w:t>
      </w:r>
      <w:r>
        <w:t>CET1.</w:t>
      </w:r>
    </w:p>
    <w:p>
      <w:pPr>
        <w:pStyle w:val="ListBody"/>
        <w:ind w:left="490" w:hanging="331"/>
      </w:pPr>
      <w:r>
        <w:rPr>
          <w:b/>
        </w:rPr>
        <w:t xml:space="preserve">• </w:t>
      </w:r>
      <w:r>
        <w:t>CRAR.</w:t>
      </w:r>
    </w:p>
    <w:p>
      <w:pPr>
        <w:pStyle w:val="ListBody"/>
        <w:ind w:left="490" w:hanging="331"/>
      </w:pPr>
      <w:r>
        <w:rPr>
          <w:b/>
        </w:rPr>
        <w:t xml:space="preserve">• </w:t>
      </w:r>
      <w:r>
        <w:t>Liquidity coverage.</w:t>
      </w:r>
    </w:p>
    <w:p>
      <w:pPr>
        <w:pStyle w:val="ListBody"/>
        <w:ind w:left="490" w:hanging="331"/>
      </w:pPr>
      <w:r>
        <w:rPr>
          <w:b/>
        </w:rPr>
        <w:t xml:space="preserve">• </w:t>
      </w:r>
      <w:r>
        <w:t>Unsecured lending.</w:t>
      </w:r>
    </w:p>
    <w:p>
      <w:pPr>
        <w:pStyle w:val="ListBody"/>
        <w:ind w:left="490" w:hanging="331"/>
      </w:pPr>
      <w:r>
        <w:rPr>
          <w:b/>
        </w:rPr>
        <w:t xml:space="preserve">• </w:t>
      </w:r>
      <w:r>
        <w:t>Sector concentration.</w:t>
      </w:r>
    </w:p>
    <w:p>
      <w:pPr>
        <w:pStyle w:val="ListBody"/>
        <w:ind w:left="490" w:hanging="331"/>
      </w:pPr>
      <w:r>
        <w:rPr>
          <w:b/>
        </w:rPr>
        <w:t xml:space="preserve">• </w:t>
      </w:r>
      <w:r>
        <w:t>Price/book.</w:t>
      </w:r>
    </w:p>
    <w:p>
      <w:pPr>
        <w:pStyle w:val="ListBody"/>
        <w:ind w:left="490" w:hanging="331"/>
      </w:pPr>
      <w:r>
        <w:rPr>
          <w:b/>
        </w:rPr>
        <w:t xml:space="preserve">• </w:t>
      </w:r>
      <w:r>
        <w:t>Residual income.</w:t>
      </w:r>
    </w:p>
    <w:p>
      <w:pPr/>
      <w:r>
        <w:t>Do not use ordinary-company FCF or EV/EBITDA.</w:t>
      </w:r>
    </w:p>
    <w:p>
      <w:pPr>
        <w:pStyle w:val="Heading2"/>
        <w:keepNext/>
      </w:pPr>
      <w:r>
        <w:t>38.2 NBFCs and HFCs</w:t>
      </w:r>
    </w:p>
    <w:p>
      <w:pPr/>
      <w:r>
        <w:t>Use:</w:t>
      </w:r>
    </w:p>
    <w:p>
      <w:pPr>
        <w:pStyle w:val="ListBody"/>
        <w:ind w:left="490" w:hanging="331"/>
      </w:pPr>
      <w:r>
        <w:rPr>
          <w:b/>
        </w:rPr>
        <w:t xml:space="preserve">• </w:t>
      </w:r>
      <w:r>
        <w:t>AUM growth.</w:t>
      </w:r>
    </w:p>
    <w:p>
      <w:pPr>
        <w:pStyle w:val="ListBody"/>
        <w:ind w:left="490" w:hanging="331"/>
      </w:pPr>
      <w:r>
        <w:rPr>
          <w:b/>
        </w:rPr>
        <w:t xml:space="preserve">• </w:t>
      </w:r>
      <w:r>
        <w:t>Spread.</w:t>
      </w:r>
    </w:p>
    <w:p>
      <w:pPr>
        <w:pStyle w:val="ListBody"/>
        <w:ind w:left="490" w:hanging="331"/>
      </w:pPr>
      <w:r>
        <w:rPr>
          <w:b/>
        </w:rPr>
        <w:t xml:space="preserve">• </w:t>
      </w:r>
      <w:r>
        <w:t>NIM.</w:t>
      </w:r>
    </w:p>
    <w:p>
      <w:pPr>
        <w:pStyle w:val="ListBody"/>
        <w:ind w:left="490" w:hanging="331"/>
      </w:pPr>
      <w:r>
        <w:rPr>
          <w:b/>
        </w:rPr>
        <w:t xml:space="preserve">• </w:t>
      </w:r>
      <w:r>
        <w:t>Cost of funds.</w:t>
      </w:r>
    </w:p>
    <w:p>
      <w:pPr>
        <w:pStyle w:val="ListBody"/>
        <w:ind w:left="490" w:hanging="331"/>
      </w:pPr>
      <w:r>
        <w:rPr>
          <w:b/>
        </w:rPr>
        <w:t xml:space="preserve">• </w:t>
      </w:r>
      <w:r>
        <w:t>Borrowing mix.</w:t>
      </w:r>
    </w:p>
    <w:p>
      <w:pPr>
        <w:pStyle w:val="ListBody"/>
        <w:ind w:left="490" w:hanging="331"/>
      </w:pPr>
      <w:r>
        <w:rPr>
          <w:b/>
        </w:rPr>
        <w:t xml:space="preserve">• </w:t>
      </w:r>
      <w:r>
        <w:t>ALM.</w:t>
      </w:r>
    </w:p>
    <w:p>
      <w:pPr>
        <w:pStyle w:val="ListBody"/>
        <w:ind w:left="490" w:hanging="331"/>
      </w:pPr>
      <w:r>
        <w:rPr>
          <w:b/>
        </w:rPr>
        <w:t xml:space="preserve">• </w:t>
      </w:r>
      <w:r>
        <w:t>Stage 2 assets.</w:t>
      </w:r>
    </w:p>
    <w:p>
      <w:pPr>
        <w:pStyle w:val="ListBody"/>
        <w:ind w:left="490" w:hanging="331"/>
      </w:pPr>
      <w:r>
        <w:rPr>
          <w:b/>
        </w:rPr>
        <w:t xml:space="preserve">• </w:t>
      </w:r>
      <w:r>
        <w:t>Stage 3 assets.</w:t>
      </w:r>
    </w:p>
    <w:p>
      <w:pPr>
        <w:pStyle w:val="ListBody"/>
        <w:ind w:left="490" w:hanging="331"/>
      </w:pPr>
      <w:r>
        <w:rPr>
          <w:b/>
        </w:rPr>
        <w:t xml:space="preserve">• </w:t>
      </w:r>
      <w:r>
        <w:t>Collection efficiency.</w:t>
      </w:r>
    </w:p>
    <w:p>
      <w:pPr>
        <w:pStyle w:val="ListBody"/>
        <w:ind w:left="490" w:hanging="331"/>
      </w:pPr>
      <w:r>
        <w:rPr>
          <w:b/>
        </w:rPr>
        <w:t xml:space="preserve">• </w:t>
      </w:r>
      <w:r>
        <w:t>Credit cost.</w:t>
      </w:r>
    </w:p>
    <w:p>
      <w:pPr>
        <w:pStyle w:val="ListBody"/>
        <w:ind w:left="490" w:hanging="331"/>
      </w:pPr>
      <w:r>
        <w:rPr>
          <w:b/>
        </w:rPr>
        <w:t xml:space="preserve">• </w:t>
      </w:r>
      <w:r>
        <w:t>Capital adequacy.</w:t>
      </w:r>
    </w:p>
    <w:p>
      <w:pPr>
        <w:pStyle w:val="ListBody"/>
        <w:ind w:left="490" w:hanging="331"/>
      </w:pPr>
      <w:r>
        <w:rPr>
          <w:b/>
        </w:rPr>
        <w:t xml:space="preserve">• </w:t>
      </w:r>
      <w:r>
        <w:t>Liquidity.</w:t>
      </w:r>
    </w:p>
    <w:p>
      <w:pPr>
        <w:pStyle w:val="ListBody"/>
        <w:ind w:left="490" w:hanging="331"/>
      </w:pPr>
      <w:r>
        <w:rPr>
          <w:b/>
        </w:rPr>
        <w:t xml:space="preserve">• </w:t>
      </w:r>
      <w:r>
        <w:t>Securitization exposure.</w:t>
      </w:r>
    </w:p>
    <w:p>
      <w:pPr>
        <w:pStyle w:val="ListBody"/>
        <w:ind w:left="490" w:hanging="331"/>
      </w:pPr>
      <w:r>
        <w:rPr>
          <w:b/>
        </w:rPr>
        <w:t xml:space="preserve">• </w:t>
      </w:r>
      <w:r>
        <w:t>Price/book.</w:t>
      </w:r>
    </w:p>
    <w:p>
      <w:pPr>
        <w:pStyle w:val="ListBody"/>
        <w:ind w:left="490" w:hanging="331"/>
      </w:pPr>
      <w:r>
        <w:rPr>
          <w:b/>
        </w:rPr>
        <w:t xml:space="preserve">• </w:t>
      </w:r>
      <w:r>
        <w:t>Residual income.</w:t>
      </w:r>
    </w:p>
    <w:p>
      <w:pPr>
        <w:pStyle w:val="Heading2"/>
        <w:keepNext/>
      </w:pPr>
      <w:r>
        <w:t>38.3 Life insurers</w:t>
      </w:r>
    </w:p>
    <w:p>
      <w:pPr/>
      <w:r>
        <w:t>Use:</w:t>
      </w:r>
    </w:p>
    <w:p>
      <w:pPr>
        <w:pStyle w:val="ListBody"/>
        <w:ind w:left="490" w:hanging="331"/>
      </w:pPr>
      <w:r>
        <w:rPr>
          <w:b/>
        </w:rPr>
        <w:t xml:space="preserve">• </w:t>
      </w:r>
      <w:r>
        <w:t>APE growth.</w:t>
      </w:r>
    </w:p>
    <w:p>
      <w:pPr>
        <w:pStyle w:val="ListBody"/>
        <w:ind w:left="490" w:hanging="331"/>
      </w:pPr>
      <w:r>
        <w:rPr>
          <w:b/>
        </w:rPr>
        <w:t xml:space="preserve">• </w:t>
      </w:r>
      <w:r>
        <w:t>VNB growth.</w:t>
      </w:r>
    </w:p>
    <w:p>
      <w:pPr>
        <w:pStyle w:val="ListBody"/>
        <w:ind w:left="490" w:hanging="331"/>
      </w:pPr>
      <w:r>
        <w:rPr>
          <w:b/>
        </w:rPr>
        <w:t xml:space="preserve">• </w:t>
      </w:r>
      <w:r>
        <w:t>VNB margin.</w:t>
      </w:r>
    </w:p>
    <w:p>
      <w:pPr>
        <w:pStyle w:val="ListBody"/>
        <w:ind w:left="490" w:hanging="331"/>
      </w:pPr>
      <w:r>
        <w:rPr>
          <w:b/>
        </w:rPr>
        <w:t xml:space="preserve">• </w:t>
      </w:r>
      <w:r>
        <w:t>Embedded-value growth.</w:t>
      </w:r>
    </w:p>
    <w:p>
      <w:pPr>
        <w:pStyle w:val="ListBody"/>
        <w:ind w:left="490" w:hanging="331"/>
      </w:pPr>
      <w:r>
        <w:rPr>
          <w:b/>
        </w:rPr>
        <w:t xml:space="preserve">• </w:t>
      </w:r>
      <w:r>
        <w:t>Persistency.</w:t>
      </w:r>
    </w:p>
    <w:p>
      <w:pPr>
        <w:pStyle w:val="ListBody"/>
        <w:ind w:left="490" w:hanging="331"/>
      </w:pPr>
      <w:r>
        <w:rPr>
          <w:b/>
        </w:rPr>
        <w:t xml:space="preserve">• </w:t>
      </w:r>
      <w:r>
        <w:t>Product mix.</w:t>
      </w:r>
    </w:p>
    <w:p>
      <w:pPr>
        <w:pStyle w:val="ListBody"/>
        <w:ind w:left="490" w:hanging="331"/>
      </w:pPr>
      <w:r>
        <w:rPr>
          <w:b/>
        </w:rPr>
        <w:t xml:space="preserve">• </w:t>
      </w:r>
      <w:r>
        <w:t>Protection share.</w:t>
      </w:r>
    </w:p>
    <w:p>
      <w:pPr>
        <w:pStyle w:val="ListBody"/>
        <w:ind w:left="490" w:hanging="331"/>
      </w:pPr>
      <w:r>
        <w:rPr>
          <w:b/>
        </w:rPr>
        <w:t xml:space="preserve">• </w:t>
      </w:r>
      <w:r>
        <w:t>Distribution mix.</w:t>
      </w:r>
    </w:p>
    <w:p>
      <w:pPr>
        <w:pStyle w:val="ListBody"/>
        <w:ind w:left="490" w:hanging="331"/>
      </w:pPr>
      <w:r>
        <w:rPr>
          <w:b/>
        </w:rPr>
        <w:t xml:space="preserve">• </w:t>
      </w:r>
      <w:r>
        <w:t>Solvency.</w:t>
      </w:r>
    </w:p>
    <w:p>
      <w:pPr>
        <w:pStyle w:val="ListBody"/>
        <w:ind w:left="490" w:hanging="331"/>
      </w:pPr>
      <w:r>
        <w:rPr>
          <w:b/>
        </w:rPr>
        <w:t xml:space="preserve">• </w:t>
      </w:r>
      <w:r>
        <w:t>Expense efficiency.</w:t>
      </w:r>
    </w:p>
    <w:p>
      <w:pPr>
        <w:pStyle w:val="ListBody"/>
        <w:ind w:left="490" w:hanging="331"/>
      </w:pPr>
      <w:r>
        <w:rPr>
          <w:b/>
        </w:rPr>
        <w:t xml:space="preserve">• </w:t>
      </w:r>
      <w:r>
        <w:t>EV valuation.</w:t>
      </w:r>
    </w:p>
    <w:p>
      <w:pPr>
        <w:pStyle w:val="ListBody"/>
        <w:ind w:left="490" w:hanging="331"/>
      </w:pPr>
      <w:r>
        <w:rPr>
          <w:b/>
        </w:rPr>
        <w:t xml:space="preserve">• </w:t>
      </w:r>
      <w:r>
        <w:t>VNB valuation.</w:t>
      </w:r>
    </w:p>
    <w:p>
      <w:pPr>
        <w:pStyle w:val="Heading2"/>
        <w:keepNext/>
      </w:pPr>
      <w:r>
        <w:t>38.4 General insurers</w:t>
      </w:r>
    </w:p>
    <w:p>
      <w:pPr/>
      <w:r>
        <w:t>Use:</w:t>
      </w:r>
    </w:p>
    <w:p>
      <w:pPr>
        <w:pStyle w:val="ListBody"/>
        <w:ind w:left="490" w:hanging="331"/>
      </w:pPr>
      <w:r>
        <w:rPr>
          <w:b/>
        </w:rPr>
        <w:t xml:space="preserve">• </w:t>
      </w:r>
      <w:r>
        <w:t>Gross premium.</w:t>
      </w:r>
    </w:p>
    <w:p>
      <w:pPr>
        <w:pStyle w:val="ListBody"/>
        <w:ind w:left="490" w:hanging="331"/>
      </w:pPr>
      <w:r>
        <w:rPr>
          <w:b/>
        </w:rPr>
        <w:t xml:space="preserve">• </w:t>
      </w:r>
      <w:r>
        <w:t>Net premium.</w:t>
      </w:r>
    </w:p>
    <w:p>
      <w:pPr>
        <w:pStyle w:val="ListBody"/>
        <w:ind w:left="490" w:hanging="331"/>
      </w:pPr>
      <w:r>
        <w:rPr>
          <w:b/>
        </w:rPr>
        <w:t xml:space="preserve">• </w:t>
      </w:r>
      <w:r>
        <w:t>Claims ratio.</w:t>
      </w:r>
    </w:p>
    <w:p>
      <w:pPr>
        <w:pStyle w:val="ListBody"/>
        <w:ind w:left="490" w:hanging="331"/>
      </w:pPr>
      <w:r>
        <w:rPr>
          <w:b/>
        </w:rPr>
        <w:t xml:space="preserve">• </w:t>
      </w:r>
      <w:r>
        <w:t>Expense ratio.</w:t>
      </w:r>
    </w:p>
    <w:p>
      <w:pPr>
        <w:pStyle w:val="ListBody"/>
        <w:ind w:left="490" w:hanging="331"/>
      </w:pPr>
      <w:r>
        <w:rPr>
          <w:b/>
        </w:rPr>
        <w:t xml:space="preserve">• </w:t>
      </w:r>
      <w:r>
        <w:t>Combined ratio.</w:t>
      </w:r>
    </w:p>
    <w:p>
      <w:pPr>
        <w:pStyle w:val="ListBody"/>
        <w:ind w:left="490" w:hanging="331"/>
      </w:pPr>
      <w:r>
        <w:rPr>
          <w:b/>
        </w:rPr>
        <w:t xml:space="preserve">• </w:t>
      </w:r>
      <w:r>
        <w:t>Reserve adequacy.</w:t>
      </w:r>
    </w:p>
    <w:p>
      <w:pPr>
        <w:pStyle w:val="ListBody"/>
        <w:ind w:left="490" w:hanging="331"/>
      </w:pPr>
      <w:r>
        <w:rPr>
          <w:b/>
        </w:rPr>
        <w:t xml:space="preserve">• </w:t>
      </w:r>
      <w:r>
        <w:t>Solvency.</w:t>
      </w:r>
    </w:p>
    <w:p>
      <w:pPr>
        <w:pStyle w:val="ListBody"/>
        <w:ind w:left="490" w:hanging="331"/>
      </w:pPr>
      <w:r>
        <w:rPr>
          <w:b/>
        </w:rPr>
        <w:t xml:space="preserve">• </w:t>
      </w:r>
      <w:r>
        <w:t>Underwriting result.</w:t>
      </w:r>
    </w:p>
    <w:p>
      <w:pPr>
        <w:pStyle w:val="ListBody"/>
        <w:ind w:left="490" w:hanging="331"/>
      </w:pPr>
      <w:r>
        <w:rPr>
          <w:b/>
        </w:rPr>
        <w:t xml:space="preserve">• </w:t>
      </w:r>
      <w:r>
        <w:t>Retention.</w:t>
      </w:r>
    </w:p>
    <w:p>
      <w:pPr>
        <w:pStyle w:val="ListBody"/>
        <w:ind w:left="490" w:hanging="331"/>
      </w:pPr>
      <w:r>
        <w:rPr>
          <w:b/>
        </w:rPr>
        <w:t xml:space="preserve">• </w:t>
      </w:r>
      <w:r>
        <w:t>Investment-income dependence.</w:t>
      </w:r>
    </w:p>
    <w:p>
      <w:pPr>
        <w:pStyle w:val="Heading2"/>
        <w:keepNext/>
      </w:pPr>
      <w:r>
        <w:t>38.5 Information technology</w:t>
      </w:r>
    </w:p>
    <w:p>
      <w:pPr/>
      <w:r>
        <w:t>Use:</w:t>
      </w:r>
    </w:p>
    <w:p>
      <w:pPr>
        <w:pStyle w:val="ListBody"/>
        <w:ind w:left="490" w:hanging="331"/>
      </w:pPr>
      <w:r>
        <w:rPr>
          <w:b/>
        </w:rPr>
        <w:t xml:space="preserve">• </w:t>
      </w:r>
      <w:r>
        <w:t>Constant-currency growth.</w:t>
      </w:r>
    </w:p>
    <w:p>
      <w:pPr>
        <w:pStyle w:val="ListBody"/>
        <w:ind w:left="490" w:hanging="331"/>
      </w:pPr>
      <w:r>
        <w:rPr>
          <w:b/>
        </w:rPr>
        <w:t xml:space="preserve">• </w:t>
      </w:r>
      <w:r>
        <w:t>Deal wins.</w:t>
      </w:r>
    </w:p>
    <w:p>
      <w:pPr>
        <w:pStyle w:val="ListBody"/>
        <w:ind w:left="490" w:hanging="331"/>
      </w:pPr>
      <w:r>
        <w:rPr>
          <w:b/>
        </w:rPr>
        <w:t xml:space="preserve">• </w:t>
      </w:r>
      <w:r>
        <w:t>Backlog.</w:t>
      </w:r>
    </w:p>
    <w:p>
      <w:pPr>
        <w:pStyle w:val="ListBody"/>
        <w:ind w:left="490" w:hanging="331"/>
      </w:pPr>
      <w:r>
        <w:rPr>
          <w:b/>
        </w:rPr>
        <w:t xml:space="preserve">• </w:t>
      </w:r>
      <w:r>
        <w:t>Client concentration.</w:t>
      </w:r>
    </w:p>
    <w:p>
      <w:pPr>
        <w:pStyle w:val="ListBody"/>
        <w:ind w:left="490" w:hanging="331"/>
      </w:pPr>
      <w:r>
        <w:rPr>
          <w:b/>
        </w:rPr>
        <w:t xml:space="preserve">• </w:t>
      </w:r>
      <w:r>
        <w:t>Attrition.</w:t>
      </w:r>
    </w:p>
    <w:p>
      <w:pPr>
        <w:pStyle w:val="ListBody"/>
        <w:ind w:left="490" w:hanging="331"/>
      </w:pPr>
      <w:r>
        <w:rPr>
          <w:b/>
        </w:rPr>
        <w:t xml:space="preserve">• </w:t>
      </w:r>
      <w:r>
        <w:t>Utilization.</w:t>
      </w:r>
    </w:p>
    <w:p>
      <w:pPr>
        <w:pStyle w:val="ListBody"/>
        <w:ind w:left="490" w:hanging="331"/>
      </w:pPr>
      <w:r>
        <w:rPr>
          <w:b/>
        </w:rPr>
        <w:t xml:space="preserve">• </w:t>
      </w:r>
      <w:r>
        <w:t>Revenue per employee.</w:t>
      </w:r>
    </w:p>
    <w:p>
      <w:pPr>
        <w:pStyle w:val="ListBody"/>
        <w:ind w:left="490" w:hanging="331"/>
      </w:pPr>
      <w:r>
        <w:rPr>
          <w:b/>
        </w:rPr>
        <w:t xml:space="preserve">• </w:t>
      </w:r>
      <w:r>
        <w:t>EBIT margin.</w:t>
      </w:r>
    </w:p>
    <w:p>
      <w:pPr>
        <w:pStyle w:val="ListBody"/>
        <w:ind w:left="490" w:hanging="331"/>
      </w:pPr>
      <w:r>
        <w:rPr>
          <w:b/>
        </w:rPr>
        <w:t xml:space="preserve">• </w:t>
      </w:r>
      <w:r>
        <w:t>Recurring revenue.</w:t>
      </w:r>
    </w:p>
    <w:p>
      <w:pPr>
        <w:pStyle w:val="ListBody"/>
        <w:ind w:left="490" w:hanging="331"/>
      </w:pPr>
      <w:r>
        <w:rPr>
          <w:b/>
        </w:rPr>
        <w:t xml:space="preserve">• </w:t>
      </w:r>
      <w:r>
        <w:t>Cash conversion.</w:t>
      </w:r>
    </w:p>
    <w:p>
      <w:pPr>
        <w:pStyle w:val="ListBody"/>
        <w:ind w:left="490" w:hanging="331"/>
      </w:pPr>
      <w:r>
        <w:rPr>
          <w:b/>
        </w:rPr>
        <w:t xml:space="preserve">• </w:t>
      </w:r>
      <w:r>
        <w:t>Stock-based compensation.</w:t>
      </w:r>
    </w:p>
    <w:p>
      <w:pPr>
        <w:pStyle w:val="Heading2"/>
        <w:keepNext/>
      </w:pPr>
      <w:r>
        <w:t>38.6 Pharmaceuticals</w:t>
      </w:r>
    </w:p>
    <w:p>
      <w:pPr/>
      <w:r>
        <w:t>Use:</w:t>
      </w:r>
    </w:p>
    <w:p>
      <w:pPr>
        <w:pStyle w:val="ListBody"/>
        <w:ind w:left="490" w:hanging="331"/>
      </w:pPr>
      <w:r>
        <w:rPr>
          <w:b/>
        </w:rPr>
        <w:t xml:space="preserve">• </w:t>
      </w:r>
      <w:r>
        <w:t>Regulatory history.</w:t>
      </w:r>
    </w:p>
    <w:p>
      <w:pPr>
        <w:pStyle w:val="ListBody"/>
        <w:ind w:left="490" w:hanging="331"/>
      </w:pPr>
      <w:r>
        <w:rPr>
          <w:b/>
        </w:rPr>
        <w:t xml:space="preserve">• </w:t>
      </w:r>
      <w:r>
        <w:t>Product concentration.</w:t>
      </w:r>
    </w:p>
    <w:p>
      <w:pPr>
        <w:pStyle w:val="ListBody"/>
        <w:ind w:left="490" w:hanging="331"/>
      </w:pPr>
      <w:r>
        <w:rPr>
          <w:b/>
        </w:rPr>
        <w:t xml:space="preserve">• </w:t>
      </w:r>
      <w:r>
        <w:t>Domestic/export mix.</w:t>
      </w:r>
    </w:p>
    <w:p>
      <w:pPr>
        <w:pStyle w:val="ListBody"/>
        <w:ind w:left="490" w:hanging="331"/>
      </w:pPr>
      <w:r>
        <w:rPr>
          <w:b/>
        </w:rPr>
        <w:t xml:space="preserve">• </w:t>
      </w:r>
      <w:r>
        <w:t>R&amp;D intensity.</w:t>
      </w:r>
    </w:p>
    <w:p>
      <w:pPr>
        <w:pStyle w:val="ListBody"/>
        <w:ind w:left="490" w:hanging="331"/>
      </w:pPr>
      <w:r>
        <w:rPr>
          <w:b/>
        </w:rPr>
        <w:t xml:space="preserve">• </w:t>
      </w:r>
      <w:r>
        <w:t>R&amp;D productivity.</w:t>
      </w:r>
    </w:p>
    <w:p>
      <w:pPr>
        <w:pStyle w:val="ListBody"/>
        <w:ind w:left="490" w:hanging="331"/>
      </w:pPr>
      <w:r>
        <w:rPr>
          <w:b/>
        </w:rPr>
        <w:t xml:space="preserve">• </w:t>
      </w:r>
      <w:r>
        <w:t>Product approvals.</w:t>
      </w:r>
    </w:p>
    <w:p>
      <w:pPr>
        <w:pStyle w:val="ListBody"/>
        <w:ind w:left="490" w:hanging="331"/>
      </w:pPr>
      <w:r>
        <w:rPr>
          <w:b/>
        </w:rPr>
        <w:t xml:space="preserve">• </w:t>
      </w:r>
      <w:r>
        <w:t>Pipeline.</w:t>
      </w:r>
    </w:p>
    <w:p>
      <w:pPr>
        <w:pStyle w:val="ListBody"/>
        <w:ind w:left="490" w:hanging="331"/>
      </w:pPr>
      <w:r>
        <w:rPr>
          <w:b/>
        </w:rPr>
        <w:t xml:space="preserve">• </w:t>
      </w:r>
      <w:r>
        <w:t>Specialty-product mix.</w:t>
      </w:r>
    </w:p>
    <w:p>
      <w:pPr>
        <w:pStyle w:val="ListBody"/>
        <w:ind w:left="490" w:hanging="331"/>
      </w:pPr>
      <w:r>
        <w:rPr>
          <w:b/>
        </w:rPr>
        <w:t xml:space="preserve">• </w:t>
      </w:r>
      <w:r>
        <w:t>Price erosion.</w:t>
      </w:r>
    </w:p>
    <w:p>
      <w:pPr>
        <w:pStyle w:val="ListBody"/>
        <w:ind w:left="490" w:hanging="331"/>
      </w:pPr>
      <w:r>
        <w:rPr>
          <w:b/>
        </w:rPr>
        <w:t xml:space="preserve">• </w:t>
      </w:r>
      <w:r>
        <w:t>Litigation.</w:t>
      </w:r>
    </w:p>
    <w:p>
      <w:pPr>
        <w:pStyle w:val="ListBody"/>
        <w:ind w:left="490" w:hanging="331"/>
      </w:pPr>
      <w:r>
        <w:rPr>
          <w:b/>
        </w:rPr>
        <w:t xml:space="preserve">• </w:t>
      </w:r>
      <w:r>
        <w:t>Working capital.</w:t>
      </w:r>
    </w:p>
    <w:p>
      <w:pPr>
        <w:pStyle w:val="ListBody"/>
        <w:ind w:left="490" w:hanging="331"/>
      </w:pPr>
      <w:r>
        <w:rPr>
          <w:b/>
        </w:rPr>
        <w:t xml:space="preserve">• </w:t>
      </w:r>
      <w:r>
        <w:t>Manufacturing compliance.</w:t>
      </w:r>
    </w:p>
    <w:p>
      <w:pPr>
        <w:pStyle w:val="Heading2"/>
        <w:keepNext/>
      </w:pPr>
      <w:r>
        <w:t>38.7 Industrials and manufacturing</w:t>
      </w:r>
    </w:p>
    <w:p>
      <w:pPr/>
      <w:r>
        <w:t>Use:</w:t>
      </w:r>
    </w:p>
    <w:p>
      <w:pPr>
        <w:pStyle w:val="ListBody"/>
        <w:ind w:left="490" w:hanging="331"/>
      </w:pPr>
      <w:r>
        <w:rPr>
          <w:b/>
        </w:rPr>
        <w:t xml:space="preserve">• </w:t>
      </w:r>
      <w:r>
        <w:t>Capacity utilization.</w:t>
      </w:r>
    </w:p>
    <w:p>
      <w:pPr>
        <w:pStyle w:val="ListBody"/>
        <w:ind w:left="490" w:hanging="331"/>
      </w:pPr>
      <w:r>
        <w:rPr>
          <w:b/>
        </w:rPr>
        <w:t xml:space="preserve">• </w:t>
      </w:r>
      <w:r>
        <w:t>Order book.</w:t>
      </w:r>
    </w:p>
    <w:p>
      <w:pPr>
        <w:pStyle w:val="ListBody"/>
        <w:ind w:left="490" w:hanging="331"/>
      </w:pPr>
      <w:r>
        <w:rPr>
          <w:b/>
        </w:rPr>
        <w:t xml:space="preserve">• </w:t>
      </w:r>
      <w:r>
        <w:t>Book-to-bill.</w:t>
      </w:r>
    </w:p>
    <w:p>
      <w:pPr>
        <w:pStyle w:val="ListBody"/>
        <w:ind w:left="490" w:hanging="331"/>
      </w:pPr>
      <w:r>
        <w:rPr>
          <w:b/>
        </w:rPr>
        <w:t xml:space="preserve">• </w:t>
      </w:r>
      <w:r>
        <w:t>Capex productivity.</w:t>
      </w:r>
    </w:p>
    <w:p>
      <w:pPr>
        <w:pStyle w:val="ListBody"/>
        <w:ind w:left="490" w:hanging="331"/>
      </w:pPr>
      <w:r>
        <w:rPr>
          <w:b/>
        </w:rPr>
        <w:t xml:space="preserve">• </w:t>
      </w:r>
      <w:r>
        <w:t>Raw-material sensitivity.</w:t>
      </w:r>
    </w:p>
    <w:p>
      <w:pPr>
        <w:pStyle w:val="ListBody"/>
        <w:ind w:left="490" w:hanging="331"/>
      </w:pPr>
      <w:r>
        <w:rPr>
          <w:b/>
        </w:rPr>
        <w:t xml:space="preserve">• </w:t>
      </w:r>
      <w:r>
        <w:t>Working-capital cycle.</w:t>
      </w:r>
    </w:p>
    <w:p>
      <w:pPr>
        <w:pStyle w:val="ListBody"/>
        <w:ind w:left="490" w:hanging="331"/>
      </w:pPr>
      <w:r>
        <w:rPr>
          <w:b/>
        </w:rPr>
        <w:t xml:space="preserve">• </w:t>
      </w:r>
      <w:r>
        <w:t>Customer concentration.</w:t>
      </w:r>
    </w:p>
    <w:p>
      <w:pPr>
        <w:pStyle w:val="ListBody"/>
        <w:ind w:left="490" w:hanging="331"/>
      </w:pPr>
      <w:r>
        <w:rPr>
          <w:b/>
        </w:rPr>
        <w:t xml:space="preserve">• </w:t>
      </w:r>
      <w:r>
        <w:t>Export exposure.</w:t>
      </w:r>
    </w:p>
    <w:p>
      <w:pPr>
        <w:pStyle w:val="ListBody"/>
        <w:ind w:left="490" w:hanging="331"/>
      </w:pPr>
      <w:r>
        <w:rPr>
          <w:b/>
        </w:rPr>
        <w:t xml:space="preserve">• </w:t>
      </w:r>
      <w:r>
        <w:t>Operating leverage.</w:t>
      </w:r>
    </w:p>
    <w:p>
      <w:pPr>
        <w:pStyle w:val="ListBody"/>
        <w:ind w:left="490" w:hanging="331"/>
      </w:pPr>
      <w:r>
        <w:rPr>
          <w:b/>
        </w:rPr>
        <w:t xml:space="preserve">• </w:t>
      </w:r>
      <w:r>
        <w:t>Incremental returns.</w:t>
      </w:r>
    </w:p>
    <w:p>
      <w:pPr>
        <w:pStyle w:val="Heading2"/>
        <w:keepNext/>
      </w:pPr>
      <w:r>
        <w:t>38.8 Consumer businesses</w:t>
      </w:r>
    </w:p>
    <w:p>
      <w:pPr/>
      <w:r>
        <w:t>Use:</w:t>
      </w:r>
    </w:p>
    <w:p>
      <w:pPr>
        <w:pStyle w:val="ListBody"/>
        <w:ind w:left="490" w:hanging="331"/>
      </w:pPr>
      <w:r>
        <w:rPr>
          <w:b/>
        </w:rPr>
        <w:t xml:space="preserve">• </w:t>
      </w:r>
      <w:r>
        <w:t>Volume growth.</w:t>
      </w:r>
    </w:p>
    <w:p>
      <w:pPr>
        <w:pStyle w:val="ListBody"/>
        <w:ind w:left="490" w:hanging="331"/>
      </w:pPr>
      <w:r>
        <w:rPr>
          <w:b/>
        </w:rPr>
        <w:t xml:space="preserve">• </w:t>
      </w:r>
      <w:r>
        <w:t>Pricing growth.</w:t>
      </w:r>
    </w:p>
    <w:p>
      <w:pPr>
        <w:pStyle w:val="ListBody"/>
        <w:ind w:left="490" w:hanging="331"/>
      </w:pPr>
      <w:r>
        <w:rPr>
          <w:b/>
        </w:rPr>
        <w:t xml:space="preserve">• </w:t>
      </w:r>
      <w:r>
        <w:t>Product mix.</w:t>
      </w:r>
    </w:p>
    <w:p>
      <w:pPr>
        <w:pStyle w:val="ListBody"/>
        <w:ind w:left="490" w:hanging="331"/>
      </w:pPr>
      <w:r>
        <w:rPr>
          <w:b/>
        </w:rPr>
        <w:t xml:space="preserve">• </w:t>
      </w:r>
      <w:r>
        <w:t>Distribution.</w:t>
      </w:r>
    </w:p>
    <w:p>
      <w:pPr>
        <w:pStyle w:val="ListBody"/>
        <w:ind w:left="490" w:hanging="331"/>
      </w:pPr>
      <w:r>
        <w:rPr>
          <w:b/>
        </w:rPr>
        <w:t xml:space="preserve">• </w:t>
      </w:r>
      <w:r>
        <w:t>Rural and urban exposure.</w:t>
      </w:r>
    </w:p>
    <w:p>
      <w:pPr>
        <w:pStyle w:val="ListBody"/>
        <w:ind w:left="490" w:hanging="331"/>
      </w:pPr>
      <w:r>
        <w:rPr>
          <w:b/>
        </w:rPr>
        <w:t xml:space="preserve">• </w:t>
      </w:r>
      <w:r>
        <w:t>Market share.</w:t>
      </w:r>
    </w:p>
    <w:p>
      <w:pPr>
        <w:pStyle w:val="ListBody"/>
        <w:ind w:left="490" w:hanging="331"/>
      </w:pPr>
      <w:r>
        <w:rPr>
          <w:b/>
        </w:rPr>
        <w:t xml:space="preserve">• </w:t>
      </w:r>
      <w:r>
        <w:t>Gross-margin stability.</w:t>
      </w:r>
    </w:p>
    <w:p>
      <w:pPr>
        <w:pStyle w:val="ListBody"/>
        <w:ind w:left="490" w:hanging="331"/>
      </w:pPr>
      <w:r>
        <w:rPr>
          <w:b/>
        </w:rPr>
        <w:t xml:space="preserve">• </w:t>
      </w:r>
      <w:r>
        <w:t>Advertising investment.</w:t>
      </w:r>
    </w:p>
    <w:p>
      <w:pPr>
        <w:pStyle w:val="ListBody"/>
        <w:ind w:left="490" w:hanging="331"/>
      </w:pPr>
      <w:r>
        <w:rPr>
          <w:b/>
        </w:rPr>
        <w:t xml:space="preserve">• </w:t>
      </w:r>
      <w:r>
        <w:t>Same-store sales where relevant.</w:t>
      </w:r>
    </w:p>
    <w:p>
      <w:pPr>
        <w:pStyle w:val="ListBody"/>
        <w:ind w:left="490" w:hanging="331"/>
      </w:pPr>
      <w:r>
        <w:rPr>
          <w:b/>
        </w:rPr>
        <w:t xml:space="preserve">• </w:t>
      </w:r>
      <w:r>
        <w:t>Working capital.</w:t>
      </w:r>
    </w:p>
    <w:p>
      <w:pPr>
        <w:pStyle w:val="Heading2"/>
        <w:keepNext/>
      </w:pPr>
      <w:r>
        <w:t>38.9 Utilities</w:t>
      </w:r>
    </w:p>
    <w:p>
      <w:pPr/>
      <w:r>
        <w:t>Use:</w:t>
      </w:r>
    </w:p>
    <w:p>
      <w:pPr>
        <w:pStyle w:val="ListBody"/>
        <w:ind w:left="490" w:hanging="331"/>
      </w:pPr>
      <w:r>
        <w:rPr>
          <w:b/>
        </w:rPr>
        <w:t xml:space="preserve">• </w:t>
      </w:r>
      <w:r>
        <w:t>Regulated asset base.</w:t>
      </w:r>
    </w:p>
    <w:p>
      <w:pPr>
        <w:pStyle w:val="ListBody"/>
        <w:ind w:left="490" w:hanging="331"/>
      </w:pPr>
      <w:r>
        <w:rPr>
          <w:b/>
        </w:rPr>
        <w:t xml:space="preserve">• </w:t>
      </w:r>
      <w:r>
        <w:t>Allowed return.</w:t>
      </w:r>
    </w:p>
    <w:p>
      <w:pPr>
        <w:pStyle w:val="ListBody"/>
        <w:ind w:left="490" w:hanging="331"/>
      </w:pPr>
      <w:r>
        <w:rPr>
          <w:b/>
        </w:rPr>
        <w:t xml:space="preserve">• </w:t>
      </w:r>
      <w:r>
        <w:t>Plant availability.</w:t>
      </w:r>
    </w:p>
    <w:p>
      <w:pPr>
        <w:pStyle w:val="ListBody"/>
        <w:ind w:left="490" w:hanging="331"/>
      </w:pPr>
      <w:r>
        <w:rPr>
          <w:b/>
        </w:rPr>
        <w:t xml:space="preserve">• </w:t>
      </w:r>
      <w:r>
        <w:t>Plant load factor.</w:t>
      </w:r>
    </w:p>
    <w:p>
      <w:pPr>
        <w:pStyle w:val="ListBody"/>
        <w:ind w:left="490" w:hanging="331"/>
      </w:pPr>
      <w:r>
        <w:rPr>
          <w:b/>
        </w:rPr>
        <w:t xml:space="preserve">• </w:t>
      </w:r>
      <w:r>
        <w:t>Fuel security.</w:t>
      </w:r>
    </w:p>
    <w:p>
      <w:pPr>
        <w:pStyle w:val="ListBody"/>
        <w:ind w:left="490" w:hanging="331"/>
      </w:pPr>
      <w:r>
        <w:rPr>
          <w:b/>
        </w:rPr>
        <w:t xml:space="preserve">• </w:t>
      </w:r>
      <w:r>
        <w:t>Receivable days.</w:t>
      </w:r>
    </w:p>
    <w:p>
      <w:pPr>
        <w:pStyle w:val="ListBody"/>
        <w:ind w:left="490" w:hanging="331"/>
      </w:pPr>
      <w:r>
        <w:rPr>
          <w:b/>
        </w:rPr>
        <w:t xml:space="preserve">• </w:t>
      </w:r>
      <w:r>
        <w:t>Counterparty quality.</w:t>
      </w:r>
    </w:p>
    <w:p>
      <w:pPr>
        <w:pStyle w:val="ListBody"/>
        <w:ind w:left="490" w:hanging="331"/>
      </w:pPr>
      <w:r>
        <w:rPr>
          <w:b/>
        </w:rPr>
        <w:t xml:space="preserve">• </w:t>
      </w:r>
      <w:r>
        <w:t>Regulatory assets.</w:t>
      </w:r>
    </w:p>
    <w:p>
      <w:pPr>
        <w:pStyle w:val="ListBody"/>
        <w:ind w:left="490" w:hanging="331"/>
      </w:pPr>
      <w:r>
        <w:rPr>
          <w:b/>
        </w:rPr>
        <w:t xml:space="preserve">• </w:t>
      </w:r>
      <w:r>
        <w:t>Debt service.</w:t>
      </w:r>
    </w:p>
    <w:p>
      <w:pPr>
        <w:pStyle w:val="ListBody"/>
        <w:ind w:left="490" w:hanging="331"/>
      </w:pPr>
      <w:r>
        <w:rPr>
          <w:b/>
        </w:rPr>
        <w:t xml:space="preserve">• </w:t>
      </w:r>
      <w:r>
        <w:t>Tariff orders.</w:t>
      </w:r>
    </w:p>
    <w:p>
      <w:pPr>
        <w:pStyle w:val="Heading2"/>
        <w:keepNext/>
      </w:pPr>
      <w:r>
        <w:t>38.10 Commodity and cyclical companies</w:t>
      </w:r>
    </w:p>
    <w:p>
      <w:pPr/>
      <w:r>
        <w:t>Use:</w:t>
      </w:r>
    </w:p>
    <w:p>
      <w:pPr>
        <w:pStyle w:val="ListBody"/>
        <w:ind w:left="490" w:hanging="331"/>
      </w:pPr>
      <w:r>
        <w:rPr>
          <w:b/>
        </w:rPr>
        <w:t xml:space="preserve">• </w:t>
      </w:r>
      <w:r>
        <w:t>Production volume.</w:t>
      </w:r>
    </w:p>
    <w:p>
      <w:pPr>
        <w:pStyle w:val="ListBody"/>
        <w:ind w:left="490" w:hanging="331"/>
      </w:pPr>
      <w:r>
        <w:rPr>
          <w:b/>
        </w:rPr>
        <w:t xml:space="preserve">• </w:t>
      </w:r>
      <w:r>
        <w:t>Realization.</w:t>
      </w:r>
    </w:p>
    <w:p>
      <w:pPr>
        <w:pStyle w:val="ListBody"/>
        <w:ind w:left="490" w:hanging="331"/>
      </w:pPr>
      <w:r>
        <w:rPr>
          <w:b/>
        </w:rPr>
        <w:t xml:space="preserve">• </w:t>
      </w:r>
      <w:r>
        <w:t>Cash cost.</w:t>
      </w:r>
    </w:p>
    <w:p>
      <w:pPr>
        <w:pStyle w:val="ListBody"/>
        <w:ind w:left="490" w:hanging="331"/>
      </w:pPr>
      <w:r>
        <w:rPr>
          <w:b/>
        </w:rPr>
        <w:t xml:space="preserve">• </w:t>
      </w:r>
      <w:r>
        <w:t>Cost-curve position.</w:t>
      </w:r>
    </w:p>
    <w:p>
      <w:pPr>
        <w:pStyle w:val="ListBody"/>
        <w:ind w:left="490" w:hanging="331"/>
      </w:pPr>
      <w:r>
        <w:rPr>
          <w:b/>
        </w:rPr>
        <w:t xml:space="preserve">• </w:t>
      </w:r>
      <w:r>
        <w:t>Capacity utilization.</w:t>
      </w:r>
    </w:p>
    <w:p>
      <w:pPr>
        <w:pStyle w:val="ListBody"/>
        <w:ind w:left="490" w:hanging="331"/>
      </w:pPr>
      <w:r>
        <w:rPr>
          <w:b/>
        </w:rPr>
        <w:t xml:space="preserve">• </w:t>
      </w:r>
      <w:r>
        <w:t>Commodity sensitivity.</w:t>
      </w:r>
    </w:p>
    <w:p>
      <w:pPr>
        <w:pStyle w:val="ListBody"/>
        <w:ind w:left="490" w:hanging="331"/>
      </w:pPr>
      <w:r>
        <w:rPr>
          <w:b/>
        </w:rPr>
        <w:t xml:space="preserve">• </w:t>
      </w:r>
      <w:r>
        <w:t>Hedging.</w:t>
      </w:r>
    </w:p>
    <w:p>
      <w:pPr>
        <w:pStyle w:val="ListBody"/>
        <w:ind w:left="490" w:hanging="331"/>
      </w:pPr>
      <w:r>
        <w:rPr>
          <w:b/>
        </w:rPr>
        <w:t xml:space="preserve">• </w:t>
      </w:r>
      <w:r>
        <w:t>Mid-cycle margin.</w:t>
      </w:r>
    </w:p>
    <w:p>
      <w:pPr>
        <w:pStyle w:val="ListBody"/>
        <w:ind w:left="490" w:hanging="331"/>
      </w:pPr>
      <w:r>
        <w:rPr>
          <w:b/>
        </w:rPr>
        <w:t xml:space="preserve">• </w:t>
      </w:r>
      <w:r>
        <w:t>Net debt through the cycle.</w:t>
      </w:r>
    </w:p>
    <w:p>
      <w:pPr>
        <w:pStyle w:val="ListBody"/>
        <w:ind w:left="490" w:hanging="331"/>
      </w:pPr>
      <w:r>
        <w:rPr>
          <w:b/>
        </w:rPr>
        <w:t xml:space="preserve">• </w:t>
      </w:r>
      <w:r>
        <w:t>Replacement cost.</w:t>
      </w:r>
    </w:p>
    <w:p>
      <w:pPr>
        <w:pStyle w:val="ListBody"/>
        <w:ind w:left="490" w:hanging="331"/>
      </w:pPr>
      <w:r>
        <w:rPr>
          <w:b/>
        </w:rPr>
        <w:t xml:space="preserve">• </w:t>
      </w:r>
      <w:r>
        <w:t>Reserve life where relevant.</w:t>
      </w:r>
    </w:p>
    <w:p>
      <w:pPr/>
      <w:r>
        <w:t>Peak-cycle profits must be normalized.</w:t>
      </w:r>
    </w:p>
    <w:p>
      <w:pPr>
        <w:pStyle w:val="Heading2"/>
        <w:keepNext/>
      </w:pPr>
      <w:r>
        <w:t>38.11 REITs and InvITs</w:t>
      </w:r>
    </w:p>
    <w:p>
      <w:pPr/>
      <w:r>
        <w:t>Use:</w:t>
      </w:r>
    </w:p>
    <w:p>
      <w:pPr>
        <w:pStyle w:val="ListBody"/>
        <w:ind w:left="490" w:hanging="331"/>
      </w:pPr>
      <w:r>
        <w:rPr>
          <w:b/>
        </w:rPr>
        <w:t xml:space="preserve">• </w:t>
      </w:r>
      <w:r>
        <w:t>Net operating income.</w:t>
      </w:r>
    </w:p>
    <w:p>
      <w:pPr>
        <w:pStyle w:val="ListBody"/>
        <w:ind w:left="490" w:hanging="331"/>
      </w:pPr>
      <w:r>
        <w:rPr>
          <w:b/>
        </w:rPr>
        <w:t xml:space="preserve">• </w:t>
      </w:r>
      <w:r>
        <w:t>Occupancy.</w:t>
      </w:r>
    </w:p>
    <w:p>
      <w:pPr>
        <w:pStyle w:val="ListBody"/>
        <w:ind w:left="490" w:hanging="331"/>
      </w:pPr>
      <w:r>
        <w:rPr>
          <w:b/>
        </w:rPr>
        <w:t xml:space="preserve">• </w:t>
      </w:r>
      <w:r>
        <w:t>Tenant concentration.</w:t>
      </w:r>
    </w:p>
    <w:p>
      <w:pPr>
        <w:pStyle w:val="ListBody"/>
        <w:ind w:left="490" w:hanging="331"/>
      </w:pPr>
      <w:r>
        <w:rPr>
          <w:b/>
        </w:rPr>
        <w:t xml:space="preserve">• </w:t>
      </w:r>
      <w:r>
        <w:t>WALE.</w:t>
      </w:r>
    </w:p>
    <w:p>
      <w:pPr>
        <w:pStyle w:val="ListBody"/>
        <w:ind w:left="490" w:hanging="331"/>
      </w:pPr>
      <w:r>
        <w:rPr>
          <w:b/>
        </w:rPr>
        <w:t xml:space="preserve">• </w:t>
      </w:r>
      <w:r>
        <w:t>Rent escalation.</w:t>
      </w:r>
    </w:p>
    <w:p>
      <w:pPr>
        <w:pStyle w:val="ListBody"/>
        <w:ind w:left="490" w:hanging="331"/>
      </w:pPr>
      <w:r>
        <w:rPr>
          <w:b/>
        </w:rPr>
        <w:t xml:space="preserve">• </w:t>
      </w:r>
      <w:r>
        <w:t>Distribution per unit.</w:t>
      </w:r>
    </w:p>
    <w:p>
      <w:pPr>
        <w:pStyle w:val="ListBody"/>
        <w:ind w:left="490" w:hanging="331"/>
      </w:pPr>
      <w:r>
        <w:rPr>
          <w:b/>
        </w:rPr>
        <w:t xml:space="preserve">• </w:t>
      </w:r>
      <w:r>
        <w:t>LTV.</w:t>
      </w:r>
    </w:p>
    <w:p>
      <w:pPr>
        <w:pStyle w:val="ListBody"/>
        <w:ind w:left="490" w:hanging="331"/>
      </w:pPr>
      <w:r>
        <w:rPr>
          <w:b/>
        </w:rPr>
        <w:t xml:space="preserve">• </w:t>
      </w:r>
      <w:r>
        <w:t>Interest coverage.</w:t>
      </w:r>
    </w:p>
    <w:p>
      <w:pPr>
        <w:pStyle w:val="ListBody"/>
        <w:ind w:left="490" w:hanging="331"/>
      </w:pPr>
      <w:r>
        <w:rPr>
          <w:b/>
        </w:rPr>
        <w:t xml:space="preserve">• </w:t>
      </w:r>
      <w:r>
        <w:t>NAV.</w:t>
      </w:r>
    </w:p>
    <w:p>
      <w:pPr>
        <w:pStyle w:val="ListBody"/>
        <w:ind w:left="490" w:hanging="331"/>
      </w:pPr>
      <w:r>
        <w:rPr>
          <w:b/>
        </w:rPr>
        <w:t xml:space="preserve">• </w:t>
      </w:r>
      <w:r>
        <w:t>Asset quality.</w:t>
      </w:r>
    </w:p>
    <w:p>
      <w:pPr>
        <w:pStyle w:val="ListBody"/>
        <w:ind w:left="490" w:hanging="331"/>
      </w:pPr>
      <w:r>
        <w:rPr>
          <w:b/>
        </w:rPr>
        <w:t xml:space="preserve">• </w:t>
      </w:r>
      <w:r>
        <w:t>Sponsor quality.</w:t>
      </w:r>
    </w:p>
    <w:p>
      <w:pPr>
        <w:pStyle w:val="Heading2"/>
        <w:keepNext/>
      </w:pPr>
      <w:r>
        <w:t>38.12 Holding companies and conglomerates</w:t>
      </w:r>
    </w:p>
    <w:p>
      <w:pPr/>
      <w:r>
        <w:t>Use:</w:t>
      </w:r>
    </w:p>
    <w:p>
      <w:pPr>
        <w:pStyle w:val="ListBody"/>
        <w:ind w:left="490" w:hanging="331"/>
      </w:pPr>
      <w:r>
        <w:rPr>
          <w:b/>
        </w:rPr>
        <w:t xml:space="preserve">• </w:t>
      </w:r>
      <w:r>
        <w:t>SOTP.</w:t>
      </w:r>
    </w:p>
    <w:p>
      <w:pPr>
        <w:pStyle w:val="ListBody"/>
        <w:ind w:left="490" w:hanging="331"/>
      </w:pPr>
      <w:r>
        <w:rPr>
          <w:b/>
        </w:rPr>
        <w:t xml:space="preserve">• </w:t>
      </w:r>
      <w:r>
        <w:t>Listed-subsidiary values.</w:t>
      </w:r>
    </w:p>
    <w:p>
      <w:pPr>
        <w:pStyle w:val="ListBody"/>
        <w:ind w:left="490" w:hanging="331"/>
      </w:pPr>
      <w:r>
        <w:rPr>
          <w:b/>
        </w:rPr>
        <w:t xml:space="preserve">• </w:t>
      </w:r>
      <w:r>
        <w:t>Unlisted asset values.</w:t>
      </w:r>
    </w:p>
    <w:p>
      <w:pPr>
        <w:pStyle w:val="ListBody"/>
        <w:ind w:left="490" w:hanging="331"/>
      </w:pPr>
      <w:r>
        <w:rPr>
          <w:b/>
        </w:rPr>
        <w:t xml:space="preserve">• </w:t>
      </w:r>
      <w:r>
        <w:t>Cross-holdings.</w:t>
      </w:r>
    </w:p>
    <w:p>
      <w:pPr>
        <w:pStyle w:val="ListBody"/>
        <w:ind w:left="490" w:hanging="331"/>
      </w:pPr>
      <w:r>
        <w:rPr>
          <w:b/>
        </w:rPr>
        <w:t xml:space="preserve">• </w:t>
      </w:r>
      <w:r>
        <w:t>Holding-company debt.</w:t>
      </w:r>
    </w:p>
    <w:p>
      <w:pPr>
        <w:pStyle w:val="ListBody"/>
        <w:ind w:left="490" w:hanging="331"/>
      </w:pPr>
      <w:r>
        <w:rPr>
          <w:b/>
        </w:rPr>
        <w:t xml:space="preserve">• </w:t>
      </w:r>
      <w:r>
        <w:t>Central expenses.</w:t>
      </w:r>
    </w:p>
    <w:p>
      <w:pPr>
        <w:pStyle w:val="ListBody"/>
        <w:ind w:left="490" w:hanging="331"/>
      </w:pPr>
      <w:r>
        <w:rPr>
          <w:b/>
        </w:rPr>
        <w:t xml:space="preserve">• </w:t>
      </w:r>
      <w:r>
        <w:t>Capital allocation.</w:t>
      </w:r>
    </w:p>
    <w:p>
      <w:pPr>
        <w:pStyle w:val="ListBody"/>
        <w:ind w:left="490" w:hanging="331"/>
      </w:pPr>
      <w:r>
        <w:rPr>
          <w:b/>
        </w:rPr>
        <w:t xml:space="preserve">• </w:t>
      </w:r>
      <w:r>
        <w:t>Holding-company discount.</w:t>
      </w:r>
    </w:p>
    <w:p>
      <w:pPr>
        <w:pStyle w:val="Heading2"/>
        <w:keepNext/>
      </w:pPr>
      <w:r>
        <w:t>38.13 SME companies</w:t>
      </w:r>
    </w:p>
    <w:p>
      <w:pPr/>
      <w:r>
        <w:t>Apply:</w:t>
      </w:r>
    </w:p>
    <w:p>
      <w:pPr>
        <w:pStyle w:val="ListBody"/>
        <w:ind w:left="490" w:hanging="331"/>
      </w:pPr>
      <w:r>
        <w:rPr>
          <w:b/>
        </w:rPr>
        <w:t xml:space="preserve">• </w:t>
      </w:r>
      <w:r>
        <w:t>Higher liquidity standards.</w:t>
      </w:r>
    </w:p>
    <w:p>
      <w:pPr>
        <w:pStyle w:val="ListBody"/>
        <w:ind w:left="490" w:hanging="331"/>
      </w:pPr>
      <w:r>
        <w:rPr>
          <w:b/>
        </w:rPr>
        <w:t xml:space="preserve">• </w:t>
      </w:r>
      <w:r>
        <w:t>Higher Data Confidence requirement.</w:t>
      </w:r>
    </w:p>
    <w:p>
      <w:pPr>
        <w:pStyle w:val="ListBody"/>
        <w:ind w:left="490" w:hanging="331"/>
      </w:pPr>
      <w:r>
        <w:rPr>
          <w:b/>
        </w:rPr>
        <w:t xml:space="preserve">• </w:t>
      </w:r>
      <w:r>
        <w:t>Stronger governance review.</w:t>
      </w:r>
    </w:p>
    <w:p>
      <w:pPr>
        <w:pStyle w:val="ListBody"/>
        <w:ind w:left="490" w:hanging="331"/>
      </w:pPr>
      <w:r>
        <w:rPr>
          <w:b/>
        </w:rPr>
        <w:t xml:space="preserve">• </w:t>
      </w:r>
      <w:r>
        <w:t>Lower position limits.</w:t>
      </w:r>
    </w:p>
    <w:p>
      <w:pPr>
        <w:pStyle w:val="ListBody"/>
        <w:ind w:left="490" w:hanging="331"/>
      </w:pPr>
      <w:r>
        <w:rPr>
          <w:b/>
        </w:rPr>
        <w:t xml:space="preserve">• </w:t>
      </w:r>
      <w:r>
        <w:t>Higher market-impact assumptions.</w:t>
      </w:r>
    </w:p>
    <w:p>
      <w:pPr>
        <w:pStyle w:val="ListBody"/>
        <w:ind w:left="490" w:hanging="331"/>
      </w:pPr>
      <w:r>
        <w:rPr>
          <w:b/>
        </w:rPr>
        <w:t xml:space="preserve">• </w:t>
      </w:r>
      <w:r>
        <w:t>Separate rankings.</w:t>
      </w:r>
    </w:p>
    <w:p>
      <w:pPr>
        <w:pStyle w:val="ListBody"/>
        <w:ind w:left="490" w:hanging="331"/>
      </w:pPr>
      <w:r>
        <w:rPr>
          <w:b/>
        </w:rPr>
        <w:t xml:space="preserve">• </w:t>
      </w:r>
      <w:r>
        <w:t>Stricter promoter analysis.</w:t>
      </w:r>
    </w:p>
    <w:p>
      <w:pPr>
        <w:pStyle w:val="ListBody"/>
        <w:ind w:left="490" w:hanging="331"/>
      </w:pPr>
      <w:r>
        <w:rPr>
          <w:b/>
        </w:rPr>
        <w:t xml:space="preserve">• </w:t>
      </w:r>
      <w:r>
        <w:t>Manual review before actionable status.</w:t>
      </w:r>
    </w:p>
    <w:p>
      <w:pPr>
        <w:spacing w:after="0"/>
      </w:pPr>
      <w:r/>
    </w:p>
    <w:p>
      <w:pPr>
        <w:pStyle w:val="Heading1"/>
        <w:pBdr>
          <w:bottom w:val="single" w:sz="4" w:space="5" w:color="7A9AAA"/>
        </w:pBdr>
        <w:keepNext/>
      </w:pPr>
      <w:r>
        <w:t>39. Ranking system</w:t>
      </w:r>
    </w:p>
    <w:p>
      <w:pPr/>
      <w:r>
        <w:t>Generate separate rankings:</w:t>
      </w:r>
    </w:p>
    <w:p>
      <w:pPr>
        <w:pStyle w:val="ListBody"/>
        <w:ind w:left="490" w:hanging="331"/>
      </w:pPr>
      <w:r>
        <w:rPr>
          <w:b/>
        </w:rPr>
        <w:t xml:space="preserve">1. </w:t>
      </w:r>
      <w:r>
        <w:t>Overall Candidate Rank.</w:t>
      </w:r>
    </w:p>
    <w:p>
      <w:pPr>
        <w:pStyle w:val="ListBody"/>
        <w:ind w:left="490" w:hanging="331"/>
      </w:pPr>
      <w:r>
        <w:rPr>
          <w:b/>
        </w:rPr>
        <w:t xml:space="preserve">2. </w:t>
      </w:r>
      <w:r>
        <w:t>Sector Rank.</w:t>
      </w:r>
    </w:p>
    <w:p>
      <w:pPr>
        <w:pStyle w:val="ListBody"/>
        <w:ind w:left="490" w:hanging="331"/>
      </w:pPr>
      <w:r>
        <w:rPr>
          <w:b/>
        </w:rPr>
        <w:t xml:space="preserve">3. </w:t>
      </w:r>
      <w:r>
        <w:t>Market-Cap Rank.</w:t>
      </w:r>
    </w:p>
    <w:p>
      <w:pPr>
        <w:pStyle w:val="ListBody"/>
        <w:ind w:left="490" w:hanging="331"/>
      </w:pPr>
      <w:r>
        <w:rPr>
          <w:b/>
        </w:rPr>
        <w:t xml:space="preserve">4. </w:t>
      </w:r>
      <w:r>
        <w:t>Financial Quality Rank.</w:t>
      </w:r>
    </w:p>
    <w:p>
      <w:pPr>
        <w:pStyle w:val="ListBody"/>
        <w:ind w:left="490" w:hanging="331"/>
      </w:pPr>
      <w:r>
        <w:rPr>
          <w:b/>
        </w:rPr>
        <w:t xml:space="preserve">5. </w:t>
      </w:r>
      <w:r>
        <w:t>Growth Rank.</w:t>
      </w:r>
    </w:p>
    <w:p>
      <w:pPr>
        <w:pStyle w:val="ListBody"/>
        <w:ind w:left="490" w:hanging="331"/>
      </w:pPr>
      <w:r>
        <w:rPr>
          <w:b/>
        </w:rPr>
        <w:t xml:space="preserve">6. </w:t>
      </w:r>
      <w:r>
        <w:t>Value Rank.</w:t>
      </w:r>
    </w:p>
    <w:p>
      <w:pPr>
        <w:pStyle w:val="ListBody"/>
        <w:ind w:left="490" w:hanging="331"/>
      </w:pPr>
      <w:r>
        <w:rPr>
          <w:b/>
        </w:rPr>
        <w:t xml:space="preserve">7. </w:t>
      </w:r>
      <w:r>
        <w:t>Balance-Sheet Rank.</w:t>
      </w:r>
    </w:p>
    <w:p>
      <w:pPr>
        <w:pStyle w:val="ListBody"/>
        <w:ind w:left="490" w:hanging="331"/>
      </w:pPr>
      <w:r>
        <w:rPr>
          <w:b/>
        </w:rPr>
        <w:t xml:space="preserve">8. </w:t>
      </w:r>
      <w:r>
        <w:t>Capital-Allocation Rank.</w:t>
      </w:r>
    </w:p>
    <w:p>
      <w:pPr>
        <w:pStyle w:val="ListBody"/>
        <w:ind w:left="490" w:hanging="331"/>
      </w:pPr>
      <w:r>
        <w:rPr>
          <w:b/>
        </w:rPr>
        <w:t xml:space="preserve">9. </w:t>
      </w:r>
      <w:r>
        <w:t>Integrity Rank.</w:t>
      </w:r>
    </w:p>
    <w:p>
      <w:pPr>
        <w:pStyle w:val="ListBody"/>
        <w:ind w:left="490" w:hanging="331"/>
      </w:pPr>
      <w:r>
        <w:rPr>
          <w:b/>
        </w:rPr>
        <w:t xml:space="preserve">10. </w:t>
      </w:r>
      <w:r>
        <w:t>Momentum Rank.</w:t>
      </w:r>
    </w:p>
    <w:p>
      <w:pPr>
        <w:pStyle w:val="ListBody"/>
        <w:ind w:left="490" w:hanging="331"/>
      </w:pPr>
      <w:r>
        <w:rPr>
          <w:b/>
        </w:rPr>
        <w:t xml:space="preserve">11. </w:t>
      </w:r>
      <w:r>
        <w:t>Liquidity Rank.</w:t>
      </w:r>
    </w:p>
    <w:p>
      <w:pPr>
        <w:pStyle w:val="ListBody"/>
        <w:ind w:left="490" w:hanging="331"/>
      </w:pPr>
      <w:r>
        <w:rPr>
          <w:b/>
        </w:rPr>
        <w:t xml:space="preserve">12. </w:t>
      </w:r>
      <w:r>
        <w:t>Data-Confidence Rank.</w:t>
      </w:r>
    </w:p>
    <w:p>
      <w:pPr>
        <w:pStyle w:val="ListBody"/>
        <w:ind w:left="490" w:hanging="331"/>
      </w:pPr>
      <w:r>
        <w:rPr>
          <w:b/>
        </w:rPr>
        <w:t xml:space="preserve">13. </w:t>
      </w:r>
      <w:r>
        <w:t>Research Rank.</w:t>
      </w:r>
    </w:p>
    <w:p>
      <w:pPr>
        <w:pStyle w:val="ListBody"/>
        <w:ind w:left="490" w:hanging="331"/>
      </w:pPr>
      <w:r>
        <w:rPr>
          <w:b/>
        </w:rPr>
        <w:t xml:space="preserve">14. </w:t>
      </w:r>
      <w:r>
        <w:t>Upgrade Rank.</w:t>
      </w:r>
    </w:p>
    <w:p>
      <w:pPr>
        <w:pStyle w:val="ListBody"/>
        <w:ind w:left="490" w:hanging="331"/>
      </w:pPr>
      <w:r>
        <w:rPr>
          <w:b/>
        </w:rPr>
        <w:t xml:space="preserve">15. </w:t>
      </w:r>
      <w:r>
        <w:t>Downgrade Rank.</w:t>
      </w:r>
    </w:p>
    <w:p>
      <w:pPr>
        <w:pStyle w:val="ListBody"/>
        <w:ind w:left="490" w:hanging="331"/>
      </w:pPr>
      <w:r>
        <w:rPr>
          <w:b/>
        </w:rPr>
        <w:t xml:space="preserve">16. </w:t>
      </w:r>
      <w:r>
        <w:t>Rank-Persistence Rank.</w:t>
      </w:r>
    </w:p>
    <w:p>
      <w:pPr>
        <w:pStyle w:val="ListBody"/>
        <w:ind w:left="490" w:hanging="331"/>
      </w:pPr>
      <w:r>
        <w:rPr>
          <w:b/>
        </w:rPr>
        <w:t xml:space="preserve">17. </w:t>
      </w:r>
      <w:r>
        <w:t>Capacity Rank.</w:t>
      </w:r>
    </w:p>
    <w:p>
      <w:pPr>
        <w:pStyle w:val="Heading2"/>
        <w:keepNext/>
      </w:pPr>
      <w:r>
        <w:t>Composite rank score</w:t>
      </w:r>
    </w:p>
    <w:p>
      <w:pPr>
        <w:pStyle w:val="FormulaBlock"/>
        <w:shd w:fill="F5F8FA"/>
      </w:pPr>
      <w:r>
        <w:t>[ CompositeRank = 0.50 x OverallPercentile + 0.25 x SectorPercentile + 0.15 x SizePercentile + 0.10 x RankPersistence ]</w:t>
      </w:r>
    </w:p>
    <w:p>
      <w:pPr/>
      <w:r>
        <w:t>Use score percentiles rather than directly averaging ordinal ranks.</w:t>
      </w:r>
    </w:p>
    <w:p>
      <w:pPr>
        <w:spacing w:after="0"/>
      </w:pPr>
      <w:r/>
    </w:p>
    <w:p>
      <w:pPr>
        <w:pStyle w:val="Heading1"/>
        <w:pBdr>
          <w:bottom w:val="single" w:sz="4" w:space="5" w:color="7A9AAA"/>
        </w:pBdr>
        <w:keepNext/>
      </w:pPr>
      <w:r>
        <w:t>40. Rank stability and drift</w:t>
      </w:r>
    </w:p>
    <w:p>
      <w:pPr/>
      <w:r>
        <w:t>Track:</w:t>
      </w:r>
    </w:p>
    <w:p>
      <w:pPr>
        <w:pStyle w:val="ListBody"/>
        <w:ind w:left="490" w:hanging="331"/>
      </w:pPr>
      <w:r>
        <w:rPr>
          <w:b/>
        </w:rPr>
        <w:t xml:space="preserve">• </w:t>
      </w:r>
      <w:r>
        <w:t>Current score.</w:t>
      </w:r>
    </w:p>
    <w:p>
      <w:pPr>
        <w:pStyle w:val="ListBody"/>
        <w:ind w:left="490" w:hanging="331"/>
      </w:pPr>
      <w:r>
        <w:rPr>
          <w:b/>
        </w:rPr>
        <w:t xml:space="preserve">• </w:t>
      </w:r>
      <w:r>
        <w:t>Previous score.</w:t>
      </w:r>
    </w:p>
    <w:p>
      <w:pPr>
        <w:pStyle w:val="ListBody"/>
        <w:ind w:left="490" w:hanging="331"/>
      </w:pPr>
      <w:r>
        <w:rPr>
          <w:b/>
        </w:rPr>
        <w:t xml:space="preserve">• </w:t>
      </w:r>
      <w:r>
        <w:t>One-month rank change.</w:t>
      </w:r>
    </w:p>
    <w:p>
      <w:pPr>
        <w:pStyle w:val="ListBody"/>
        <w:ind w:left="490" w:hanging="331"/>
      </w:pPr>
      <w:r>
        <w:rPr>
          <w:b/>
        </w:rPr>
        <w:t xml:space="preserve">• </w:t>
      </w:r>
      <w:r>
        <w:t>Three-month rank change.</w:t>
      </w:r>
    </w:p>
    <w:p>
      <w:pPr>
        <w:pStyle w:val="ListBody"/>
        <w:ind w:left="490" w:hanging="331"/>
      </w:pPr>
      <w:r>
        <w:rPr>
          <w:b/>
        </w:rPr>
        <w:t xml:space="preserve">• </w:t>
      </w:r>
      <w:r>
        <w:t>One-year score range.</w:t>
      </w:r>
    </w:p>
    <w:p>
      <w:pPr>
        <w:pStyle w:val="ListBody"/>
        <w:ind w:left="490" w:hanging="331"/>
      </w:pPr>
      <w:r>
        <w:rPr>
          <w:b/>
        </w:rPr>
        <w:t xml:space="preserve">• </w:t>
      </w:r>
      <w:r>
        <w:t>Component responsible for change.</w:t>
      </w:r>
    </w:p>
    <w:p>
      <w:pPr>
        <w:pStyle w:val="ListBody"/>
        <w:ind w:left="490" w:hanging="331"/>
      </w:pPr>
      <w:r>
        <w:rPr>
          <w:b/>
        </w:rPr>
        <w:t xml:space="preserve">• </w:t>
      </w:r>
      <w:r>
        <w:t>Source responsible for change.</w:t>
      </w:r>
    </w:p>
    <w:p>
      <w:pPr>
        <w:pStyle w:val="ListBody"/>
        <w:ind w:left="490" w:hanging="331"/>
      </w:pPr>
      <w:r>
        <w:rPr>
          <w:b/>
        </w:rPr>
        <w:t xml:space="preserve">• </w:t>
      </w:r>
      <w:r>
        <w:t>Model-version effect.</w:t>
      </w:r>
    </w:p>
    <w:p>
      <w:pPr>
        <w:pStyle w:val="ListBody"/>
        <w:ind w:left="490" w:hanging="331"/>
      </w:pPr>
      <w:r>
        <w:rPr>
          <w:b/>
        </w:rPr>
        <w:t xml:space="preserve">• </w:t>
      </w:r>
      <w:r>
        <w:t>Filing-revision effect.</w:t>
      </w:r>
    </w:p>
    <w:p>
      <w:pPr>
        <w:pStyle w:val="Heading2"/>
        <w:keepNext/>
      </w:pPr>
      <w:r>
        <w:t>Stability score</w:t>
      </w:r>
    </w:p>
    <w:p>
      <w:pPr>
        <w:pStyle w:val="FormulaBlock"/>
        <w:shd w:fill="F5F8FA"/>
      </w:pPr>
      <w:r>
        <w:t>[ Stability = 100 - Percentile(|Score_t - Score_{t-1}|) ]</w:t>
      </w:r>
    </w:p>
    <w:p>
      <w:pPr/>
      <w:r>
        <w:t>Large unexplained changes must enter manual review.</w:t>
      </w:r>
    </w:p>
    <w:p>
      <w:pPr>
        <w:spacing w:after="0"/>
      </w:pPr>
      <w:r/>
    </w:p>
    <w:p>
      <w:pPr>
        <w:pStyle w:val="Heading1"/>
        <w:pBdr>
          <w:bottom w:val="single" w:sz="4" w:space="5" w:color="7A9AAA"/>
        </w:pBdr>
        <w:keepNext/>
      </w:pPr>
      <w:r>
        <w:t>41. Dynamic watchlists</w:t>
      </w:r>
    </w:p>
    <w:p>
      <w:pPr/>
      <w:r>
        <w:t>Required watchlists:</w:t>
      </w:r>
    </w:p>
    <w:p>
      <w:pPr>
        <w:pStyle w:val="ListBody"/>
        <w:ind w:left="490" w:hanging="331"/>
      </w:pPr>
      <w:r>
        <w:rPr>
          <w:b/>
        </w:rPr>
        <w:t xml:space="preserve">• </w:t>
      </w:r>
      <w:r>
        <w:t>Elite Research Candidates.</w:t>
      </w:r>
    </w:p>
    <w:p>
      <w:pPr>
        <w:pStyle w:val="ListBody"/>
        <w:ind w:left="490" w:hanging="331"/>
      </w:pPr>
      <w:r>
        <w:rPr>
          <w:b/>
        </w:rPr>
        <w:t xml:space="preserve">• </w:t>
      </w:r>
      <w:r>
        <w:t>Quality at Reasonable Value.</w:t>
      </w:r>
    </w:p>
    <w:p>
      <w:pPr>
        <w:pStyle w:val="ListBody"/>
        <w:ind w:left="490" w:hanging="331"/>
      </w:pPr>
      <w:r>
        <w:rPr>
          <w:b/>
        </w:rPr>
        <w:t xml:space="preserve">• </w:t>
      </w:r>
      <w:r>
        <w:t>Emerging Compounders.</w:t>
      </w:r>
    </w:p>
    <w:p>
      <w:pPr>
        <w:pStyle w:val="ListBody"/>
        <w:ind w:left="490" w:hanging="331"/>
      </w:pPr>
      <w:r>
        <w:rPr>
          <w:b/>
        </w:rPr>
        <w:t xml:space="preserve">• </w:t>
      </w:r>
      <w:r>
        <w:t>Earnings Improvers.</w:t>
      </w:r>
    </w:p>
    <w:p>
      <w:pPr>
        <w:pStyle w:val="ListBody"/>
        <w:ind w:left="490" w:hanging="331"/>
      </w:pPr>
      <w:r>
        <w:rPr>
          <w:b/>
        </w:rPr>
        <w:t xml:space="preserve">• </w:t>
      </w:r>
      <w:r>
        <w:t>Cash-Flow Improvers.</w:t>
      </w:r>
    </w:p>
    <w:p>
      <w:pPr>
        <w:pStyle w:val="ListBody"/>
        <w:ind w:left="490" w:hanging="331"/>
      </w:pPr>
      <w:r>
        <w:rPr>
          <w:b/>
        </w:rPr>
        <w:t xml:space="preserve">• </w:t>
      </w:r>
      <w:r>
        <w:t>Turnaround Watch.</w:t>
      </w:r>
    </w:p>
    <w:p>
      <w:pPr>
        <w:pStyle w:val="ListBody"/>
        <w:ind w:left="490" w:hanging="331"/>
      </w:pPr>
      <w:r>
        <w:rPr>
          <w:b/>
        </w:rPr>
        <w:t xml:space="preserve">• </w:t>
      </w:r>
      <w:r>
        <w:t>Deep Value Watch.</w:t>
      </w:r>
    </w:p>
    <w:p>
      <w:pPr>
        <w:pStyle w:val="ListBody"/>
        <w:ind w:left="490" w:hanging="331"/>
      </w:pPr>
      <w:r>
        <w:rPr>
          <w:b/>
        </w:rPr>
        <w:t xml:space="preserve">• </w:t>
      </w:r>
      <w:r>
        <w:t>Value Traps.</w:t>
      </w:r>
    </w:p>
    <w:p>
      <w:pPr>
        <w:pStyle w:val="ListBody"/>
        <w:ind w:left="490" w:hanging="331"/>
      </w:pPr>
      <w:r>
        <w:rPr>
          <w:b/>
        </w:rPr>
        <w:t xml:space="preserve">• </w:t>
      </w:r>
      <w:r>
        <w:t>Governance Deterioration.</w:t>
      </w:r>
    </w:p>
    <w:p>
      <w:pPr>
        <w:pStyle w:val="ListBody"/>
        <w:ind w:left="490" w:hanging="331"/>
      </w:pPr>
      <w:r>
        <w:rPr>
          <w:b/>
        </w:rPr>
        <w:t xml:space="preserve">• </w:t>
      </w:r>
      <w:r>
        <w:t>Balance-Sheet Risk.</w:t>
      </w:r>
    </w:p>
    <w:p>
      <w:pPr>
        <w:pStyle w:val="ListBody"/>
        <w:ind w:left="490" w:hanging="331"/>
      </w:pPr>
      <w:r>
        <w:rPr>
          <w:b/>
        </w:rPr>
        <w:t xml:space="preserve">• </w:t>
      </w:r>
      <w:r>
        <w:t>Overvaluation Risk.</w:t>
      </w:r>
    </w:p>
    <w:p>
      <w:pPr>
        <w:pStyle w:val="ListBody"/>
        <w:ind w:left="490" w:hanging="331"/>
      </w:pPr>
      <w:r>
        <w:rPr>
          <w:b/>
        </w:rPr>
        <w:t xml:space="preserve">• </w:t>
      </w:r>
      <w:r>
        <w:t>Momentum Confirmation.</w:t>
      </w:r>
    </w:p>
    <w:p>
      <w:pPr>
        <w:pStyle w:val="ListBody"/>
        <w:ind w:left="490" w:hanging="331"/>
      </w:pPr>
      <w:r>
        <w:rPr>
          <w:b/>
        </w:rPr>
        <w:t xml:space="preserve">• </w:t>
      </w:r>
      <w:r>
        <w:t>Liquidity Deterioration.</w:t>
      </w:r>
    </w:p>
    <w:p>
      <w:pPr>
        <w:pStyle w:val="ListBody"/>
        <w:ind w:left="490" w:hanging="331"/>
      </w:pPr>
      <w:r>
        <w:rPr>
          <w:b/>
        </w:rPr>
        <w:t xml:space="preserve">• </w:t>
      </w:r>
      <w:r>
        <w:t>New Listings.</w:t>
      </w:r>
    </w:p>
    <w:p>
      <w:pPr>
        <w:pStyle w:val="ListBody"/>
        <w:ind w:left="490" w:hanging="331"/>
      </w:pPr>
      <w:r>
        <w:rPr>
          <w:b/>
        </w:rPr>
        <w:t xml:space="preserve">• </w:t>
      </w:r>
      <w:r>
        <w:t>Pending Resolution.</w:t>
      </w:r>
    </w:p>
    <w:p>
      <w:pPr>
        <w:pStyle w:val="ListBody"/>
        <w:ind w:left="490" w:hanging="331"/>
      </w:pPr>
      <w:r>
        <w:rPr>
          <w:b/>
        </w:rPr>
        <w:t xml:space="preserve">• </w:t>
      </w:r>
      <w:r>
        <w:t>Insufficient Data.</w:t>
      </w:r>
    </w:p>
    <w:p>
      <w:pPr>
        <w:pStyle w:val="ListBody"/>
        <w:ind w:left="490" w:hanging="331"/>
      </w:pPr>
      <w:r>
        <w:rPr>
          <w:b/>
        </w:rPr>
        <w:t xml:space="preserve">• </w:t>
      </w:r>
      <w:r>
        <w:t>Recent Score Upgrades.</w:t>
      </w:r>
    </w:p>
    <w:p>
      <w:pPr>
        <w:pStyle w:val="ListBody"/>
        <w:ind w:left="490" w:hanging="331"/>
      </w:pPr>
      <w:r>
        <w:rPr>
          <w:b/>
        </w:rPr>
        <w:t xml:space="preserve">• </w:t>
      </w:r>
      <w:r>
        <w:t>Recent Score Downgrades.</w:t>
      </w:r>
    </w:p>
    <w:p>
      <w:pPr>
        <w:pStyle w:val="ListBody"/>
        <w:ind w:left="490" w:hanging="331"/>
      </w:pPr>
      <w:r>
        <w:rPr>
          <w:b/>
        </w:rPr>
        <w:t xml:space="preserve">• </w:t>
      </w:r>
      <w:r>
        <w:t>Upcoming Results.</w:t>
      </w:r>
    </w:p>
    <w:p>
      <w:pPr>
        <w:pStyle w:val="ListBody"/>
        <w:ind w:left="490" w:hanging="331"/>
      </w:pPr>
      <w:r>
        <w:rPr>
          <w:b/>
        </w:rPr>
        <w:t xml:space="preserve">• </w:t>
      </w:r>
      <w:r>
        <w:t>Portfolio Review Required.</w:t>
      </w:r>
    </w:p>
    <w:p>
      <w:pPr/>
      <w:r>
        <w:t>Users may create custom watchlists using Boolean filters.</w:t>
      </w:r>
    </w:p>
    <w:p>
      <w:pPr>
        <w:spacing w:after="0"/>
      </w:pPr>
      <w:r/>
    </w:p>
    <w:p>
      <w:pPr>
        <w:pStyle w:val="Heading1"/>
        <w:pBdr>
          <w:bottom w:val="single" w:sz="4" w:space="5" w:color="7A9AAA"/>
        </w:pBdr>
        <w:keepNext/>
      </w:pPr>
      <w:r>
        <w:t>42. Deep-research promotion</w:t>
      </w:r>
    </w:p>
    <w:p>
      <w:pPr/>
      <w:r>
        <w:t>Promote approximately 100–200 companies using:</w:t>
      </w:r>
    </w:p>
    <w:p>
      <w:pPr>
        <w:pStyle w:val="FormulaBlock"/>
        <w:shd w:fill="F5F8FA"/>
      </w:pPr>
      <w:r>
        <w:t>[ PromotionScore = 0.45 x CandidateScore + 0.15 x SectorPercentile + 0.10 x DataConfidence + 0.10 x RankPersistence + 0.10 x Liquidity + 0.05 x EventPriority + 0.05 x PortfolioPriority ]</w:t>
      </w:r>
    </w:p>
    <w:p>
      <w:pPr/>
      <w:r>
        <w:t>Research capacity must be reserved for:</w:t>
      </w:r>
    </w:p>
    <w:p>
      <w:pPr>
        <w:pStyle w:val="ListBody"/>
        <w:ind w:left="490" w:hanging="331"/>
      </w:pPr>
      <w:r>
        <w:rPr>
          <w:b/>
        </w:rPr>
        <w:t xml:space="preserve">• </w:t>
      </w:r>
      <w:r>
        <w:t>Existing holdings.</w:t>
      </w:r>
    </w:p>
    <w:p>
      <w:pPr>
        <w:pStyle w:val="ListBody"/>
        <w:ind w:left="490" w:hanging="331"/>
      </w:pPr>
      <w:r>
        <w:rPr>
          <w:b/>
        </w:rPr>
        <w:t xml:space="preserve">• </w:t>
      </w:r>
      <w:r>
        <w:t>Major upgrades.</w:t>
      </w:r>
    </w:p>
    <w:p>
      <w:pPr>
        <w:pStyle w:val="ListBody"/>
        <w:ind w:left="490" w:hanging="331"/>
      </w:pPr>
      <w:r>
        <w:rPr>
          <w:b/>
        </w:rPr>
        <w:t xml:space="preserve">• </w:t>
      </w:r>
      <w:r>
        <w:t>Major downgrades.</w:t>
      </w:r>
    </w:p>
    <w:p>
      <w:pPr>
        <w:pStyle w:val="ListBody"/>
        <w:ind w:left="490" w:hanging="331"/>
      </w:pPr>
      <w:r>
        <w:rPr>
          <w:b/>
        </w:rPr>
        <w:t xml:space="preserve">• </w:t>
      </w:r>
      <w:r>
        <w:t>Governance alerts.</w:t>
      </w:r>
    </w:p>
    <w:p>
      <w:pPr>
        <w:pStyle w:val="ListBody"/>
        <w:ind w:left="490" w:hanging="331"/>
      </w:pPr>
      <w:r>
        <w:rPr>
          <w:b/>
        </w:rPr>
        <w:t xml:space="preserve">• </w:t>
      </w:r>
      <w:r>
        <w:t>Results.</w:t>
      </w:r>
    </w:p>
    <w:p>
      <w:pPr>
        <w:pStyle w:val="ListBody"/>
        <w:ind w:left="490" w:hanging="331"/>
      </w:pPr>
      <w:r>
        <w:rPr>
          <w:b/>
        </w:rPr>
        <w:t xml:space="preserve">• </w:t>
      </w:r>
      <w:r>
        <w:t>Corporate actions.</w:t>
      </w:r>
    </w:p>
    <w:p>
      <w:pPr>
        <w:pStyle w:val="ListBody"/>
        <w:ind w:left="490" w:hanging="331"/>
      </w:pPr>
      <w:r>
        <w:rPr>
          <w:b/>
        </w:rPr>
        <w:t xml:space="preserve">• </w:t>
      </w:r>
      <w:r>
        <w:t>New listings.</w:t>
      </w:r>
    </w:p>
    <w:p>
      <w:pPr>
        <w:pStyle w:val="ListBody"/>
        <w:ind w:left="490" w:hanging="331"/>
      </w:pPr>
      <w:r>
        <w:rPr>
          <w:b/>
        </w:rPr>
        <w:t xml:space="preserve">• </w:t>
      </w:r>
      <w:r>
        <w:t>Potential value traps.</w:t>
      </w:r>
    </w:p>
    <w:p>
      <w:pPr>
        <w:pStyle w:val="ListBody"/>
        <w:ind w:left="490" w:hanging="331"/>
      </w:pPr>
      <w:r>
        <w:rPr>
          <w:b/>
        </w:rPr>
        <w:t xml:space="preserve">• </w:t>
      </w:r>
      <w:r>
        <w:t>Sector opportunities.</w:t>
      </w:r>
    </w:p>
    <w:p>
      <w:pPr>
        <w:spacing w:after="0"/>
      </w:pPr>
      <w:r/>
    </w:p>
    <w:p>
      <w:pPr>
        <w:pStyle w:val="Heading1"/>
        <w:pBdr>
          <w:bottom w:val="single" w:sz="4" w:space="5" w:color="7A9AAA"/>
        </w:pBdr>
        <w:keepNext/>
      </w:pPr>
      <w:r>
        <w:t>43. Deep Research Score</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blHeader w:val="true"/>
        </w:trPr>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Component</w:t>
            </w:r>
          </w:p>
        </w:tc>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Weight</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Business quality and moat</w:t>
            </w:r>
          </w:p>
        </w:tc>
        <w:tc>
          <w:tcPr>
            <w:tcW w:type="dxa" w:w="4997"/>
            <w:vAlign w:val="center"/>
            <w:tcMar>
              <w:top w:w="55" w:type="dxa"/>
              <w:start w:w="65" w:type="dxa"/>
              <w:bottom w:w="55" w:type="dxa"/>
              <w:end w:w="65" w:type="dxa"/>
            </w:tcMar>
          </w:tcPr>
          <w:p>
            <w:pPr>
              <w:spacing w:after="0"/>
            </w:pPr>
            <w:r>
              <w:rPr>
                <w:rFonts w:ascii="Cambria" w:hAnsi="Cambria"/>
                <w:sz w:val="18"/>
              </w:rPr>
              <w:t>15</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Industry structure</w:t>
            </w:r>
          </w:p>
        </w:tc>
        <w:tc>
          <w:tcPr>
            <w:tcW w:type="dxa" w:w="4997"/>
            <w:vAlign w:val="center"/>
            <w:tcMar>
              <w:top w:w="55" w:type="dxa"/>
              <w:start w:w="65" w:type="dxa"/>
              <w:bottom w:w="55" w:type="dxa"/>
              <w:end w:w="65" w:type="dxa"/>
            </w:tcMar>
            <w:shd w:fill="F8FAFB"/>
          </w:tcPr>
          <w:p>
            <w:pPr>
              <w:spacing w:after="0"/>
            </w:pPr>
            <w:r>
              <w:rPr>
                <w:rFonts w:ascii="Cambria" w:hAnsi="Cambria"/>
                <w:sz w:val="18"/>
              </w:rPr>
              <w:t>10</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Financial quality and resilience</w:t>
            </w:r>
          </w:p>
        </w:tc>
        <w:tc>
          <w:tcPr>
            <w:tcW w:type="dxa" w:w="4997"/>
            <w:vAlign w:val="center"/>
            <w:tcMar>
              <w:top w:w="55" w:type="dxa"/>
              <w:start w:w="65" w:type="dxa"/>
              <w:bottom w:w="55" w:type="dxa"/>
              <w:end w:w="65" w:type="dxa"/>
            </w:tcMar>
          </w:tcPr>
          <w:p>
            <w:pPr>
              <w:spacing w:after="0"/>
            </w:pPr>
            <w:r>
              <w:rPr>
                <w:rFonts w:ascii="Cambria" w:hAnsi="Cambria"/>
                <w:sz w:val="18"/>
              </w:rPr>
              <w:t>15</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Capital allocation</w:t>
            </w:r>
          </w:p>
        </w:tc>
        <w:tc>
          <w:tcPr>
            <w:tcW w:type="dxa" w:w="4997"/>
            <w:vAlign w:val="center"/>
            <w:tcMar>
              <w:top w:w="55" w:type="dxa"/>
              <w:start w:w="65" w:type="dxa"/>
              <w:bottom w:w="55" w:type="dxa"/>
              <w:end w:w="65" w:type="dxa"/>
            </w:tcMar>
            <w:shd w:fill="F8FAFB"/>
          </w:tcPr>
          <w:p>
            <w:pPr>
              <w:spacing w:after="0"/>
            </w:pPr>
            <w:r>
              <w:rPr>
                <w:rFonts w:ascii="Cambria" w:hAnsi="Cambria"/>
                <w:sz w:val="18"/>
              </w:rPr>
              <w:t>10</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Accounting integrity and governance</w:t>
            </w:r>
          </w:p>
        </w:tc>
        <w:tc>
          <w:tcPr>
            <w:tcW w:type="dxa" w:w="4997"/>
            <w:vAlign w:val="center"/>
            <w:tcMar>
              <w:top w:w="55" w:type="dxa"/>
              <w:start w:w="65" w:type="dxa"/>
              <w:bottom w:w="55" w:type="dxa"/>
              <w:end w:w="65" w:type="dxa"/>
            </w:tcMar>
          </w:tcPr>
          <w:p>
            <w:pPr>
              <w:spacing w:after="0"/>
            </w:pPr>
            <w:r>
              <w:rPr>
                <w:rFonts w:ascii="Cambria" w:hAnsi="Cambria"/>
                <w:sz w:val="18"/>
              </w:rPr>
              <w:t>20</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Forecast and scenario resilience</w:t>
            </w:r>
          </w:p>
        </w:tc>
        <w:tc>
          <w:tcPr>
            <w:tcW w:type="dxa" w:w="4997"/>
            <w:vAlign w:val="center"/>
            <w:tcMar>
              <w:top w:w="55" w:type="dxa"/>
              <w:start w:w="65" w:type="dxa"/>
              <w:bottom w:w="55" w:type="dxa"/>
              <w:end w:w="65" w:type="dxa"/>
            </w:tcMar>
            <w:shd w:fill="F8FAFB"/>
          </w:tcPr>
          <w:p>
            <w:pPr>
              <w:spacing w:after="0"/>
            </w:pPr>
            <w:r>
              <w:rPr>
                <w:rFonts w:ascii="Cambria" w:hAnsi="Cambria"/>
                <w:sz w:val="18"/>
              </w:rPr>
              <w:t>10</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Valuation and margin of safety</w:t>
            </w:r>
          </w:p>
        </w:tc>
        <w:tc>
          <w:tcPr>
            <w:tcW w:type="dxa" w:w="4997"/>
            <w:vAlign w:val="center"/>
            <w:tcMar>
              <w:top w:w="55" w:type="dxa"/>
              <w:start w:w="65" w:type="dxa"/>
              <w:bottom w:w="55" w:type="dxa"/>
              <w:end w:w="65" w:type="dxa"/>
            </w:tcMar>
          </w:tcPr>
          <w:p>
            <w:pPr>
              <w:spacing w:after="0"/>
            </w:pPr>
            <w:r>
              <w:rPr>
                <w:rFonts w:ascii="Cambria" w:hAnsi="Cambria"/>
                <w:sz w:val="18"/>
              </w:rPr>
              <w:t>15</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Catalysts</w:t>
            </w:r>
          </w:p>
        </w:tc>
        <w:tc>
          <w:tcPr>
            <w:tcW w:type="dxa" w:w="4997"/>
            <w:vAlign w:val="center"/>
            <w:tcMar>
              <w:top w:w="55" w:type="dxa"/>
              <w:start w:w="65" w:type="dxa"/>
              <w:bottom w:w="55" w:type="dxa"/>
              <w:end w:w="65" w:type="dxa"/>
            </w:tcMar>
            <w:shd w:fill="F8FAFB"/>
          </w:tcPr>
          <w:p>
            <w:pPr>
              <w:spacing w:after="0"/>
            </w:pPr>
            <w:r>
              <w:rPr>
                <w:rFonts w:ascii="Cambria" w:hAnsi="Cambria"/>
                <w:sz w:val="18"/>
              </w:rPr>
              <w:t>3</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Technical execution</w:t>
            </w:r>
          </w:p>
        </w:tc>
        <w:tc>
          <w:tcPr>
            <w:tcW w:type="dxa" w:w="4997"/>
            <w:vAlign w:val="center"/>
            <w:tcMar>
              <w:top w:w="55" w:type="dxa"/>
              <w:start w:w="65" w:type="dxa"/>
              <w:bottom w:w="55" w:type="dxa"/>
              <w:end w:w="65" w:type="dxa"/>
            </w:tcMar>
          </w:tcPr>
          <w:p>
            <w:pPr>
              <w:spacing w:after="0"/>
            </w:pPr>
            <w:r>
              <w:rPr>
                <w:rFonts w:ascii="Cambria" w:hAnsi="Cambria"/>
                <w:sz w:val="18"/>
              </w:rPr>
              <w:t>2</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Total</w:t>
            </w:r>
          </w:p>
        </w:tc>
        <w:tc>
          <w:tcPr>
            <w:tcW w:type="dxa" w:w="4997"/>
            <w:vAlign w:val="center"/>
            <w:tcMar>
              <w:top w:w="55" w:type="dxa"/>
              <w:start w:w="65" w:type="dxa"/>
              <w:bottom w:w="55" w:type="dxa"/>
              <w:end w:w="65" w:type="dxa"/>
            </w:tcMar>
            <w:shd w:fill="F8FAFB"/>
          </w:tcPr>
          <w:p>
            <w:pPr>
              <w:spacing w:after="0"/>
            </w:pPr>
            <w:r>
              <w:rPr>
                <w:rFonts w:ascii="Cambria" w:hAnsi="Cambria"/>
                <w:sz w:val="18"/>
              </w:rPr>
              <w:t>100</w:t>
            </w:r>
          </w:p>
        </w:tc>
      </w:tr>
    </w:tbl>
    <w:p>
      <w:pPr>
        <w:spacing w:after="20"/>
      </w:pPr>
    </w:p>
    <w:p>
      <w:pPr>
        <w:spacing w:after="0"/>
      </w:pPr>
      <w:r/>
    </w:p>
    <w:p>
      <w:pPr>
        <w:pStyle w:val="Heading1"/>
        <w:pBdr>
          <w:bottom w:val="single" w:sz="4" w:space="5" w:color="7A9AAA"/>
        </w:pBdr>
        <w:keepNext/>
      </w:pPr>
      <w:r>
        <w:t>44. Research Confidence</w:t>
      </w:r>
    </w:p>
    <w:p>
      <w:pPr/>
      <w:r>
        <w:t>Inputs:</w:t>
      </w:r>
    </w:p>
    <w:p>
      <w:pPr>
        <w:pStyle w:val="ListBody"/>
        <w:ind w:left="490" w:hanging="331"/>
      </w:pPr>
      <w:r>
        <w:rPr>
          <w:b/>
        </w:rPr>
        <w:t xml:space="preserve">• </w:t>
      </w:r>
      <w:r>
        <w:t>Primary-source coverage.</w:t>
      </w:r>
    </w:p>
    <w:p>
      <w:pPr>
        <w:pStyle w:val="ListBody"/>
        <w:ind w:left="490" w:hanging="331"/>
      </w:pPr>
      <w:r>
        <w:rPr>
          <w:b/>
        </w:rPr>
        <w:t xml:space="preserve">• </w:t>
      </w:r>
      <w:r>
        <w:t>Data freshness.</w:t>
      </w:r>
    </w:p>
    <w:p>
      <w:pPr>
        <w:pStyle w:val="ListBody"/>
        <w:ind w:left="490" w:hanging="331"/>
      </w:pPr>
      <w:r>
        <w:rPr>
          <w:b/>
        </w:rPr>
        <w:t xml:space="preserve">• </w:t>
      </w:r>
      <w:r>
        <w:t>Financial reconciliation.</w:t>
      </w:r>
    </w:p>
    <w:p>
      <w:pPr>
        <w:pStyle w:val="ListBody"/>
        <w:ind w:left="490" w:hanging="331"/>
      </w:pPr>
      <w:r>
        <w:rPr>
          <w:b/>
        </w:rPr>
        <w:t xml:space="preserve">• </w:t>
      </w:r>
      <w:r>
        <w:t>Evidence agreement.</w:t>
      </w:r>
    </w:p>
    <w:p>
      <w:pPr>
        <w:pStyle w:val="ListBody"/>
        <w:ind w:left="490" w:hanging="331"/>
      </w:pPr>
      <w:r>
        <w:rPr>
          <w:b/>
        </w:rPr>
        <w:t xml:space="preserve">• </w:t>
      </w:r>
      <w:r>
        <w:t>Forecast visibility.</w:t>
      </w:r>
    </w:p>
    <w:p>
      <w:pPr>
        <w:pStyle w:val="ListBody"/>
        <w:ind w:left="490" w:hanging="331"/>
      </w:pPr>
      <w:r>
        <w:rPr>
          <w:b/>
        </w:rPr>
        <w:t xml:space="preserve">• </w:t>
      </w:r>
      <w:r>
        <w:t>Sector-model fit.</w:t>
      </w:r>
    </w:p>
    <w:p>
      <w:pPr>
        <w:pStyle w:val="ListBody"/>
        <w:ind w:left="490" w:hanging="331"/>
      </w:pPr>
      <w:r>
        <w:rPr>
          <w:b/>
        </w:rPr>
        <w:t xml:space="preserve">• </w:t>
      </w:r>
      <w:r>
        <w:t>Valuation sensitivity.</w:t>
      </w:r>
    </w:p>
    <w:p>
      <w:pPr>
        <w:pStyle w:val="ListBody"/>
        <w:ind w:left="490" w:hanging="331"/>
      </w:pPr>
      <w:r>
        <w:rPr>
          <w:b/>
        </w:rPr>
        <w:t xml:space="preserve">• </w:t>
      </w:r>
      <w:r>
        <w:t>Unresolved issues.</w:t>
      </w:r>
    </w:p>
    <w:p>
      <w:pPr>
        <w:pStyle w:val="ListBody"/>
        <w:ind w:left="490" w:hanging="331"/>
      </w:pPr>
      <w:r>
        <w:rPr>
          <w:b/>
        </w:rPr>
        <w:t xml:space="preserve">• </w:t>
      </w:r>
      <w:r>
        <w:t>Qualitative evidence strength.</w:t>
      </w:r>
    </w:p>
    <w:p>
      <w:pPr>
        <w:pStyle w:val="ListBody"/>
        <w:ind w:left="490" w:hanging="331"/>
      </w:pPr>
      <w:r>
        <w:rPr>
          <w:b/>
        </w:rPr>
        <w:t xml:space="preserve">• </w:t>
      </w:r>
      <w:r>
        <w:t>Management-guidance reliability.</w:t>
      </w:r>
    </w:p>
    <w:p>
      <w:pPr>
        <w:pStyle w:val="FormulaBlock"/>
        <w:shd w:fill="F5F8FA"/>
      </w:pPr>
      <w:r>
        <w:t>[ AdjustedResearchScore = 50 + EvidenceConfidence x (RawResearchScore - 50) ]</w:t>
      </w:r>
    </w:p>
    <w:p>
      <w:pPr/>
      <w:r>
        <w:t>A company with incomplete research cannot receive the same conviction as a fully substantiated company.</w:t>
      </w:r>
    </w:p>
    <w:p>
      <w:pPr>
        <w:spacing w:after="0"/>
      </w:pPr>
      <w:r/>
    </w:p>
    <w:p>
      <w:pPr>
        <w:pStyle w:val="Heading1"/>
        <w:pBdr>
          <w:bottom w:val="single" w:sz="4" w:space="5" w:color="7A9AAA"/>
        </w:pBdr>
        <w:keepNext/>
      </w:pPr>
      <w:r>
        <w:t>45. Evidence ledger</w:t>
      </w:r>
    </w:p>
    <w:p>
      <w:pPr/>
      <w:r>
        <w:t>Every material conclusion must store:</w:t>
      </w:r>
    </w:p>
    <w:p>
      <w:pPr/>
      <w:r>
        <w:t>claim</w:t>
        <w:br/>
        <w:t>claim_type</w:t>
        <w:br/>
        <w:t>source</w:t>
        <w:br/>
        <w:t>source_grade</w:t>
        <w:br/>
        <w:t>document</w:t>
        <w:br/>
        <w:t>page_or_section</w:t>
        <w:br/>
        <w:t>filing_timestamp</w:t>
        <w:br/>
        <w:t>supporting_evidence</w:t>
        <w:br/>
        <w:t>contradictory_evidence</w:t>
        <w:br/>
        <w:t>calculation</w:t>
        <w:br/>
        <w:t>analyst_inference</w:t>
        <w:br/>
        <w:t>AI_inference</w:t>
        <w:br/>
        <w:t>confidence</w:t>
        <w:br/>
        <w:t>review_status</w:t>
        <w:br/>
        <w:t>affected_score</w:t>
        <w:br/>
        <w:t>affected_forecast</w:t>
        <w:br/>
        <w:t>affected_valuation</w:t>
      </w:r>
    </w:p>
    <w:p>
      <w:pPr/>
      <w:r>
        <w:t>Claim types:</w:t>
      </w:r>
    </w:p>
    <w:p>
      <w:pPr>
        <w:pStyle w:val="ListBody"/>
        <w:ind w:left="490" w:hanging="331"/>
      </w:pPr>
      <w:r>
        <w:rPr>
          <w:b/>
        </w:rPr>
        <w:t xml:space="preserve">• </w:t>
      </w:r>
      <w:r>
        <w:t>Reported fact.</w:t>
      </w:r>
    </w:p>
    <w:p>
      <w:pPr>
        <w:pStyle w:val="ListBody"/>
        <w:ind w:left="490" w:hanging="331"/>
      </w:pPr>
      <w:r>
        <w:rPr>
          <w:b/>
        </w:rPr>
        <w:t xml:space="preserve">• </w:t>
      </w:r>
      <w:r>
        <w:t>Calculated metric.</w:t>
      </w:r>
    </w:p>
    <w:p>
      <w:pPr>
        <w:pStyle w:val="ListBody"/>
        <w:ind w:left="490" w:hanging="331"/>
      </w:pPr>
      <w:r>
        <w:rPr>
          <w:b/>
        </w:rPr>
        <w:t xml:space="preserve">• </w:t>
      </w:r>
      <w:r>
        <w:t>Management assertion.</w:t>
      </w:r>
    </w:p>
    <w:p>
      <w:pPr>
        <w:pStyle w:val="ListBody"/>
        <w:ind w:left="490" w:hanging="331"/>
      </w:pPr>
      <w:r>
        <w:rPr>
          <w:b/>
        </w:rPr>
        <w:t xml:space="preserve">• </w:t>
      </w:r>
      <w:r>
        <w:t>Third-party estimate.</w:t>
      </w:r>
    </w:p>
    <w:p>
      <w:pPr>
        <w:pStyle w:val="ListBody"/>
        <w:ind w:left="490" w:hanging="331"/>
      </w:pPr>
      <w:r>
        <w:rPr>
          <w:b/>
        </w:rPr>
        <w:t xml:space="preserve">• </w:t>
      </w:r>
      <w:r>
        <w:t>Analyst estimate.</w:t>
      </w:r>
    </w:p>
    <w:p>
      <w:pPr>
        <w:pStyle w:val="ListBody"/>
        <w:ind w:left="490" w:hanging="331"/>
      </w:pPr>
      <w:r>
        <w:rPr>
          <w:b/>
        </w:rPr>
        <w:t xml:space="preserve">• </w:t>
      </w:r>
      <w:r>
        <w:t>AI inference.</w:t>
      </w:r>
    </w:p>
    <w:p>
      <w:pPr>
        <w:pStyle w:val="ListBody"/>
        <w:ind w:left="490" w:hanging="331"/>
      </w:pPr>
      <w:r>
        <w:rPr>
          <w:b/>
        </w:rPr>
        <w:t xml:space="preserve">• </w:t>
      </w:r>
      <w:r>
        <w:t>Unverified allegation.</w:t>
      </w:r>
    </w:p>
    <w:p>
      <w:pPr/>
      <w:r>
        <w:t>The interface must display contradictory evidence.</w:t>
      </w:r>
    </w:p>
    <w:p>
      <w:pPr>
        <w:spacing w:after="0"/>
      </w:pPr>
      <w:r/>
    </w:p>
    <w:p>
      <w:pPr>
        <w:pStyle w:val="Heading1"/>
        <w:pBdr>
          <w:bottom w:val="single" w:sz="4" w:space="5" w:color="7A9AAA"/>
        </w:pBdr>
        <w:keepNext/>
      </w:pPr>
      <w:r>
        <w:t>46. Management-guidance tracker</w:t>
      </w:r>
    </w:p>
    <w:p>
      <w:pPr/>
      <w:r>
        <w:t>For each management forecast:</w:t>
      </w:r>
    </w:p>
    <w:p>
      <w:pPr/>
      <w:r>
        <w:t>guidance_date</w:t>
        <w:br/>
        <w:t>guidance_metric</w:t>
        <w:br/>
        <w:t>guidance_period</w:t>
        <w:br/>
        <w:t>guidance_range</w:t>
        <w:br/>
        <w:t>actual_result</w:t>
        <w:br/>
        <w:t>variance</w:t>
        <w:br/>
        <w:t>explanation</w:t>
        <w:br/>
        <w:t>source</w:t>
      </w:r>
    </w:p>
    <w:p>
      <w:pPr/>
      <w:r>
        <w:t>Calculate:</w:t>
      </w:r>
    </w:p>
    <w:p>
      <w:pPr>
        <w:pStyle w:val="ListBody"/>
        <w:ind w:left="490" w:hanging="331"/>
      </w:pPr>
      <w:r>
        <w:rPr>
          <w:b/>
        </w:rPr>
        <w:t xml:space="preserve">• </w:t>
      </w:r>
      <w:r>
        <w:t>Revenue-guidance hit rate.</w:t>
      </w:r>
    </w:p>
    <w:p>
      <w:pPr>
        <w:pStyle w:val="ListBody"/>
        <w:ind w:left="490" w:hanging="331"/>
      </w:pPr>
      <w:r>
        <w:rPr>
          <w:b/>
        </w:rPr>
        <w:t xml:space="preserve">• </w:t>
      </w:r>
      <w:r>
        <w:t>Margin-guidance hit rate.</w:t>
      </w:r>
    </w:p>
    <w:p>
      <w:pPr>
        <w:pStyle w:val="ListBody"/>
        <w:ind w:left="490" w:hanging="331"/>
      </w:pPr>
      <w:r>
        <w:rPr>
          <w:b/>
        </w:rPr>
        <w:t xml:space="preserve">• </w:t>
      </w:r>
      <w:r>
        <w:t>Capex-guidance hit rate.</w:t>
      </w:r>
    </w:p>
    <w:p>
      <w:pPr>
        <w:pStyle w:val="ListBody"/>
        <w:ind w:left="490" w:hanging="331"/>
      </w:pPr>
      <w:r>
        <w:rPr>
          <w:b/>
        </w:rPr>
        <w:t xml:space="preserve">• </w:t>
      </w:r>
      <w:r>
        <w:t>Optimism bias.</w:t>
      </w:r>
    </w:p>
    <w:p>
      <w:pPr>
        <w:pStyle w:val="ListBody"/>
        <w:ind w:left="490" w:hanging="331"/>
      </w:pPr>
      <w:r>
        <w:rPr>
          <w:b/>
        </w:rPr>
        <w:t xml:space="preserve">• </w:t>
      </w:r>
      <w:r>
        <w:t>Guidance revision frequency.</w:t>
      </w:r>
    </w:p>
    <w:p>
      <w:pPr>
        <w:pStyle w:val="ListBody"/>
        <w:ind w:left="490" w:hanging="331"/>
      </w:pPr>
      <w:r>
        <w:rPr>
          <w:b/>
        </w:rPr>
        <w:t xml:space="preserve">• </w:t>
      </w:r>
      <w:r>
        <w:t>Delivery consistency.</w:t>
      </w:r>
    </w:p>
    <w:p>
      <w:pPr/>
      <w:r>
        <w:t>Management credibility must be evidence-based.</w:t>
      </w:r>
    </w:p>
    <w:p>
      <w:pPr>
        <w:spacing w:after="0"/>
      </w:pPr>
      <w:r/>
    </w:p>
    <w:p>
      <w:pPr>
        <w:pStyle w:val="Heading1"/>
        <w:pBdr>
          <w:bottom w:val="single" w:sz="4" w:space="5" w:color="7A9AAA"/>
        </w:pBdr>
        <w:keepNext/>
      </w:pPr>
      <w:r>
        <w:t>47. Forecast engine</w:t>
      </w:r>
    </w:p>
    <w:p>
      <w:pPr/>
      <w:r>
        <w:t>Use sector-appropriate business drivers.</w:t>
      </w:r>
    </w:p>
    <w:p>
      <w:pPr/>
      <w:r>
        <w:t>Examples:</w:t>
      </w:r>
    </w:p>
    <w:p>
      <w:pPr>
        <w:pStyle w:val="ListBody"/>
        <w:ind w:left="490" w:hanging="331"/>
      </w:pPr>
      <w:r>
        <w:rPr>
          <w:b/>
        </w:rPr>
        <w:t xml:space="preserve">• </w:t>
      </w:r>
      <w:r>
        <w:t>Volume × realization.</w:t>
      </w:r>
    </w:p>
    <w:p>
      <w:pPr>
        <w:pStyle w:val="ListBody"/>
        <w:ind w:left="490" w:hanging="331"/>
      </w:pPr>
      <w:r>
        <w:rPr>
          <w:b/>
        </w:rPr>
        <w:t xml:space="preserve">• </w:t>
      </w:r>
      <w:r>
        <w:t>Capacity × utilization × realization.</w:t>
      </w:r>
    </w:p>
    <w:p>
      <w:pPr>
        <w:pStyle w:val="ListBody"/>
        <w:ind w:left="490" w:hanging="331"/>
      </w:pPr>
      <w:r>
        <w:rPr>
          <w:b/>
        </w:rPr>
        <w:t xml:space="preserve">• </w:t>
      </w:r>
      <w:r>
        <w:t>Customers × revenue per customer.</w:t>
      </w:r>
    </w:p>
    <w:p>
      <w:pPr>
        <w:pStyle w:val="ListBody"/>
        <w:ind w:left="490" w:hanging="331"/>
      </w:pPr>
      <w:r>
        <w:rPr>
          <w:b/>
        </w:rPr>
        <w:t xml:space="preserve">• </w:t>
      </w:r>
      <w:r>
        <w:t>Stores × sales per store.</w:t>
      </w:r>
    </w:p>
    <w:p>
      <w:pPr>
        <w:pStyle w:val="ListBody"/>
        <w:ind w:left="490" w:hanging="331"/>
      </w:pPr>
      <w:r>
        <w:rPr>
          <w:b/>
        </w:rPr>
        <w:t xml:space="preserve">• </w:t>
      </w:r>
      <w:r>
        <w:t>Loans × yield.</w:t>
      </w:r>
    </w:p>
    <w:p>
      <w:pPr>
        <w:pStyle w:val="ListBody"/>
        <w:ind w:left="490" w:hanging="331"/>
      </w:pPr>
      <w:r>
        <w:rPr>
          <w:b/>
        </w:rPr>
        <w:t xml:space="preserve">• </w:t>
      </w:r>
      <w:r>
        <w:t>Deposits × funding cost.</w:t>
      </w:r>
    </w:p>
    <w:p>
      <w:pPr>
        <w:pStyle w:val="ListBody"/>
        <w:ind w:left="490" w:hanging="331"/>
      </w:pPr>
      <w:r>
        <w:rPr>
          <w:b/>
        </w:rPr>
        <w:t xml:space="preserve">• </w:t>
      </w:r>
      <w:r>
        <w:t>Premium × product mix.</w:t>
      </w:r>
    </w:p>
    <w:p>
      <w:pPr>
        <w:pStyle w:val="ListBody"/>
        <w:ind w:left="490" w:hanging="331"/>
      </w:pPr>
      <w:r>
        <w:rPr>
          <w:b/>
        </w:rPr>
        <w:t xml:space="preserve">• </w:t>
      </w:r>
      <w:r>
        <w:t>Occupancy × rent.</w:t>
      </w:r>
    </w:p>
    <w:p>
      <w:pPr>
        <w:pStyle w:val="ListBody"/>
        <w:ind w:left="490" w:hanging="331"/>
      </w:pPr>
      <w:r>
        <w:rPr>
          <w:b/>
        </w:rPr>
        <w:t xml:space="preserve">• </w:t>
      </w:r>
      <w:r>
        <w:t>Subscribers × ARPU.</w:t>
      </w:r>
    </w:p>
    <w:p>
      <w:pPr/>
      <w:r>
        <w:t>Forecast:</w:t>
      </w:r>
    </w:p>
    <w:p>
      <w:pPr>
        <w:pStyle w:val="ListBody"/>
        <w:ind w:left="490" w:hanging="331"/>
      </w:pPr>
      <w:r>
        <w:rPr>
          <w:b/>
        </w:rPr>
        <w:t xml:space="preserve">• </w:t>
      </w:r>
      <w:r>
        <w:t>Revenue.</w:t>
      </w:r>
    </w:p>
    <w:p>
      <w:pPr>
        <w:pStyle w:val="ListBody"/>
        <w:ind w:left="490" w:hanging="331"/>
      </w:pPr>
      <w:r>
        <w:rPr>
          <w:b/>
        </w:rPr>
        <w:t xml:space="preserve">• </w:t>
      </w:r>
      <w:r>
        <w:t>EBITDA.</w:t>
      </w:r>
    </w:p>
    <w:p>
      <w:pPr>
        <w:pStyle w:val="ListBody"/>
        <w:ind w:left="490" w:hanging="331"/>
      </w:pPr>
      <w:r>
        <w:rPr>
          <w:b/>
        </w:rPr>
        <w:t xml:space="preserve">• </w:t>
      </w:r>
      <w:r>
        <w:t>EBIT.</w:t>
      </w:r>
    </w:p>
    <w:p>
      <w:pPr>
        <w:pStyle w:val="ListBody"/>
        <w:ind w:left="490" w:hanging="331"/>
      </w:pPr>
      <w:r>
        <w:rPr>
          <w:b/>
        </w:rPr>
        <w:t xml:space="preserve">• </w:t>
      </w:r>
      <w:r>
        <w:t>Interest.</w:t>
      </w:r>
    </w:p>
    <w:p>
      <w:pPr>
        <w:pStyle w:val="ListBody"/>
        <w:ind w:left="490" w:hanging="331"/>
      </w:pPr>
      <w:r>
        <w:rPr>
          <w:b/>
        </w:rPr>
        <w:t xml:space="preserve">• </w:t>
      </w:r>
      <w:r>
        <w:t>Tax.</w:t>
      </w:r>
    </w:p>
    <w:p>
      <w:pPr>
        <w:pStyle w:val="ListBody"/>
        <w:ind w:left="490" w:hanging="331"/>
      </w:pPr>
      <w:r>
        <w:rPr>
          <w:b/>
        </w:rPr>
        <w:t xml:space="preserve">• </w:t>
      </w:r>
      <w:r>
        <w:t>PAT.</w:t>
      </w:r>
    </w:p>
    <w:p>
      <w:pPr>
        <w:pStyle w:val="ListBody"/>
        <w:ind w:left="490" w:hanging="331"/>
      </w:pPr>
      <w:r>
        <w:rPr>
          <w:b/>
        </w:rPr>
        <w:t xml:space="preserve">• </w:t>
      </w:r>
      <w:r>
        <w:t>Working capital.</w:t>
      </w:r>
    </w:p>
    <w:p>
      <w:pPr>
        <w:pStyle w:val="ListBody"/>
        <w:ind w:left="490" w:hanging="331"/>
      </w:pPr>
      <w:r>
        <w:rPr>
          <w:b/>
        </w:rPr>
        <w:t xml:space="preserve">• </w:t>
      </w:r>
      <w:r>
        <w:t>Capex.</w:t>
      </w:r>
    </w:p>
    <w:p>
      <w:pPr>
        <w:pStyle w:val="ListBody"/>
        <w:ind w:left="490" w:hanging="331"/>
      </w:pPr>
      <w:r>
        <w:rPr>
          <w:b/>
        </w:rPr>
        <w:t xml:space="preserve">• </w:t>
      </w:r>
      <w:r>
        <w:t>Debt.</w:t>
      </w:r>
    </w:p>
    <w:p>
      <w:pPr>
        <w:pStyle w:val="ListBody"/>
        <w:ind w:left="490" w:hanging="331"/>
      </w:pPr>
      <w:r>
        <w:rPr>
          <w:b/>
        </w:rPr>
        <w:t xml:space="preserve">• </w:t>
      </w:r>
      <w:r>
        <w:t>Cash.</w:t>
      </w:r>
    </w:p>
    <w:p>
      <w:pPr>
        <w:pStyle w:val="ListBody"/>
        <w:ind w:left="490" w:hanging="331"/>
      </w:pPr>
      <w:r>
        <w:rPr>
          <w:b/>
        </w:rPr>
        <w:t xml:space="preserve">• </w:t>
      </w:r>
      <w:r>
        <w:t>Share count.</w:t>
      </w:r>
    </w:p>
    <w:p>
      <w:pPr>
        <w:pStyle w:val="ListBody"/>
        <w:ind w:left="490" w:hanging="331"/>
      </w:pPr>
      <w:r>
        <w:rPr>
          <w:b/>
        </w:rPr>
        <w:t xml:space="preserve">• </w:t>
      </w:r>
      <w:r>
        <w:t>CFO.</w:t>
      </w:r>
    </w:p>
    <w:p>
      <w:pPr>
        <w:pStyle w:val="ListBody"/>
        <w:ind w:left="490" w:hanging="331"/>
      </w:pPr>
      <w:r>
        <w:rPr>
          <w:b/>
        </w:rPr>
        <w:t xml:space="preserve">• </w:t>
      </w:r>
      <w:r>
        <w:t>FCFF.</w:t>
      </w:r>
    </w:p>
    <w:p>
      <w:pPr>
        <w:pStyle w:val="ListBody"/>
        <w:ind w:left="490" w:hanging="331"/>
      </w:pPr>
      <w:r>
        <w:rPr>
          <w:b/>
        </w:rPr>
        <w:t xml:space="preserve">• </w:t>
      </w:r>
      <w:r>
        <w:t>FCFE.</w:t>
      </w:r>
    </w:p>
    <w:p>
      <w:pPr/>
      <w:r>
        <w:t>All statements must reconcile.</w:t>
      </w:r>
    </w:p>
    <w:p>
      <w:pPr>
        <w:spacing w:after="0"/>
      </w:pPr>
      <w:r/>
    </w:p>
    <w:p>
      <w:pPr>
        <w:pStyle w:val="Heading1"/>
        <w:pBdr>
          <w:bottom w:val="single" w:sz="4" w:space="5" w:color="7A9AAA"/>
        </w:pBdr>
        <w:keepNext/>
      </w:pPr>
      <w:r>
        <w:t>48. Scenario engine</w:t>
      </w:r>
    </w:p>
    <w:p>
      <w:pPr/>
      <w:r>
        <w:t>Required scenarios:</w:t>
      </w:r>
    </w:p>
    <w:p>
      <w:pPr>
        <w:pStyle w:val="ListBody"/>
        <w:ind w:left="490" w:hanging="331"/>
      </w:pPr>
      <w:r>
        <w:rPr>
          <w:b/>
        </w:rPr>
        <w:t xml:space="preserve">• </w:t>
      </w:r>
      <w:r>
        <w:t>Bear.</w:t>
      </w:r>
    </w:p>
    <w:p>
      <w:pPr>
        <w:pStyle w:val="ListBody"/>
        <w:ind w:left="490" w:hanging="331"/>
      </w:pPr>
      <w:r>
        <w:rPr>
          <w:b/>
        </w:rPr>
        <w:t xml:space="preserve">• </w:t>
      </w:r>
      <w:r>
        <w:t>Base.</w:t>
      </w:r>
    </w:p>
    <w:p>
      <w:pPr>
        <w:pStyle w:val="ListBody"/>
        <w:ind w:left="490" w:hanging="331"/>
      </w:pPr>
      <w:r>
        <w:rPr>
          <w:b/>
        </w:rPr>
        <w:t xml:space="preserve">• </w:t>
      </w:r>
      <w:r>
        <w:t>Bull.</w:t>
      </w:r>
    </w:p>
    <w:p>
      <w:pPr>
        <w:pStyle w:val="ListBody"/>
        <w:ind w:left="490" w:hanging="331"/>
      </w:pPr>
      <w:r>
        <w:rPr>
          <w:b/>
        </w:rPr>
        <w:t xml:space="preserve">• </w:t>
      </w:r>
      <w:r>
        <w:t>Severe downside where relevant.</w:t>
      </w:r>
    </w:p>
    <w:p>
      <w:pPr/>
      <w:r>
        <w:t>Each scenario includes:</w:t>
      </w:r>
    </w:p>
    <w:p>
      <w:pPr>
        <w:pStyle w:val="ListBody"/>
        <w:ind w:left="490" w:hanging="331"/>
      </w:pPr>
      <w:r>
        <w:rPr>
          <w:b/>
        </w:rPr>
        <w:t xml:space="preserve">• </w:t>
      </w:r>
      <w:r>
        <w:t>Revenue assumptions.</w:t>
      </w:r>
    </w:p>
    <w:p>
      <w:pPr>
        <w:pStyle w:val="ListBody"/>
        <w:ind w:left="490" w:hanging="331"/>
      </w:pPr>
      <w:r>
        <w:rPr>
          <w:b/>
        </w:rPr>
        <w:t xml:space="preserve">• </w:t>
      </w:r>
      <w:r>
        <w:t>Margin assumptions.</w:t>
      </w:r>
    </w:p>
    <w:p>
      <w:pPr>
        <w:pStyle w:val="ListBody"/>
        <w:ind w:left="490" w:hanging="331"/>
      </w:pPr>
      <w:r>
        <w:rPr>
          <w:b/>
        </w:rPr>
        <w:t xml:space="preserve">• </w:t>
      </w:r>
      <w:r>
        <w:t>Capital intensity.</w:t>
      </w:r>
    </w:p>
    <w:p>
      <w:pPr>
        <w:pStyle w:val="ListBody"/>
        <w:ind w:left="490" w:hanging="331"/>
      </w:pPr>
      <w:r>
        <w:rPr>
          <w:b/>
        </w:rPr>
        <w:t xml:space="preserve">• </w:t>
      </w:r>
      <w:r>
        <w:t>Working capital.</w:t>
      </w:r>
    </w:p>
    <w:p>
      <w:pPr>
        <w:pStyle w:val="ListBody"/>
        <w:ind w:left="490" w:hanging="331"/>
      </w:pPr>
      <w:r>
        <w:rPr>
          <w:b/>
        </w:rPr>
        <w:t xml:space="preserve">• </w:t>
      </w:r>
      <w:r>
        <w:t>Cost of capital.</w:t>
      </w:r>
    </w:p>
    <w:p>
      <w:pPr>
        <w:pStyle w:val="ListBody"/>
        <w:ind w:left="490" w:hanging="331"/>
      </w:pPr>
      <w:r>
        <w:rPr>
          <w:b/>
        </w:rPr>
        <w:t xml:space="preserve">• </w:t>
      </w:r>
      <w:r>
        <w:t>Terminal assumptions.</w:t>
      </w:r>
    </w:p>
    <w:p>
      <w:pPr>
        <w:pStyle w:val="ListBody"/>
        <w:ind w:left="490" w:hanging="331"/>
      </w:pPr>
      <w:r>
        <w:rPr>
          <w:b/>
        </w:rPr>
        <w:t xml:space="preserve">• </w:t>
      </w:r>
      <w:r>
        <w:t>Probability.</w:t>
      </w:r>
    </w:p>
    <w:p>
      <w:pPr>
        <w:pStyle w:val="ListBody"/>
        <w:ind w:left="490" w:hanging="331"/>
      </w:pPr>
      <w:r>
        <w:rPr>
          <w:b/>
        </w:rPr>
        <w:t xml:space="preserve">• </w:t>
      </w:r>
      <w:r>
        <w:t>Fair value.</w:t>
      </w:r>
    </w:p>
    <w:p>
      <w:pPr>
        <w:pStyle w:val="ListBody"/>
        <w:ind w:left="490" w:hanging="331"/>
      </w:pPr>
      <w:r>
        <w:rPr>
          <w:b/>
        </w:rPr>
        <w:t xml:space="preserve">• </w:t>
      </w:r>
      <w:r>
        <w:t>Thesis implications.</w:t>
      </w:r>
    </w:p>
    <w:p>
      <w:pPr>
        <w:pStyle w:val="FormulaBlock"/>
        <w:shd w:fill="F5F8FA"/>
      </w:pPr>
      <w:r>
        <w:t>[ WeightedFairValue = SUM over s of ( Probability_s x FairValue_s ) ]</w:t>
      </w:r>
    </w:p>
    <w:p>
      <w:pPr/>
      <w:r>
        <w:t>Probabilities must total 100%.</w:t>
      </w:r>
    </w:p>
    <w:p>
      <w:pPr>
        <w:spacing w:after="0"/>
      </w:pPr>
      <w:r/>
    </w:p>
    <w:p>
      <w:pPr>
        <w:pStyle w:val="Heading1"/>
        <w:pBdr>
          <w:bottom w:val="single" w:sz="4" w:space="5" w:color="7A9AAA"/>
        </w:pBdr>
        <w:keepNext/>
      </w:pPr>
      <w:r>
        <w:t>49. Valuation engine</w:t>
      </w:r>
    </w:p>
    <w:p>
      <w:pPr>
        <w:pStyle w:val="Heading2"/>
        <w:keepNext/>
      </w:pPr>
      <w:r>
        <w:t>49.1 Method router</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blHeader w:val="true"/>
        </w:trPr>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Company type</w:t>
            </w:r>
          </w:p>
        </w:tc>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Preferred methods</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Stable operating company</w:t>
            </w:r>
          </w:p>
        </w:tc>
        <w:tc>
          <w:tcPr>
            <w:tcW w:type="dxa" w:w="4997"/>
            <w:vAlign w:val="center"/>
            <w:tcMar>
              <w:top w:w="55" w:type="dxa"/>
              <w:start w:w="65" w:type="dxa"/>
              <w:bottom w:w="55" w:type="dxa"/>
              <w:end w:w="65" w:type="dxa"/>
            </w:tcMar>
          </w:tcPr>
          <w:p>
            <w:pPr>
              <w:spacing w:after="0"/>
            </w:pPr>
            <w:r>
              <w:rPr>
                <w:rFonts w:ascii="Cambria" w:hAnsi="Cambria"/>
                <w:sz w:val="18"/>
              </w:rPr>
              <w:t>DCF, EV/EBIT, P/E, EV/EBITDA</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High-growth company</w:t>
            </w:r>
          </w:p>
        </w:tc>
        <w:tc>
          <w:tcPr>
            <w:tcW w:type="dxa" w:w="4997"/>
            <w:vAlign w:val="center"/>
            <w:tcMar>
              <w:top w:w="55" w:type="dxa"/>
              <w:start w:w="65" w:type="dxa"/>
              <w:bottom w:w="55" w:type="dxa"/>
              <w:end w:w="65" w:type="dxa"/>
            </w:tcMar>
            <w:shd w:fill="F8FAFB"/>
          </w:tcPr>
          <w:p>
            <w:pPr>
              <w:spacing w:after="0"/>
            </w:pPr>
            <w:r>
              <w:rPr>
                <w:rFonts w:ascii="Cambria" w:hAnsi="Cambria"/>
                <w:sz w:val="18"/>
              </w:rPr>
              <w:t>Scenario DCF, reverse DCF</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Bank/NBFC</w:t>
            </w:r>
          </w:p>
        </w:tc>
        <w:tc>
          <w:tcPr>
            <w:tcW w:type="dxa" w:w="4997"/>
            <w:vAlign w:val="center"/>
            <w:tcMar>
              <w:top w:w="55" w:type="dxa"/>
              <w:start w:w="65" w:type="dxa"/>
              <w:bottom w:w="55" w:type="dxa"/>
              <w:end w:w="65" w:type="dxa"/>
            </w:tcMar>
          </w:tcPr>
          <w:p>
            <w:pPr>
              <w:spacing w:after="0"/>
            </w:pPr>
            <w:r>
              <w:rPr>
                <w:rFonts w:ascii="Cambria" w:hAnsi="Cambria"/>
                <w:sz w:val="18"/>
              </w:rPr>
              <w:t>P/B, residual income, dividend discount</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Life insurer</w:t>
            </w:r>
          </w:p>
        </w:tc>
        <w:tc>
          <w:tcPr>
            <w:tcW w:type="dxa" w:w="4997"/>
            <w:vAlign w:val="center"/>
            <w:tcMar>
              <w:top w:w="55" w:type="dxa"/>
              <w:start w:w="65" w:type="dxa"/>
              <w:bottom w:w="55" w:type="dxa"/>
              <w:end w:w="65" w:type="dxa"/>
            </w:tcMar>
            <w:shd w:fill="F8FAFB"/>
          </w:tcPr>
          <w:p>
            <w:pPr>
              <w:spacing w:after="0"/>
            </w:pPr>
            <w:r>
              <w:rPr>
                <w:rFonts w:ascii="Cambria" w:hAnsi="Cambria"/>
                <w:sz w:val="18"/>
              </w:rPr>
              <w:t>Embedded value and VNB</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General insurer</w:t>
            </w:r>
          </w:p>
        </w:tc>
        <w:tc>
          <w:tcPr>
            <w:tcW w:type="dxa" w:w="4997"/>
            <w:vAlign w:val="center"/>
            <w:tcMar>
              <w:top w:w="55" w:type="dxa"/>
              <w:start w:w="65" w:type="dxa"/>
              <w:bottom w:w="55" w:type="dxa"/>
              <w:end w:w="65" w:type="dxa"/>
            </w:tcMar>
          </w:tcPr>
          <w:p>
            <w:pPr>
              <w:spacing w:after="0"/>
            </w:pPr>
            <w:r>
              <w:rPr>
                <w:rFonts w:ascii="Cambria" w:hAnsi="Cambria"/>
                <w:sz w:val="18"/>
              </w:rPr>
              <w:t>P/B and underwriting value</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Cyclical</w:t>
            </w:r>
          </w:p>
        </w:tc>
        <w:tc>
          <w:tcPr>
            <w:tcW w:type="dxa" w:w="4997"/>
            <w:vAlign w:val="center"/>
            <w:tcMar>
              <w:top w:w="55" w:type="dxa"/>
              <w:start w:w="65" w:type="dxa"/>
              <w:bottom w:w="55" w:type="dxa"/>
              <w:end w:w="65" w:type="dxa"/>
            </w:tcMar>
            <w:shd w:fill="F8FAFB"/>
          </w:tcPr>
          <w:p>
            <w:pPr>
              <w:spacing w:after="0"/>
            </w:pPr>
            <w:r>
              <w:rPr>
                <w:rFonts w:ascii="Cambria" w:hAnsi="Cambria"/>
                <w:sz w:val="18"/>
              </w:rPr>
              <w:t>Mid-cycle earnings and replacement value</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Conglomerate</w:t>
            </w:r>
          </w:p>
        </w:tc>
        <w:tc>
          <w:tcPr>
            <w:tcW w:type="dxa" w:w="4997"/>
            <w:vAlign w:val="center"/>
            <w:tcMar>
              <w:top w:w="55" w:type="dxa"/>
              <w:start w:w="65" w:type="dxa"/>
              <w:bottom w:w="55" w:type="dxa"/>
              <w:end w:w="65" w:type="dxa"/>
            </w:tcMar>
          </w:tcPr>
          <w:p>
            <w:pPr>
              <w:spacing w:after="0"/>
            </w:pPr>
            <w:r>
              <w:rPr>
                <w:rFonts w:ascii="Cambria" w:hAnsi="Cambria"/>
                <w:sz w:val="18"/>
              </w:rPr>
              <w:t>SOTP</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REIT/InvIT</w:t>
            </w:r>
          </w:p>
        </w:tc>
        <w:tc>
          <w:tcPr>
            <w:tcW w:type="dxa" w:w="4997"/>
            <w:vAlign w:val="center"/>
            <w:tcMar>
              <w:top w:w="55" w:type="dxa"/>
              <w:start w:w="65" w:type="dxa"/>
              <w:bottom w:w="55" w:type="dxa"/>
              <w:end w:w="65" w:type="dxa"/>
            </w:tcMar>
            <w:shd w:fill="F8FAFB"/>
          </w:tcPr>
          <w:p>
            <w:pPr>
              <w:spacing w:after="0"/>
            </w:pPr>
            <w:r>
              <w:rPr>
                <w:rFonts w:ascii="Cambria" w:hAnsi="Cambria"/>
                <w:sz w:val="18"/>
              </w:rPr>
              <w:t>NAV, DCF, distribution yield</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Turnaround</w:t>
            </w:r>
          </w:p>
        </w:tc>
        <w:tc>
          <w:tcPr>
            <w:tcW w:type="dxa" w:w="4997"/>
            <w:vAlign w:val="center"/>
            <w:tcMar>
              <w:top w:w="55" w:type="dxa"/>
              <w:start w:w="65" w:type="dxa"/>
              <w:bottom w:w="55" w:type="dxa"/>
              <w:end w:w="65" w:type="dxa"/>
            </w:tcMar>
          </w:tcPr>
          <w:p>
            <w:pPr>
              <w:spacing w:after="0"/>
            </w:pPr>
            <w:r>
              <w:rPr>
                <w:rFonts w:ascii="Cambria" w:hAnsi="Cambria"/>
                <w:sz w:val="18"/>
              </w:rPr>
              <w:t>Scenario and balance-sheet valuation</w:t>
            </w:r>
          </w:p>
        </w:tc>
      </w:tr>
    </w:tbl>
    <w:p>
      <w:pPr>
        <w:spacing w:after="20"/>
      </w:pPr>
    </w:p>
    <w:p>
      <w:pPr>
        <w:pStyle w:val="Heading2"/>
        <w:keepNext/>
      </w:pPr>
      <w:r>
        <w:t>49.2 Reverse valuation</w:t>
      </w:r>
    </w:p>
    <w:p>
      <w:pPr/>
      <w:r>
        <w:t>Estimate assumptions implied by the current price:</w:t>
      </w:r>
    </w:p>
    <w:p>
      <w:pPr>
        <w:pStyle w:val="ListBody"/>
        <w:ind w:left="490" w:hanging="331"/>
      </w:pPr>
      <w:r>
        <w:rPr>
          <w:b/>
        </w:rPr>
        <w:t xml:space="preserve">• </w:t>
      </w:r>
      <w:r>
        <w:t>Revenue growth.</w:t>
      </w:r>
    </w:p>
    <w:p>
      <w:pPr>
        <w:pStyle w:val="ListBody"/>
        <w:ind w:left="490" w:hanging="331"/>
      </w:pPr>
      <w:r>
        <w:rPr>
          <w:b/>
        </w:rPr>
        <w:t xml:space="preserve">• </w:t>
      </w:r>
      <w:r>
        <w:t>Sustainable margin.</w:t>
      </w:r>
    </w:p>
    <w:p>
      <w:pPr>
        <w:pStyle w:val="ListBody"/>
        <w:ind w:left="490" w:hanging="331"/>
      </w:pPr>
      <w:r>
        <w:rPr>
          <w:b/>
        </w:rPr>
        <w:t xml:space="preserve">• </w:t>
      </w:r>
      <w:r>
        <w:t>ROIC.</w:t>
      </w:r>
    </w:p>
    <w:p>
      <w:pPr>
        <w:pStyle w:val="ListBody"/>
        <w:ind w:left="490" w:hanging="331"/>
      </w:pPr>
      <w:r>
        <w:rPr>
          <w:b/>
        </w:rPr>
        <w:t xml:space="preserve">• </w:t>
      </w:r>
      <w:r>
        <w:t>Reinvestment.</w:t>
      </w:r>
    </w:p>
    <w:p>
      <w:pPr>
        <w:pStyle w:val="ListBody"/>
        <w:ind w:left="490" w:hanging="331"/>
      </w:pPr>
      <w:r>
        <w:rPr>
          <w:b/>
        </w:rPr>
        <w:t xml:space="preserve">• </w:t>
      </w:r>
      <w:r>
        <w:t>Terminal growth.</w:t>
      </w:r>
    </w:p>
    <w:p>
      <w:pPr>
        <w:pStyle w:val="ListBody"/>
        <w:ind w:left="490" w:hanging="331"/>
      </w:pPr>
      <w:r>
        <w:rPr>
          <w:b/>
        </w:rPr>
        <w:t xml:space="preserve">• </w:t>
      </w:r>
      <w:r>
        <w:t>Market share.</w:t>
      </w:r>
    </w:p>
    <w:p>
      <w:pPr>
        <w:pStyle w:val="ListBody"/>
        <w:ind w:left="490" w:hanging="331"/>
      </w:pPr>
      <w:r>
        <w:rPr>
          <w:b/>
        </w:rPr>
        <w:t xml:space="preserve">• </w:t>
      </w:r>
      <w:r>
        <w:t>Credit cost.</w:t>
      </w:r>
    </w:p>
    <w:p>
      <w:pPr>
        <w:pStyle w:val="ListBody"/>
        <w:ind w:left="490" w:hanging="331"/>
      </w:pPr>
      <w:r>
        <w:rPr>
          <w:b/>
        </w:rPr>
        <w:t xml:space="preserve">• </w:t>
      </w:r>
      <w:r>
        <w:t>Commodity price.</w:t>
      </w:r>
    </w:p>
    <w:p>
      <w:pPr>
        <w:pStyle w:val="ListBody"/>
        <w:ind w:left="490" w:hanging="331"/>
      </w:pPr>
      <w:r>
        <w:rPr>
          <w:b/>
        </w:rPr>
        <w:t xml:space="preserve">• </w:t>
      </w:r>
      <w:r>
        <w:t>Capital intensity.</w:t>
      </w:r>
    </w:p>
    <w:p>
      <w:pPr>
        <w:pStyle w:val="Heading2"/>
        <w:keepNext/>
      </w:pPr>
      <w:r>
        <w:t>49.3 Sensitivity analysis</w:t>
      </w:r>
    </w:p>
    <w:p>
      <w:pPr/>
      <w:r>
        <w:t>Vary:</w:t>
      </w:r>
    </w:p>
    <w:p>
      <w:pPr>
        <w:pStyle w:val="ListBody"/>
        <w:ind w:left="490" w:hanging="331"/>
      </w:pPr>
      <w:r>
        <w:rPr>
          <w:b/>
        </w:rPr>
        <w:t xml:space="preserve">• </w:t>
      </w:r>
      <w:r>
        <w:t>Revenue growth.</w:t>
      </w:r>
    </w:p>
    <w:p>
      <w:pPr>
        <w:pStyle w:val="ListBody"/>
        <w:ind w:left="490" w:hanging="331"/>
      </w:pPr>
      <w:r>
        <w:rPr>
          <w:b/>
        </w:rPr>
        <w:t xml:space="preserve">• </w:t>
      </w:r>
      <w:r>
        <w:t>Margin.</w:t>
      </w:r>
    </w:p>
    <w:p>
      <w:pPr>
        <w:pStyle w:val="ListBody"/>
        <w:ind w:left="490" w:hanging="331"/>
      </w:pPr>
      <w:r>
        <w:rPr>
          <w:b/>
        </w:rPr>
        <w:t xml:space="preserve">• </w:t>
      </w:r>
      <w:r>
        <w:t>Cost of capital.</w:t>
      </w:r>
    </w:p>
    <w:p>
      <w:pPr>
        <w:pStyle w:val="ListBody"/>
        <w:ind w:left="490" w:hanging="331"/>
      </w:pPr>
      <w:r>
        <w:rPr>
          <w:b/>
        </w:rPr>
        <w:t xml:space="preserve">• </w:t>
      </w:r>
      <w:r>
        <w:t>Terminal growth.</w:t>
      </w:r>
    </w:p>
    <w:p>
      <w:pPr>
        <w:pStyle w:val="ListBody"/>
        <w:ind w:left="490" w:hanging="331"/>
      </w:pPr>
      <w:r>
        <w:rPr>
          <w:b/>
        </w:rPr>
        <w:t xml:space="preserve">• </w:t>
      </w:r>
      <w:r>
        <w:t>Working capital.</w:t>
      </w:r>
    </w:p>
    <w:p>
      <w:pPr>
        <w:pStyle w:val="ListBody"/>
        <w:ind w:left="490" w:hanging="331"/>
      </w:pPr>
      <w:r>
        <w:rPr>
          <w:b/>
        </w:rPr>
        <w:t xml:space="preserve">• </w:t>
      </w:r>
      <w:r>
        <w:t>Capex.</w:t>
      </w:r>
    </w:p>
    <w:p>
      <w:pPr>
        <w:pStyle w:val="ListBody"/>
        <w:ind w:left="490" w:hanging="331"/>
      </w:pPr>
      <w:r>
        <w:rPr>
          <w:b/>
        </w:rPr>
        <w:t xml:space="preserve">• </w:t>
      </w:r>
      <w:r>
        <w:t>Dilution.</w:t>
      </w:r>
    </w:p>
    <w:p>
      <w:pPr>
        <w:pStyle w:val="ListBody"/>
        <w:ind w:left="490" w:hanging="331"/>
      </w:pPr>
      <w:r>
        <w:rPr>
          <w:b/>
        </w:rPr>
        <w:t xml:space="preserve">• </w:t>
      </w:r>
      <w:r>
        <w:t>Credit cost.</w:t>
      </w:r>
    </w:p>
    <w:p>
      <w:pPr>
        <w:pStyle w:val="ListBody"/>
        <w:ind w:left="490" w:hanging="331"/>
      </w:pPr>
      <w:r>
        <w:rPr>
          <w:b/>
        </w:rPr>
        <w:t xml:space="preserve">• </w:t>
      </w:r>
      <w:r>
        <w:t>Commodity prices.</w:t>
      </w:r>
    </w:p>
    <w:p>
      <w:pPr>
        <w:pStyle w:val="ListBody"/>
        <w:ind w:left="490" w:hanging="331"/>
      </w:pPr>
      <w:r>
        <w:rPr>
          <w:b/>
        </w:rPr>
        <w:t xml:space="preserve">• </w:t>
      </w:r>
      <w:r>
        <w:t>Exit multiples.</w:t>
      </w:r>
    </w:p>
    <w:p>
      <w:pPr>
        <w:pStyle w:val="Heading2"/>
        <w:keepNext/>
      </w:pPr>
      <w:r>
        <w:t>49.4 Expected annualized return</w:t>
      </w:r>
    </w:p>
    <w:p>
      <w:pPr>
        <w:pStyle w:val="FormulaBlock"/>
        <w:shd w:fill="F5F8FA"/>
      </w:pPr>
      <w:r>
        <w:t>[ ExpectedAnnualizedReturn = (WeightedFairValue / CurrentPrice)^{1/Horizon} - 1 ]</w:t>
      </w:r>
    </w:p>
    <w:p>
      <w:pPr>
        <w:spacing w:after="0"/>
      </w:pPr>
      <w:r/>
    </w:p>
    <w:p>
      <w:pPr>
        <w:pStyle w:val="Heading1"/>
        <w:pBdr>
          <w:bottom w:val="single" w:sz="4" w:space="5" w:color="7A9AAA"/>
        </w:pBdr>
        <w:keepNext/>
      </w:pPr>
      <w:r>
        <w:t>50. Recommendation logic</w:t>
      </w:r>
    </w:p>
    <w:p>
      <w:pPr>
        <w:pStyle w:val="Heading2"/>
        <w:keepNext/>
      </w:pPr>
      <w:r>
        <w:t>Strong Buy</w:t>
      </w:r>
    </w:p>
    <w:p>
      <w:pPr/>
      <w:r>
        <w:t>Suggested conditions:</w:t>
      </w:r>
    </w:p>
    <w:p>
      <w:pPr>
        <w:pStyle w:val="ListBody"/>
        <w:ind w:left="490" w:hanging="331"/>
      </w:pPr>
      <w:r>
        <w:rPr>
          <w:b/>
        </w:rPr>
        <w:t xml:space="preserve">• </w:t>
      </w:r>
      <w:r>
        <w:t>Adjusted Research Score ≥ 80.</w:t>
      </w:r>
    </w:p>
    <w:p>
      <w:pPr>
        <w:pStyle w:val="ListBody"/>
        <w:ind w:left="490" w:hanging="331"/>
      </w:pPr>
      <w:r>
        <w:rPr>
          <w:b/>
        </w:rPr>
        <w:t xml:space="preserve">• </w:t>
      </w:r>
      <w:r>
        <w:t>Research Confidence ≥ 75.</w:t>
      </w:r>
    </w:p>
    <w:p>
      <w:pPr>
        <w:pStyle w:val="ListBody"/>
        <w:ind w:left="490" w:hanging="331"/>
      </w:pPr>
      <w:r>
        <w:rPr>
          <w:b/>
        </w:rPr>
        <w:t xml:space="preserve">• </w:t>
      </w:r>
      <w:r>
        <w:t>Expected return materially above hurdle.</w:t>
      </w:r>
    </w:p>
    <w:p>
      <w:pPr>
        <w:pStyle w:val="ListBody"/>
        <w:ind w:left="490" w:hanging="331"/>
      </w:pPr>
      <w:r>
        <w:rPr>
          <w:b/>
        </w:rPr>
        <w:t xml:space="preserve">• </w:t>
      </w:r>
      <w:r>
        <w:t>No hard gate.</w:t>
      </w:r>
    </w:p>
    <w:p>
      <w:pPr>
        <w:pStyle w:val="ListBody"/>
        <w:ind w:left="490" w:hanging="331"/>
      </w:pPr>
      <w:r>
        <w:rPr>
          <w:b/>
        </w:rPr>
        <w:t xml:space="preserve">• </w:t>
      </w:r>
      <w:r>
        <w:t>Acceptable severe downside.</w:t>
      </w:r>
    </w:p>
    <w:p>
      <w:pPr>
        <w:pStyle w:val="ListBody"/>
        <w:ind w:left="490" w:hanging="331"/>
      </w:pPr>
      <w:r>
        <w:rPr>
          <w:b/>
        </w:rPr>
        <w:t xml:space="preserve">• </w:t>
      </w:r>
      <w:r>
        <w:t>Adequate liquidity.</w:t>
      </w:r>
    </w:p>
    <w:p>
      <w:pPr>
        <w:pStyle w:val="Heading2"/>
        <w:keepNext/>
      </w:pPr>
      <w:r>
        <w:t>Buy</w:t>
      </w:r>
    </w:p>
    <w:p>
      <w:pPr>
        <w:pStyle w:val="ListBody"/>
        <w:ind w:left="490" w:hanging="331"/>
      </w:pPr>
      <w:r>
        <w:rPr>
          <w:b/>
        </w:rPr>
        <w:t xml:space="preserve">• </w:t>
      </w:r>
      <w:r>
        <w:t>Adjusted Research Score ≥ 72.</w:t>
      </w:r>
    </w:p>
    <w:p>
      <w:pPr>
        <w:pStyle w:val="ListBody"/>
        <w:ind w:left="490" w:hanging="331"/>
      </w:pPr>
      <w:r>
        <w:rPr>
          <w:b/>
        </w:rPr>
        <w:t xml:space="preserve">• </w:t>
      </w:r>
      <w:r>
        <w:t>Confidence ≥ 65.</w:t>
      </w:r>
    </w:p>
    <w:p>
      <w:pPr>
        <w:pStyle w:val="ListBody"/>
        <w:ind w:left="490" w:hanging="331"/>
      </w:pPr>
      <w:r>
        <w:rPr>
          <w:b/>
        </w:rPr>
        <w:t xml:space="preserve">• </w:t>
      </w:r>
      <w:r>
        <w:t>Expected return above hurdle.</w:t>
      </w:r>
    </w:p>
    <w:p>
      <w:pPr>
        <w:pStyle w:val="ListBody"/>
        <w:ind w:left="490" w:hanging="331"/>
      </w:pPr>
      <w:r>
        <w:rPr>
          <w:b/>
        </w:rPr>
        <w:t xml:space="preserve">• </w:t>
      </w:r>
      <w:r>
        <w:t>No hard gate.</w:t>
      </w:r>
    </w:p>
    <w:p>
      <w:pPr>
        <w:pStyle w:val="Heading2"/>
        <w:keepNext/>
      </w:pPr>
      <w:r>
        <w:t>Accumulate</w:t>
      </w:r>
    </w:p>
    <w:p>
      <w:pPr>
        <w:pStyle w:val="ListBody"/>
        <w:ind w:left="490" w:hanging="331"/>
      </w:pPr>
      <w:r>
        <w:rPr>
          <w:b/>
        </w:rPr>
        <w:t xml:space="preserve">• </w:t>
      </w:r>
      <w:r>
        <w:t>Strong business.</w:t>
      </w:r>
    </w:p>
    <w:p>
      <w:pPr>
        <w:pStyle w:val="ListBody"/>
        <w:ind w:left="490" w:hanging="331"/>
      </w:pPr>
      <w:r>
        <w:rPr>
          <w:b/>
        </w:rPr>
        <w:t xml:space="preserve">• </w:t>
      </w:r>
      <w:r>
        <w:t>Moderate margin of safety.</w:t>
      </w:r>
    </w:p>
    <w:p>
      <w:pPr>
        <w:pStyle w:val="ListBody"/>
        <w:ind w:left="490" w:hanging="331"/>
      </w:pPr>
      <w:r>
        <w:rPr>
          <w:b/>
        </w:rPr>
        <w:t xml:space="preserve">• </w:t>
      </w:r>
      <w:r>
        <w:t>Staged entry preferred.</w:t>
      </w:r>
    </w:p>
    <w:p>
      <w:pPr>
        <w:pStyle w:val="Heading2"/>
        <w:keepNext/>
      </w:pPr>
      <w:r>
        <w:t>Hold</w:t>
      </w:r>
    </w:p>
    <w:p>
      <w:pPr>
        <w:pStyle w:val="ListBody"/>
        <w:ind w:left="490" w:hanging="331"/>
      </w:pPr>
      <w:r>
        <w:rPr>
          <w:b/>
        </w:rPr>
        <w:t xml:space="preserve">• </w:t>
      </w:r>
      <w:r>
        <w:t>Thesis intact.</w:t>
      </w:r>
    </w:p>
    <w:p>
      <w:pPr>
        <w:pStyle w:val="ListBody"/>
        <w:ind w:left="490" w:hanging="331"/>
      </w:pPr>
      <w:r>
        <w:rPr>
          <w:b/>
        </w:rPr>
        <w:t xml:space="preserve">• </w:t>
      </w:r>
      <w:r>
        <w:t>Expected return insufficient for fresh capital.</w:t>
      </w:r>
    </w:p>
    <w:p>
      <w:pPr>
        <w:pStyle w:val="ListBody"/>
        <w:ind w:left="490" w:hanging="331"/>
      </w:pPr>
      <w:r>
        <w:rPr>
          <w:b/>
        </w:rPr>
        <w:t xml:space="preserve">• </w:t>
      </w:r>
      <w:r>
        <w:t>No major deterioration.</w:t>
      </w:r>
    </w:p>
    <w:p>
      <w:pPr>
        <w:pStyle w:val="Heading2"/>
        <w:keepNext/>
      </w:pPr>
      <w:r>
        <w:t>Reduce</w:t>
      </w:r>
    </w:p>
    <w:p>
      <w:pPr>
        <w:pStyle w:val="ListBody"/>
        <w:ind w:left="490" w:hanging="331"/>
      </w:pPr>
      <w:r>
        <w:rPr>
          <w:b/>
        </w:rPr>
        <w:t xml:space="preserve">• </w:t>
      </w:r>
      <w:r>
        <w:t>Expected return unattractive.</w:t>
      </w:r>
    </w:p>
    <w:p>
      <w:pPr>
        <w:pStyle w:val="ListBody"/>
        <w:ind w:left="490" w:hanging="331"/>
      </w:pPr>
      <w:r>
        <w:rPr>
          <w:b/>
        </w:rPr>
        <w:t xml:space="preserve">• </w:t>
      </w:r>
      <w:r>
        <w:t>Valuation demanding.</w:t>
      </w:r>
    </w:p>
    <w:p>
      <w:pPr>
        <w:pStyle w:val="ListBody"/>
        <w:ind w:left="490" w:hanging="331"/>
      </w:pPr>
      <w:r>
        <w:rPr>
          <w:b/>
        </w:rPr>
        <w:t xml:space="preserve">• </w:t>
      </w:r>
      <w:r>
        <w:t>Thesis weakening.</w:t>
      </w:r>
    </w:p>
    <w:p>
      <w:pPr>
        <w:pStyle w:val="ListBody"/>
        <w:ind w:left="490" w:hanging="331"/>
      </w:pPr>
      <w:r>
        <w:rPr>
          <w:b/>
        </w:rPr>
        <w:t xml:space="preserve">• </w:t>
      </w:r>
      <w:r>
        <w:t>Portfolio risk excessive.</w:t>
      </w:r>
    </w:p>
    <w:p>
      <w:pPr>
        <w:pStyle w:val="Heading2"/>
        <w:keepNext/>
      </w:pPr>
      <w:r>
        <w:t>Sell</w:t>
      </w:r>
    </w:p>
    <w:p>
      <w:pPr>
        <w:pStyle w:val="ListBody"/>
        <w:ind w:left="490" w:hanging="331"/>
      </w:pPr>
      <w:r>
        <w:rPr>
          <w:b/>
        </w:rPr>
        <w:t xml:space="preserve">• </w:t>
      </w:r>
      <w:r>
        <w:t>Thesis failure.</w:t>
      </w:r>
    </w:p>
    <w:p>
      <w:pPr>
        <w:pStyle w:val="ListBody"/>
        <w:ind w:left="490" w:hanging="331"/>
      </w:pPr>
      <w:r>
        <w:rPr>
          <w:b/>
        </w:rPr>
        <w:t xml:space="preserve">• </w:t>
      </w:r>
      <w:r>
        <w:t>Value below market price.</w:t>
      </w:r>
    </w:p>
    <w:p>
      <w:pPr>
        <w:pStyle w:val="ListBody"/>
        <w:ind w:left="490" w:hanging="331"/>
      </w:pPr>
      <w:r>
        <w:rPr>
          <w:b/>
        </w:rPr>
        <w:t xml:space="preserve">• </w:t>
      </w:r>
      <w:r>
        <w:t>Governance deterioration.</w:t>
      </w:r>
    </w:p>
    <w:p>
      <w:pPr>
        <w:pStyle w:val="ListBody"/>
        <w:ind w:left="490" w:hanging="331"/>
      </w:pPr>
      <w:r>
        <w:rPr>
          <w:b/>
        </w:rPr>
        <w:t xml:space="preserve">• </w:t>
      </w:r>
      <w:r>
        <w:t>Better risk-adjusted opportunity.</w:t>
      </w:r>
    </w:p>
    <w:p>
      <w:pPr>
        <w:pStyle w:val="Heading2"/>
        <w:keepNext/>
      </w:pPr>
      <w:r>
        <w:t>Avoid</w:t>
      </w:r>
    </w:p>
    <w:p>
      <w:pPr>
        <w:pStyle w:val="ListBody"/>
        <w:ind w:left="490" w:hanging="331"/>
      </w:pPr>
      <w:r>
        <w:rPr>
          <w:b/>
        </w:rPr>
        <w:t xml:space="preserve">• </w:t>
      </w:r>
      <w:r>
        <w:t>Integrity or solvency gate.</w:t>
      </w:r>
    </w:p>
    <w:p>
      <w:pPr>
        <w:pStyle w:val="ListBody"/>
        <w:ind w:left="490" w:hanging="331"/>
      </w:pPr>
      <w:r>
        <w:rPr>
          <w:b/>
        </w:rPr>
        <w:t xml:space="preserve">• </w:t>
      </w:r>
      <w:r>
        <w:t>Unreliable accounts.</w:t>
      </w:r>
    </w:p>
    <w:p>
      <w:pPr>
        <w:pStyle w:val="ListBody"/>
        <w:ind w:left="490" w:hanging="331"/>
      </w:pPr>
      <w:r>
        <w:rPr>
          <w:b/>
        </w:rPr>
        <w:t xml:space="preserve">• </w:t>
      </w:r>
      <w:r>
        <w:t>Unacceptable liquidity.</w:t>
      </w:r>
    </w:p>
    <w:p>
      <w:pPr>
        <w:pStyle w:val="ListBody"/>
        <w:ind w:left="490" w:hanging="331"/>
      </w:pPr>
      <w:r>
        <w:rPr>
          <w:b/>
        </w:rPr>
        <w:t xml:space="preserve">• </w:t>
      </w:r>
      <w:r>
        <w:t>Catastrophic unresolved risk.</w:t>
      </w:r>
    </w:p>
    <w:p>
      <w:pPr>
        <w:pStyle w:val="Heading2"/>
        <w:keepNext/>
      </w:pPr>
      <w:r>
        <w:t>Pending Resolution</w:t>
      </w:r>
    </w:p>
    <w:p>
      <w:pPr>
        <w:pStyle w:val="ListBody"/>
        <w:ind w:left="490" w:hanging="331"/>
      </w:pPr>
      <w:r>
        <w:rPr>
          <w:b/>
        </w:rPr>
        <w:t xml:space="preserve">• </w:t>
      </w:r>
      <w:r>
        <w:t>Potentially attractive.</w:t>
      </w:r>
    </w:p>
    <w:p>
      <w:pPr>
        <w:pStyle w:val="ListBody"/>
        <w:ind w:left="490" w:hanging="331"/>
      </w:pPr>
      <w:r>
        <w:rPr>
          <w:b/>
        </w:rPr>
        <w:t xml:space="preserve">• </w:t>
      </w:r>
      <w:r>
        <w:t>Material evidence incomplete or contradictory.</w:t>
      </w:r>
    </w:p>
    <w:p>
      <w:pPr>
        <w:spacing w:after="0"/>
      </w:pPr>
      <w:r/>
    </w:p>
    <w:p>
      <w:pPr>
        <w:pStyle w:val="Heading1"/>
        <w:pBdr>
          <w:bottom w:val="single" w:sz="4" w:space="5" w:color="7A9AAA"/>
        </w:pBdr>
        <w:keepNext/>
      </w:pPr>
      <w:r>
        <w:t>51. Multi-horizon signal engines</w:t>
      </w:r>
    </w:p>
    <w:p>
      <w:pPr/>
      <w:r>
        <w:t>The system supports five independent horizons.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blHeader w:val="true"/>
        </w:trPr>
        <w:tc>
          <w:tcPr>
            <w:tcW w:type="dxa" w:w="3331"/>
            <w:vAlign w:val="center"/>
            <w:tcMar>
              <w:top w:w="55" w:type="dxa"/>
              <w:start w:w="65" w:type="dxa"/>
              <w:bottom w:w="55" w:type="dxa"/>
              <w:end w:w="65" w:type="dxa"/>
            </w:tcMar>
            <w:shd w:fill="D9E8EF"/>
          </w:tcPr>
          <w:p>
            <w:pPr>
              <w:spacing w:after="0"/>
            </w:pPr>
            <w:r>
              <w:rPr>
                <w:rFonts w:ascii="Cambria" w:hAnsi="Cambria"/>
                <w:b/>
                <w:color w:val="163243"/>
                <w:sz w:val="18"/>
              </w:rPr>
              <w:t>Horizon</w:t>
            </w:r>
          </w:p>
        </w:tc>
        <w:tc>
          <w:tcPr>
            <w:tcW w:type="dxa" w:w="3331"/>
            <w:vAlign w:val="center"/>
            <w:tcMar>
              <w:top w:w="55" w:type="dxa"/>
              <w:start w:w="65" w:type="dxa"/>
              <w:bottom w:w="55" w:type="dxa"/>
              <w:end w:w="65" w:type="dxa"/>
            </w:tcMar>
            <w:shd w:fill="D9E8EF"/>
          </w:tcPr>
          <w:p>
            <w:pPr>
              <w:spacing w:after="0"/>
            </w:pPr>
            <w:r>
              <w:rPr>
                <w:rFonts w:ascii="Cambria" w:hAnsi="Cambria"/>
                <w:b/>
                <w:color w:val="163243"/>
                <w:sz w:val="18"/>
              </w:rPr>
              <w:t>Typical holding period</w:t>
            </w:r>
          </w:p>
        </w:tc>
        <w:tc>
          <w:tcPr>
            <w:tcW w:type="dxa" w:w="3331"/>
            <w:vAlign w:val="center"/>
            <w:tcMar>
              <w:top w:w="55" w:type="dxa"/>
              <w:start w:w="65" w:type="dxa"/>
              <w:bottom w:w="55" w:type="dxa"/>
              <w:end w:w="65" w:type="dxa"/>
            </w:tcMar>
            <w:shd w:fill="D9E8EF"/>
          </w:tcPr>
          <w:p>
            <w:pPr>
              <w:spacing w:after="0"/>
            </w:pPr>
            <w:r>
              <w:rPr>
                <w:rFonts w:ascii="Cambria" w:hAnsi="Cambria"/>
                <w:b/>
                <w:color w:val="163243"/>
                <w:sz w:val="18"/>
              </w:rPr>
              <w:t>Confirmation</w:t>
            </w:r>
          </w:p>
        </w:tc>
      </w:tr>
      <w:tr>
        <w:trPr>
          <w:cantSplit/>
        </w:trPr>
        <w:tc>
          <w:tcPr>
            <w:tcW w:type="dxa" w:w="3331"/>
            <w:vAlign w:val="center"/>
            <w:tcMar>
              <w:top w:w="55" w:type="dxa"/>
              <w:start w:w="65" w:type="dxa"/>
              <w:bottom w:w="55" w:type="dxa"/>
              <w:end w:w="65" w:type="dxa"/>
            </w:tcMar>
          </w:tcPr>
          <w:p>
            <w:pPr>
              <w:spacing w:after="0"/>
            </w:pPr>
            <w:r>
              <w:rPr>
                <w:rFonts w:ascii="Cambria" w:hAnsi="Cambria"/>
                <w:sz w:val="18"/>
              </w:rPr>
              <w:t>Daily Tactical</w:t>
            </w:r>
          </w:p>
        </w:tc>
        <w:tc>
          <w:tcPr>
            <w:tcW w:type="dxa" w:w="3331"/>
            <w:vAlign w:val="center"/>
            <w:tcMar>
              <w:top w:w="55" w:type="dxa"/>
              <w:start w:w="65" w:type="dxa"/>
              <w:bottom w:w="55" w:type="dxa"/>
              <w:end w:w="65" w:type="dxa"/>
            </w:tcMar>
          </w:tcPr>
          <w:p>
            <w:pPr>
              <w:spacing w:after="0"/>
            </w:pPr>
            <w:r>
              <w:rPr>
                <w:rFonts w:ascii="Cambria" w:hAnsi="Cambria"/>
                <w:sz w:val="18"/>
              </w:rPr>
              <w:t>2–15 sessions</w:t>
            </w:r>
          </w:p>
        </w:tc>
        <w:tc>
          <w:tcPr>
            <w:tcW w:type="dxa" w:w="3331"/>
            <w:vAlign w:val="center"/>
            <w:tcMar>
              <w:top w:w="55" w:type="dxa"/>
              <w:start w:w="65" w:type="dxa"/>
              <w:bottom w:w="55" w:type="dxa"/>
              <w:end w:w="65" w:type="dxa"/>
            </w:tcMar>
          </w:tcPr>
          <w:p>
            <w:pPr>
              <w:spacing w:after="0"/>
            </w:pPr>
            <w:r>
              <w:rPr>
                <w:rFonts w:ascii="Cambria" w:hAnsi="Cambria"/>
                <w:sz w:val="18"/>
              </w:rPr>
              <w:t>Completed daily bar</w:t>
            </w:r>
          </w:p>
        </w:tc>
      </w:tr>
      <w:tr>
        <w:trPr>
          <w:cantSplit/>
        </w:trPr>
        <w:tc>
          <w:tcPr>
            <w:tcW w:type="dxa" w:w="3331"/>
            <w:vAlign w:val="center"/>
            <w:tcMar>
              <w:top w:w="55" w:type="dxa"/>
              <w:start w:w="65" w:type="dxa"/>
              <w:bottom w:w="55" w:type="dxa"/>
              <w:end w:w="65" w:type="dxa"/>
            </w:tcMar>
            <w:shd w:fill="F8FAFB"/>
          </w:tcPr>
          <w:p>
            <w:pPr>
              <w:spacing w:after="0"/>
            </w:pPr>
            <w:r>
              <w:rPr>
                <w:rFonts w:ascii="Cambria" w:hAnsi="Cambria"/>
                <w:sz w:val="18"/>
              </w:rPr>
              <w:t>Weekly Swing</w:t>
            </w:r>
          </w:p>
        </w:tc>
        <w:tc>
          <w:tcPr>
            <w:tcW w:type="dxa" w:w="3331"/>
            <w:vAlign w:val="center"/>
            <w:tcMar>
              <w:top w:w="55" w:type="dxa"/>
              <w:start w:w="65" w:type="dxa"/>
              <w:bottom w:w="55" w:type="dxa"/>
              <w:end w:w="65" w:type="dxa"/>
            </w:tcMar>
            <w:shd w:fill="F8FAFB"/>
          </w:tcPr>
          <w:p>
            <w:pPr>
              <w:spacing w:after="0"/>
            </w:pPr>
            <w:r>
              <w:rPr>
                <w:rFonts w:ascii="Cambria" w:hAnsi="Cambria"/>
                <w:sz w:val="18"/>
              </w:rPr>
              <w:t>2–12 weeks</w:t>
            </w:r>
          </w:p>
        </w:tc>
        <w:tc>
          <w:tcPr>
            <w:tcW w:type="dxa" w:w="3331"/>
            <w:vAlign w:val="center"/>
            <w:tcMar>
              <w:top w:w="55" w:type="dxa"/>
              <w:start w:w="65" w:type="dxa"/>
              <w:bottom w:w="55" w:type="dxa"/>
              <w:end w:w="65" w:type="dxa"/>
            </w:tcMar>
            <w:shd w:fill="F8FAFB"/>
          </w:tcPr>
          <w:p>
            <w:pPr>
              <w:spacing w:after="0"/>
            </w:pPr>
            <w:r>
              <w:rPr>
                <w:rFonts w:ascii="Cambria" w:hAnsi="Cambria"/>
                <w:sz w:val="18"/>
              </w:rPr>
              <w:t>Completed week</w:t>
            </w:r>
          </w:p>
        </w:tc>
      </w:tr>
      <w:tr>
        <w:trPr>
          <w:cantSplit/>
        </w:trPr>
        <w:tc>
          <w:tcPr>
            <w:tcW w:type="dxa" w:w="3331"/>
            <w:vAlign w:val="center"/>
            <w:tcMar>
              <w:top w:w="55" w:type="dxa"/>
              <w:start w:w="65" w:type="dxa"/>
              <w:bottom w:w="55" w:type="dxa"/>
              <w:end w:w="65" w:type="dxa"/>
            </w:tcMar>
          </w:tcPr>
          <w:p>
            <w:pPr>
              <w:spacing w:after="0"/>
            </w:pPr>
            <w:r>
              <w:rPr>
                <w:rFonts w:ascii="Cambria" w:hAnsi="Cambria"/>
                <w:sz w:val="18"/>
              </w:rPr>
              <w:t>Monthly Position</w:t>
            </w:r>
          </w:p>
        </w:tc>
        <w:tc>
          <w:tcPr>
            <w:tcW w:type="dxa" w:w="3331"/>
            <w:vAlign w:val="center"/>
            <w:tcMar>
              <w:top w:w="55" w:type="dxa"/>
              <w:start w:w="65" w:type="dxa"/>
              <w:bottom w:w="55" w:type="dxa"/>
              <w:end w:w="65" w:type="dxa"/>
            </w:tcMar>
          </w:tcPr>
          <w:p>
            <w:pPr>
              <w:spacing w:after="0"/>
            </w:pPr>
            <w:r>
              <w:rPr>
                <w:rFonts w:ascii="Cambria" w:hAnsi="Cambria"/>
                <w:sz w:val="18"/>
              </w:rPr>
              <w:t>2–12 months</w:t>
            </w:r>
          </w:p>
        </w:tc>
        <w:tc>
          <w:tcPr>
            <w:tcW w:type="dxa" w:w="3331"/>
            <w:vAlign w:val="center"/>
            <w:tcMar>
              <w:top w:w="55" w:type="dxa"/>
              <w:start w:w="65" w:type="dxa"/>
              <w:bottom w:w="55" w:type="dxa"/>
              <w:end w:w="65" w:type="dxa"/>
            </w:tcMar>
          </w:tcPr>
          <w:p>
            <w:pPr>
              <w:spacing w:after="0"/>
            </w:pPr>
            <w:r>
              <w:rPr>
                <w:rFonts w:ascii="Cambria" w:hAnsi="Cambria"/>
                <w:sz w:val="18"/>
              </w:rPr>
              <w:t>Completed month</w:t>
            </w:r>
          </w:p>
        </w:tc>
      </w:tr>
      <w:tr>
        <w:trPr>
          <w:cantSplit/>
        </w:trPr>
        <w:tc>
          <w:tcPr>
            <w:tcW w:type="dxa" w:w="3331"/>
            <w:vAlign w:val="center"/>
            <w:tcMar>
              <w:top w:w="55" w:type="dxa"/>
              <w:start w:w="65" w:type="dxa"/>
              <w:bottom w:w="55" w:type="dxa"/>
              <w:end w:w="65" w:type="dxa"/>
            </w:tcMar>
            <w:shd w:fill="F8FAFB"/>
          </w:tcPr>
          <w:p>
            <w:pPr>
              <w:spacing w:after="0"/>
            </w:pPr>
            <w:r>
              <w:rPr>
                <w:rFonts w:ascii="Cambria" w:hAnsi="Cambria"/>
                <w:sz w:val="18"/>
              </w:rPr>
              <w:t>Medium-Term Investment</w:t>
            </w:r>
          </w:p>
        </w:tc>
        <w:tc>
          <w:tcPr>
            <w:tcW w:type="dxa" w:w="3331"/>
            <w:vAlign w:val="center"/>
            <w:tcMar>
              <w:top w:w="55" w:type="dxa"/>
              <w:start w:w="65" w:type="dxa"/>
              <w:bottom w:w="55" w:type="dxa"/>
              <w:end w:w="65" w:type="dxa"/>
            </w:tcMar>
            <w:shd w:fill="F8FAFB"/>
          </w:tcPr>
          <w:p>
            <w:pPr>
              <w:spacing w:after="0"/>
            </w:pPr>
            <w:r>
              <w:rPr>
                <w:rFonts w:ascii="Cambria" w:hAnsi="Cambria"/>
                <w:sz w:val="18"/>
              </w:rPr>
              <w:t>6–24 months</w:t>
            </w:r>
          </w:p>
        </w:tc>
        <w:tc>
          <w:tcPr>
            <w:tcW w:type="dxa" w:w="3331"/>
            <w:vAlign w:val="center"/>
            <w:tcMar>
              <w:top w:w="55" w:type="dxa"/>
              <w:start w:w="65" w:type="dxa"/>
              <w:bottom w:w="55" w:type="dxa"/>
              <w:end w:w="65" w:type="dxa"/>
            </w:tcMar>
            <w:shd w:fill="F8FAFB"/>
          </w:tcPr>
          <w:p>
            <w:pPr>
              <w:spacing w:after="0"/>
            </w:pPr>
            <w:r>
              <w:rPr>
                <w:rFonts w:ascii="Cambria" w:hAnsi="Cambria"/>
                <w:sz w:val="18"/>
              </w:rPr>
              <w:t>Filing and review</w:t>
            </w:r>
          </w:p>
        </w:tc>
      </w:tr>
      <w:tr>
        <w:trPr>
          <w:cantSplit/>
        </w:trPr>
        <w:tc>
          <w:tcPr>
            <w:tcW w:type="dxa" w:w="3331"/>
            <w:vAlign w:val="center"/>
            <w:tcMar>
              <w:top w:w="55" w:type="dxa"/>
              <w:start w:w="65" w:type="dxa"/>
              <w:bottom w:w="55" w:type="dxa"/>
              <w:end w:w="65" w:type="dxa"/>
            </w:tcMar>
          </w:tcPr>
          <w:p>
            <w:pPr>
              <w:spacing w:after="0"/>
            </w:pPr>
            <w:r>
              <w:rPr>
                <w:rFonts w:ascii="Cambria" w:hAnsi="Cambria"/>
                <w:sz w:val="18"/>
              </w:rPr>
              <w:t>Long-Term Investment</w:t>
            </w:r>
          </w:p>
        </w:tc>
        <w:tc>
          <w:tcPr>
            <w:tcW w:type="dxa" w:w="3331"/>
            <w:vAlign w:val="center"/>
            <w:tcMar>
              <w:top w:w="55" w:type="dxa"/>
              <w:start w:w="65" w:type="dxa"/>
              <w:bottom w:w="55" w:type="dxa"/>
              <w:end w:w="65" w:type="dxa"/>
            </w:tcMar>
          </w:tcPr>
          <w:p>
            <w:pPr>
              <w:spacing w:after="0"/>
            </w:pPr>
            <w:r>
              <w:rPr>
                <w:rFonts w:ascii="Cambria" w:hAnsi="Cambria"/>
                <w:sz w:val="18"/>
              </w:rPr>
              <w:t>2–5+ years</w:t>
            </w:r>
          </w:p>
        </w:tc>
        <w:tc>
          <w:tcPr>
            <w:tcW w:type="dxa" w:w="3331"/>
            <w:vAlign w:val="center"/>
            <w:tcMar>
              <w:top w:w="55" w:type="dxa"/>
              <w:start w:w="65" w:type="dxa"/>
              <w:bottom w:w="55" w:type="dxa"/>
              <w:end w:w="65" w:type="dxa"/>
            </w:tcMar>
          </w:tcPr>
          <w:p>
            <w:pPr>
              <w:spacing w:after="0"/>
            </w:pPr>
            <w:r>
              <w:rPr>
                <w:rFonts w:ascii="Cambria" w:hAnsi="Cambria"/>
                <w:sz w:val="18"/>
              </w:rPr>
              <w:t>Full research approval</w:t>
            </w:r>
          </w:p>
        </w:tc>
      </w:tr>
    </w:tbl>
    <w:p>
      <w:pPr>
        <w:spacing w:after="20"/>
      </w:pPr>
    </w:p>
    <w:p>
      <w:pPr/>
      <w:r>
        <w:t>A company may have different signals across horizons.</w:t>
      </w:r>
    </w:p>
    <w:p>
      <w:pPr/>
      <w:r>
        <w:t>Example:</w:t>
      </w:r>
    </w:p>
    <w:p>
      <w:pPr/>
      <w:r>
        <w:t>Daily: REDUCE</w:t>
        <w:br/>
        <w:t>Weekly: HOLD</w:t>
        <w:br/>
        <w:t>Monthly: ACCUMULATE</w:t>
        <w:br/>
        <w:t>Medium: BUY</w:t>
        <w:br/>
        <w:t>Long: STRONG BUY</w:t>
      </w:r>
    </w:p>
    <w:p>
      <w:pPr/>
      <w:r>
        <w:t>This represents different decision horizons, not a logical error.</w:t>
      </w:r>
    </w:p>
    <w:p>
      <w:pPr>
        <w:spacing w:after="0"/>
      </w:pPr>
      <w:r/>
    </w:p>
    <w:p>
      <w:pPr>
        <w:pStyle w:val="Heading1"/>
        <w:pBdr>
          <w:bottom w:val="single" w:sz="4" w:space="5" w:color="7A9AAA"/>
        </w:pBdr>
        <w:keepNext/>
      </w:pPr>
      <w:r>
        <w:t>52. Canonical price series and timeframe construction</w:t>
      </w:r>
    </w:p>
    <w:p>
      <w:pPr/>
      <w:r>
        <w:t>Maintain one validated canonical daily series.</w:t>
      </w:r>
    </w:p>
    <w:p>
      <w:pPr/>
      <w:r>
        <w:t>Preferred hierarchy:</w:t>
      </w:r>
    </w:p>
    <w:p>
      <w:pPr>
        <w:pStyle w:val="ListBody"/>
        <w:ind w:left="490" w:hanging="331"/>
      </w:pPr>
      <w:r>
        <w:rPr>
          <w:b/>
        </w:rPr>
        <w:t xml:space="preserve">1. </w:t>
      </w:r>
      <w:r>
        <w:t>Licensed exchange or authorized vendor.</w:t>
      </w:r>
    </w:p>
    <w:p>
      <w:pPr>
        <w:pStyle w:val="ListBody"/>
        <w:ind w:left="490" w:hanging="331"/>
      </w:pPr>
      <w:r>
        <w:rPr>
          <w:b/>
        </w:rPr>
        <w:t xml:space="preserve">2. </w:t>
      </w:r>
      <w:r>
        <w:t>Primary broker.</w:t>
      </w:r>
    </w:p>
    <w:p>
      <w:pPr>
        <w:pStyle w:val="ListBody"/>
        <w:ind w:left="490" w:hanging="331"/>
      </w:pPr>
      <w:r>
        <w:rPr>
          <w:b/>
        </w:rPr>
        <w:t xml:space="preserve">3. </w:t>
      </w:r>
      <w:r>
        <w:t>Secondary broker.</w:t>
      </w:r>
    </w:p>
    <w:p>
      <w:pPr>
        <w:pStyle w:val="ListBody"/>
        <w:ind w:left="490" w:hanging="331"/>
      </w:pPr>
      <w:r>
        <w:rPr>
          <w:b/>
        </w:rPr>
        <w:t xml:space="preserve">4. </w:t>
      </w:r>
      <w:r>
        <w:t>Diagnostic fallback.</w:t>
      </w:r>
    </w:p>
    <w:p>
      <w:pPr>
        <w:pStyle w:val="Heading2"/>
        <w:keepNext/>
      </w:pPr>
      <w:r>
        <w:t>Weekly aggregation</w:t>
      </w:r>
    </w:p>
    <w:p>
      <w:pPr/>
      <w:r>
        <w:t>Open   = first valid open of week</w:t>
        <w:br/>
        <w:t>High   = maximum daily high</w:t>
        <w:br/>
        <w:t>Low    = minimum daily low</w:t>
        <w:br/>
        <w:t>Close  = last valid daily close</w:t>
        <w:br/>
        <w:t>Volume = sum of valid daily volume</w:t>
      </w:r>
    </w:p>
    <w:p>
      <w:pPr>
        <w:pStyle w:val="Heading2"/>
        <w:keepNext/>
      </w:pPr>
      <w:r>
        <w:t>Monthly aggregation</w:t>
      </w:r>
    </w:p>
    <w:p>
      <w:pPr/>
      <w:r>
        <w:t>Open   = first valid open of month</w:t>
        <w:br/>
        <w:t>High   = maximum daily high</w:t>
        <w:br/>
        <w:t>Low    = minimum daily low</w:t>
        <w:br/>
        <w:t>Close  = last valid daily close</w:t>
        <w:br/>
        <w:t>Volume = sum of valid daily volume</w:t>
      </w:r>
    </w:p>
    <w:p>
      <w:pPr>
        <w:pStyle w:val="Heading2"/>
        <w:keepNext/>
      </w:pPr>
      <w:r>
        <w:t>Incomplete bars</w:t>
      </w:r>
    </w:p>
    <w:p>
      <w:pPr/>
      <w:r>
        <w:t>Every higher-timeframe bar stores:</w:t>
      </w:r>
    </w:p>
    <w:p>
      <w:pPr/>
      <w:r>
        <w:t>is_complete</w:t>
        <w:br/>
        <w:t>expected_sessions</w:t>
        <w:br/>
        <w:t>received_sessions</w:t>
        <w:br/>
        <w:t>completion_ratio</w:t>
        <w:br/>
        <w:t>confirmed_at</w:t>
      </w:r>
    </w:p>
    <w:p>
      <w:pPr/>
      <w:r>
        <w:t>Rules:</w:t>
      </w:r>
    </w:p>
    <w:p>
      <w:pPr>
        <w:pStyle w:val="ListBody"/>
        <w:ind w:left="490" w:hanging="331"/>
      </w:pPr>
      <w:r>
        <w:rPr>
          <w:b/>
        </w:rPr>
        <w:t xml:space="preserve">• </w:t>
      </w:r>
      <w:r>
        <w:t>Incomplete daily bar: no confirmed signal.</w:t>
      </w:r>
    </w:p>
    <w:p>
      <w:pPr>
        <w:pStyle w:val="ListBody"/>
        <w:ind w:left="490" w:hanging="331"/>
      </w:pPr>
      <w:r>
        <w:rPr>
          <w:b/>
        </w:rPr>
        <w:t xml:space="preserve">• </w:t>
      </w:r>
      <w:r>
        <w:t>Incomplete week: preview only.</w:t>
      </w:r>
    </w:p>
    <w:p>
      <w:pPr>
        <w:pStyle w:val="ListBody"/>
        <w:ind w:left="490" w:hanging="331"/>
      </w:pPr>
      <w:r>
        <w:rPr>
          <w:b/>
        </w:rPr>
        <w:t xml:space="preserve">• </w:t>
      </w:r>
      <w:r>
        <w:t>Incomplete month: preview only.</w:t>
      </w:r>
    </w:p>
    <w:p>
      <w:pPr>
        <w:pStyle w:val="ListBody"/>
        <w:ind w:left="490" w:hanging="331"/>
      </w:pPr>
      <w:r>
        <w:rPr>
          <w:b/>
        </w:rPr>
        <w:t xml:space="preserve">• </w:t>
      </w:r>
      <w:r>
        <w:t>Missing session: reconcile before confirmation.</w:t>
      </w:r>
    </w:p>
    <w:p>
      <w:pPr>
        <w:pStyle w:val="ListBody"/>
        <w:ind w:left="490" w:hanging="331"/>
      </w:pPr>
      <w:r>
        <w:rPr>
          <w:b/>
        </w:rPr>
        <w:t xml:space="preserve">• </w:t>
      </w:r>
      <w:r>
        <w:t>Exchange holiday: not a missing session.</w:t>
      </w:r>
    </w:p>
    <w:p>
      <w:pPr>
        <w:pStyle w:val="ListBody"/>
        <w:ind w:left="490" w:hanging="331"/>
      </w:pPr>
      <w:r>
        <w:rPr>
          <w:b/>
        </w:rPr>
        <w:t xml:space="preserve">• </w:t>
      </w:r>
      <w:r>
        <w:t>Suspended security: no synthetic flat candle.</w:t>
      </w:r>
    </w:p>
    <w:p>
      <w:pPr>
        <w:spacing w:after="0"/>
      </w:pPr>
      <w:r/>
    </w:p>
    <w:p>
      <w:pPr>
        <w:pStyle w:val="Heading1"/>
        <w:pBdr>
          <w:bottom w:val="single" w:sz="4" w:space="5" w:color="7A9AAA"/>
        </w:pBdr>
        <w:keepNext/>
      </w:pPr>
      <w:r>
        <w:t>53. Common pre-signal gate</w:t>
      </w:r>
    </w:p>
    <w:p>
      <w:pPr/>
      <w:r>
        <w:t>No actionable signal may be issued until:</w:t>
      </w:r>
    </w:p>
    <w:p>
      <w:pPr/>
      <w:r>
        <w:t>Security mapping valid</w:t>
        <w:br/>
        <w:t>AND source permissions valid</w:t>
        <w:br/>
        <w:t>AND price data complete</w:t>
        <w:br/>
        <w:t>AND company eligible</w:t>
        <w:br/>
        <w:t>AND liquidity pass</w:t>
        <w:br/>
        <w:t>AND no Level-1 hard gate</w:t>
        <w:br/>
        <w:t>AND minimum Data Confidence reached</w:t>
        <w:br/>
        <w:t>AND signal inputs not stale</w:t>
        <w:br/>
        <w:t>AND corporate actions reconciled</w:t>
      </w:r>
    </w:p>
    <w:p>
      <w:pPr/>
      <w:r>
        <w:t>Precedence:</w:t>
      </w:r>
    </w:p>
    <w:p>
      <w:pPr/>
      <w:r>
        <w:t>Hard Gate</w:t>
        <w:br/>
        <w:t>→ Data Reliability</w:t>
        <w:br/>
        <w:t>→ Liquidity</w:t>
        <w:br/>
        <w:t>→ Portfolio Risk</w:t>
        <w:br/>
        <w:t>→ Horizon Signal</w:t>
        <w:br/>
        <w:t>→ Execution</w:t>
      </w:r>
    </w:p>
    <w:p>
      <w:pPr>
        <w:spacing w:after="0"/>
      </w:pPr>
      <w:r/>
    </w:p>
    <w:p>
      <w:pPr>
        <w:pStyle w:val="Heading1"/>
        <w:pBdr>
          <w:bottom w:val="single" w:sz="4" w:space="5" w:color="7A9AAA"/>
        </w:pBdr>
        <w:keepNext/>
      </w:pPr>
      <w:r>
        <w:t>54. Common signal components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blHeader w:val="true"/>
        </w:trPr>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Code</w:t>
            </w:r>
          </w:p>
        </w:tc>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Component</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Q</w:t>
            </w:r>
          </w:p>
        </w:tc>
        <w:tc>
          <w:tcPr>
            <w:tcW w:type="dxa" w:w="4997"/>
            <w:vAlign w:val="center"/>
            <w:tcMar>
              <w:top w:w="55" w:type="dxa"/>
              <w:start w:w="65" w:type="dxa"/>
              <w:bottom w:w="55" w:type="dxa"/>
              <w:end w:w="65" w:type="dxa"/>
            </w:tcMar>
          </w:tcPr>
          <w:p>
            <w:pPr>
              <w:spacing w:after="0"/>
            </w:pPr>
            <w:r>
              <w:rPr>
                <w:rFonts w:ascii="Cambria" w:hAnsi="Cambria"/>
                <w:sz w:val="18"/>
              </w:rPr>
              <w:t>Fundamental quality</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V</w:t>
            </w:r>
          </w:p>
        </w:tc>
        <w:tc>
          <w:tcPr>
            <w:tcW w:type="dxa" w:w="4997"/>
            <w:vAlign w:val="center"/>
            <w:tcMar>
              <w:top w:w="55" w:type="dxa"/>
              <w:start w:w="65" w:type="dxa"/>
              <w:bottom w:w="55" w:type="dxa"/>
              <w:end w:w="65" w:type="dxa"/>
            </w:tcMar>
            <w:shd w:fill="F8FAFB"/>
          </w:tcPr>
          <w:p>
            <w:pPr>
              <w:spacing w:after="0"/>
            </w:pPr>
            <w:r>
              <w:rPr>
                <w:rFonts w:ascii="Cambria" w:hAnsi="Cambria"/>
                <w:sz w:val="18"/>
              </w:rPr>
              <w:t>Valuation</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E</w:t>
            </w:r>
          </w:p>
        </w:tc>
        <w:tc>
          <w:tcPr>
            <w:tcW w:type="dxa" w:w="4997"/>
            <w:vAlign w:val="center"/>
            <w:tcMar>
              <w:top w:w="55" w:type="dxa"/>
              <w:start w:w="65" w:type="dxa"/>
              <w:bottom w:w="55" w:type="dxa"/>
              <w:end w:w="65" w:type="dxa"/>
            </w:tcMar>
          </w:tcPr>
          <w:p>
            <w:pPr>
              <w:spacing w:after="0"/>
            </w:pPr>
            <w:r>
              <w:rPr>
                <w:rFonts w:ascii="Cambria" w:hAnsi="Cambria"/>
                <w:sz w:val="18"/>
              </w:rPr>
              <w:t>Earnings momentum</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T</w:t>
            </w:r>
          </w:p>
        </w:tc>
        <w:tc>
          <w:tcPr>
            <w:tcW w:type="dxa" w:w="4997"/>
            <w:vAlign w:val="center"/>
            <w:tcMar>
              <w:top w:w="55" w:type="dxa"/>
              <w:start w:w="65" w:type="dxa"/>
              <w:bottom w:w="55" w:type="dxa"/>
              <w:end w:w="65" w:type="dxa"/>
            </w:tcMar>
            <w:shd w:fill="F8FAFB"/>
          </w:tcPr>
          <w:p>
            <w:pPr>
              <w:spacing w:after="0"/>
            </w:pPr>
            <w:r>
              <w:rPr>
                <w:rFonts w:ascii="Cambria" w:hAnsi="Cambria"/>
                <w:sz w:val="18"/>
              </w:rPr>
              <w:t>Technical trend</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M</w:t>
            </w:r>
          </w:p>
        </w:tc>
        <w:tc>
          <w:tcPr>
            <w:tcW w:type="dxa" w:w="4997"/>
            <w:vAlign w:val="center"/>
            <w:tcMar>
              <w:top w:w="55" w:type="dxa"/>
              <w:start w:w="65" w:type="dxa"/>
              <w:bottom w:w="55" w:type="dxa"/>
              <w:end w:w="65" w:type="dxa"/>
            </w:tcMar>
          </w:tcPr>
          <w:p>
            <w:pPr>
              <w:spacing w:after="0"/>
            </w:pPr>
            <w:r>
              <w:rPr>
                <w:rFonts w:ascii="Cambria" w:hAnsi="Cambria"/>
                <w:sz w:val="18"/>
              </w:rPr>
              <w:t>Price momentum</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C</w:t>
            </w:r>
          </w:p>
        </w:tc>
        <w:tc>
          <w:tcPr>
            <w:tcW w:type="dxa" w:w="4997"/>
            <w:vAlign w:val="center"/>
            <w:tcMar>
              <w:top w:w="55" w:type="dxa"/>
              <w:start w:w="65" w:type="dxa"/>
              <w:bottom w:w="55" w:type="dxa"/>
              <w:end w:w="65" w:type="dxa"/>
            </w:tcMar>
            <w:shd w:fill="F8FAFB"/>
          </w:tcPr>
          <w:p>
            <w:pPr>
              <w:spacing w:after="0"/>
            </w:pPr>
            <w:r>
              <w:rPr>
                <w:rFonts w:ascii="Cambria" w:hAnsi="Cambria"/>
                <w:sz w:val="18"/>
              </w:rPr>
              <w:t>Catalysts</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R</w:t>
            </w:r>
          </w:p>
        </w:tc>
        <w:tc>
          <w:tcPr>
            <w:tcW w:type="dxa" w:w="4997"/>
            <w:vAlign w:val="center"/>
            <w:tcMar>
              <w:top w:w="55" w:type="dxa"/>
              <w:start w:w="65" w:type="dxa"/>
              <w:bottom w:w="55" w:type="dxa"/>
              <w:end w:w="65" w:type="dxa"/>
            </w:tcMar>
          </w:tcPr>
          <w:p>
            <w:pPr>
              <w:spacing w:after="0"/>
            </w:pPr>
            <w:r>
              <w:rPr>
                <w:rFonts w:ascii="Cambria" w:hAnsi="Cambria"/>
                <w:sz w:val="18"/>
              </w:rPr>
              <w:t>Market and sector regime</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L</w:t>
            </w:r>
          </w:p>
        </w:tc>
        <w:tc>
          <w:tcPr>
            <w:tcW w:type="dxa" w:w="4997"/>
            <w:vAlign w:val="center"/>
            <w:tcMar>
              <w:top w:w="55" w:type="dxa"/>
              <w:start w:w="65" w:type="dxa"/>
              <w:bottom w:w="55" w:type="dxa"/>
              <w:end w:w="65" w:type="dxa"/>
            </w:tcMar>
            <w:shd w:fill="F8FAFB"/>
          </w:tcPr>
          <w:p>
            <w:pPr>
              <w:spacing w:after="0"/>
            </w:pPr>
            <w:r>
              <w:rPr>
                <w:rFonts w:ascii="Cambria" w:hAnsi="Cambria"/>
                <w:sz w:val="18"/>
              </w:rPr>
              <w:t>Liquidity</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P</w:t>
            </w:r>
          </w:p>
        </w:tc>
        <w:tc>
          <w:tcPr>
            <w:tcW w:type="dxa" w:w="4997"/>
            <w:vAlign w:val="center"/>
            <w:tcMar>
              <w:top w:w="55" w:type="dxa"/>
              <w:start w:w="65" w:type="dxa"/>
              <w:bottom w:w="55" w:type="dxa"/>
              <w:end w:w="65" w:type="dxa"/>
            </w:tcMar>
          </w:tcPr>
          <w:p>
            <w:pPr>
              <w:spacing w:after="0"/>
            </w:pPr>
            <w:r>
              <w:rPr>
                <w:rFonts w:ascii="Cambria" w:hAnsi="Cambria"/>
                <w:sz w:val="18"/>
              </w:rPr>
              <w:t>Thesis persistence</w:t>
            </w:r>
          </w:p>
        </w:tc>
      </w:tr>
    </w:tbl>
    <w:p>
      <w:pPr>
        <w:spacing w:after="20"/>
      </w:pPr>
    </w:p>
    <w:p>
      <w:pPr/>
      <w:r>
        <w:t>Each component is normalized from 0 to 100.</w:t>
      </w:r>
    </w:p>
    <w:p>
      <w:pPr>
        <w:spacing w:after="0"/>
      </w:pPr>
      <w:r/>
    </w:p>
    <w:p>
      <w:pPr>
        <w:pStyle w:val="Heading1"/>
        <w:pBdr>
          <w:bottom w:val="single" w:sz="4" w:space="5" w:color="7A9AAA"/>
        </w:pBdr>
        <w:keepNext/>
      </w:pPr>
      <w:r>
        <w:t>55. Horizon weights</w:t>
      </w:r>
    </w:p>
    <w:tbl>
      <w:tblPr>
        <w:tblStyle w:val="TableGrid"/>
        <w:tblW w:type="auto" w:w="0"/>
        <w:jc w:val="center"/>
        <w:tblLayout w:type="autofit"/>
        <w:tblLook w:firstColumn="1" w:firstRow="1" w:lastColumn="0" w:lastRow="0" w:noHBand="0" w:noVBand="1" w:val="04A0"/>
      </w:tblPr>
      <w:tblGrid>
        <w:gridCol w:w="1666"/>
        <w:gridCol w:w="1666"/>
        <w:gridCol w:w="1666"/>
        <w:gridCol w:w="1666"/>
        <w:gridCol w:w="1666"/>
        <w:gridCol w:w="1666"/>
      </w:tblGrid>
      <w:tr>
        <w:trPr>
          <w:tblHeader w:val="true"/>
          <w:cantSplit/>
          <w:tblHeader w:val="true"/>
        </w:trPr>
        <w:tc>
          <w:tcPr>
            <w:tcW w:type="dxa" w:w="1666"/>
            <w:vAlign w:val="center"/>
            <w:tcMar>
              <w:top w:w="55" w:type="dxa"/>
              <w:start w:w="65" w:type="dxa"/>
              <w:bottom w:w="55" w:type="dxa"/>
              <w:end w:w="65" w:type="dxa"/>
            </w:tcMar>
            <w:shd w:fill="D9E8EF"/>
          </w:tcPr>
          <w:p>
            <w:pPr>
              <w:spacing w:after="0"/>
            </w:pPr>
            <w:r>
              <w:rPr>
                <w:rFonts w:ascii="Cambria" w:hAnsi="Cambria"/>
                <w:b/>
                <w:color w:val="163243"/>
                <w:sz w:val="17"/>
              </w:rPr>
              <w:t>Component</w:t>
            </w:r>
          </w:p>
        </w:tc>
        <w:tc>
          <w:tcPr>
            <w:tcW w:type="dxa" w:w="1666"/>
            <w:vAlign w:val="center"/>
            <w:tcMar>
              <w:top w:w="55" w:type="dxa"/>
              <w:start w:w="65" w:type="dxa"/>
              <w:bottom w:w="55" w:type="dxa"/>
              <w:end w:w="65" w:type="dxa"/>
            </w:tcMar>
            <w:shd w:fill="D9E8EF"/>
          </w:tcPr>
          <w:p>
            <w:pPr>
              <w:spacing w:after="0"/>
            </w:pPr>
            <w:r>
              <w:rPr>
                <w:rFonts w:ascii="Cambria" w:hAnsi="Cambria"/>
                <w:b/>
                <w:color w:val="163243"/>
                <w:sz w:val="17"/>
              </w:rPr>
              <w:t>Daily</w:t>
            </w:r>
          </w:p>
        </w:tc>
        <w:tc>
          <w:tcPr>
            <w:tcW w:type="dxa" w:w="1666"/>
            <w:vAlign w:val="center"/>
            <w:tcMar>
              <w:top w:w="55" w:type="dxa"/>
              <w:start w:w="65" w:type="dxa"/>
              <w:bottom w:w="55" w:type="dxa"/>
              <w:end w:w="65" w:type="dxa"/>
            </w:tcMar>
            <w:shd w:fill="D9E8EF"/>
          </w:tcPr>
          <w:p>
            <w:pPr>
              <w:spacing w:after="0"/>
            </w:pPr>
            <w:r>
              <w:rPr>
                <w:rFonts w:ascii="Cambria" w:hAnsi="Cambria"/>
                <w:b/>
                <w:color w:val="163243"/>
                <w:sz w:val="17"/>
              </w:rPr>
              <w:t>Weekly</w:t>
            </w:r>
          </w:p>
        </w:tc>
        <w:tc>
          <w:tcPr>
            <w:tcW w:type="dxa" w:w="1666"/>
            <w:vAlign w:val="center"/>
            <w:tcMar>
              <w:top w:w="55" w:type="dxa"/>
              <w:start w:w="65" w:type="dxa"/>
              <w:bottom w:w="55" w:type="dxa"/>
              <w:end w:w="65" w:type="dxa"/>
            </w:tcMar>
            <w:shd w:fill="D9E8EF"/>
          </w:tcPr>
          <w:p>
            <w:pPr>
              <w:spacing w:after="0"/>
            </w:pPr>
            <w:r>
              <w:rPr>
                <w:rFonts w:ascii="Cambria" w:hAnsi="Cambria"/>
                <w:b/>
                <w:color w:val="163243"/>
                <w:sz w:val="17"/>
              </w:rPr>
              <w:t>Monthly</w:t>
            </w:r>
          </w:p>
        </w:tc>
        <w:tc>
          <w:tcPr>
            <w:tcW w:type="dxa" w:w="1666"/>
            <w:vAlign w:val="center"/>
            <w:tcMar>
              <w:top w:w="55" w:type="dxa"/>
              <w:start w:w="65" w:type="dxa"/>
              <w:bottom w:w="55" w:type="dxa"/>
              <w:end w:w="65" w:type="dxa"/>
            </w:tcMar>
            <w:shd w:fill="D9E8EF"/>
          </w:tcPr>
          <w:p>
            <w:pPr>
              <w:spacing w:after="0"/>
            </w:pPr>
            <w:r>
              <w:rPr>
                <w:rFonts w:ascii="Cambria" w:hAnsi="Cambria"/>
                <w:b/>
                <w:color w:val="163243"/>
                <w:sz w:val="17"/>
              </w:rPr>
              <w:t>Medium</w:t>
            </w:r>
          </w:p>
        </w:tc>
        <w:tc>
          <w:tcPr>
            <w:tcW w:type="dxa" w:w="1666"/>
            <w:vAlign w:val="center"/>
            <w:tcMar>
              <w:top w:w="55" w:type="dxa"/>
              <w:start w:w="65" w:type="dxa"/>
              <w:bottom w:w="55" w:type="dxa"/>
              <w:end w:w="65" w:type="dxa"/>
            </w:tcMar>
            <w:shd w:fill="D9E8EF"/>
          </w:tcPr>
          <w:p>
            <w:pPr>
              <w:spacing w:after="0"/>
            </w:pPr>
            <w:r>
              <w:rPr>
                <w:rFonts w:ascii="Cambria" w:hAnsi="Cambria"/>
                <w:b/>
                <w:color w:val="163243"/>
                <w:sz w:val="17"/>
              </w:rPr>
              <w:t>Long</w:t>
            </w:r>
          </w:p>
        </w:tc>
      </w:tr>
      <w:tr>
        <w:trPr>
          <w:cantSplit/>
        </w:trPr>
        <w:tc>
          <w:tcPr>
            <w:tcW w:type="dxa" w:w="1666"/>
            <w:vAlign w:val="center"/>
            <w:tcMar>
              <w:top w:w="55" w:type="dxa"/>
              <w:start w:w="65" w:type="dxa"/>
              <w:bottom w:w="55" w:type="dxa"/>
              <w:end w:w="65" w:type="dxa"/>
            </w:tcMar>
          </w:tcPr>
          <w:p>
            <w:pPr>
              <w:spacing w:after="0"/>
            </w:pPr>
            <w:r>
              <w:rPr>
                <w:rFonts w:ascii="Cambria" w:hAnsi="Cambria"/>
                <w:sz w:val="17"/>
              </w:rPr>
              <w:t>Q</w:t>
            </w:r>
          </w:p>
        </w:tc>
        <w:tc>
          <w:tcPr>
            <w:tcW w:type="dxa" w:w="1666"/>
            <w:vAlign w:val="center"/>
            <w:tcMar>
              <w:top w:w="55" w:type="dxa"/>
              <w:start w:w="65" w:type="dxa"/>
              <w:bottom w:w="55" w:type="dxa"/>
              <w:end w:w="65" w:type="dxa"/>
            </w:tcMar>
          </w:tcPr>
          <w:p>
            <w:pPr>
              <w:spacing w:after="0"/>
            </w:pPr>
            <w:r>
              <w:rPr>
                <w:rFonts w:ascii="Cambria" w:hAnsi="Cambria"/>
                <w:sz w:val="17"/>
              </w:rPr>
              <w:t>10</w:t>
            </w:r>
          </w:p>
        </w:tc>
        <w:tc>
          <w:tcPr>
            <w:tcW w:type="dxa" w:w="1666"/>
            <w:vAlign w:val="center"/>
            <w:tcMar>
              <w:top w:w="55" w:type="dxa"/>
              <w:start w:w="65" w:type="dxa"/>
              <w:bottom w:w="55" w:type="dxa"/>
              <w:end w:w="65" w:type="dxa"/>
            </w:tcMar>
          </w:tcPr>
          <w:p>
            <w:pPr>
              <w:spacing w:after="0"/>
            </w:pPr>
            <w:r>
              <w:rPr>
                <w:rFonts w:ascii="Cambria" w:hAnsi="Cambria"/>
                <w:sz w:val="17"/>
              </w:rPr>
              <w:t>20</w:t>
            </w:r>
          </w:p>
        </w:tc>
        <w:tc>
          <w:tcPr>
            <w:tcW w:type="dxa" w:w="1666"/>
            <w:vAlign w:val="center"/>
            <w:tcMar>
              <w:top w:w="55" w:type="dxa"/>
              <w:start w:w="65" w:type="dxa"/>
              <w:bottom w:w="55" w:type="dxa"/>
              <w:end w:w="65" w:type="dxa"/>
            </w:tcMar>
          </w:tcPr>
          <w:p>
            <w:pPr>
              <w:spacing w:after="0"/>
            </w:pPr>
            <w:r>
              <w:rPr>
                <w:rFonts w:ascii="Cambria" w:hAnsi="Cambria"/>
                <w:sz w:val="17"/>
              </w:rPr>
              <w:t>30</w:t>
            </w:r>
          </w:p>
        </w:tc>
        <w:tc>
          <w:tcPr>
            <w:tcW w:type="dxa" w:w="1666"/>
            <w:vAlign w:val="center"/>
            <w:tcMar>
              <w:top w:w="55" w:type="dxa"/>
              <w:start w:w="65" w:type="dxa"/>
              <w:bottom w:w="55" w:type="dxa"/>
              <w:end w:w="65" w:type="dxa"/>
            </w:tcMar>
          </w:tcPr>
          <w:p>
            <w:pPr>
              <w:spacing w:after="0"/>
            </w:pPr>
            <w:r>
              <w:rPr>
                <w:rFonts w:ascii="Cambria" w:hAnsi="Cambria"/>
                <w:sz w:val="17"/>
              </w:rPr>
              <w:t>30</w:t>
            </w:r>
          </w:p>
        </w:tc>
        <w:tc>
          <w:tcPr>
            <w:tcW w:type="dxa" w:w="1666"/>
            <w:vAlign w:val="center"/>
            <w:tcMar>
              <w:top w:w="55" w:type="dxa"/>
              <w:start w:w="65" w:type="dxa"/>
              <w:bottom w:w="55" w:type="dxa"/>
              <w:end w:w="65" w:type="dxa"/>
            </w:tcMar>
          </w:tcPr>
          <w:p>
            <w:pPr>
              <w:spacing w:after="0"/>
            </w:pPr>
            <w:r>
              <w:rPr>
                <w:rFonts w:ascii="Cambria" w:hAnsi="Cambria"/>
                <w:sz w:val="17"/>
              </w:rPr>
              <w:t>35</w:t>
            </w:r>
          </w:p>
        </w:tc>
      </w:tr>
      <w:tr>
        <w:trPr>
          <w:cantSplit/>
        </w:trPr>
        <w:tc>
          <w:tcPr>
            <w:tcW w:type="dxa" w:w="1666"/>
            <w:vAlign w:val="center"/>
            <w:tcMar>
              <w:top w:w="55" w:type="dxa"/>
              <w:start w:w="65" w:type="dxa"/>
              <w:bottom w:w="55" w:type="dxa"/>
              <w:end w:w="65" w:type="dxa"/>
            </w:tcMar>
            <w:shd w:fill="F8FAFB"/>
          </w:tcPr>
          <w:p>
            <w:pPr>
              <w:spacing w:after="0"/>
            </w:pPr>
            <w:r>
              <w:rPr>
                <w:rFonts w:ascii="Cambria" w:hAnsi="Cambria"/>
                <w:sz w:val="17"/>
              </w:rPr>
              <w:t>V</w:t>
            </w:r>
          </w:p>
        </w:tc>
        <w:tc>
          <w:tcPr>
            <w:tcW w:type="dxa" w:w="1666"/>
            <w:vAlign w:val="center"/>
            <w:tcMar>
              <w:top w:w="55" w:type="dxa"/>
              <w:start w:w="65" w:type="dxa"/>
              <w:bottom w:w="55" w:type="dxa"/>
              <w:end w:w="65" w:type="dxa"/>
            </w:tcMar>
            <w:shd w:fill="F8FAFB"/>
          </w:tcPr>
          <w:p>
            <w:pPr>
              <w:spacing w:after="0"/>
            </w:pPr>
            <w:r>
              <w:rPr>
                <w:rFonts w:ascii="Cambria" w:hAnsi="Cambria"/>
                <w:sz w:val="17"/>
              </w:rPr>
              <w:t>5</w:t>
            </w:r>
          </w:p>
        </w:tc>
        <w:tc>
          <w:tcPr>
            <w:tcW w:type="dxa" w:w="1666"/>
            <w:vAlign w:val="center"/>
            <w:tcMar>
              <w:top w:w="55" w:type="dxa"/>
              <w:start w:w="65" w:type="dxa"/>
              <w:bottom w:w="55" w:type="dxa"/>
              <w:end w:w="65" w:type="dxa"/>
            </w:tcMar>
            <w:shd w:fill="F8FAFB"/>
          </w:tcPr>
          <w:p>
            <w:pPr>
              <w:spacing w:after="0"/>
            </w:pPr>
            <w:r>
              <w:rPr>
                <w:rFonts w:ascii="Cambria" w:hAnsi="Cambria"/>
                <w:sz w:val="17"/>
              </w:rPr>
              <w:t>10</w:t>
            </w:r>
          </w:p>
        </w:tc>
        <w:tc>
          <w:tcPr>
            <w:tcW w:type="dxa" w:w="1666"/>
            <w:vAlign w:val="center"/>
            <w:tcMar>
              <w:top w:w="55" w:type="dxa"/>
              <w:start w:w="65" w:type="dxa"/>
              <w:bottom w:w="55" w:type="dxa"/>
              <w:end w:w="65" w:type="dxa"/>
            </w:tcMar>
            <w:shd w:fill="F8FAFB"/>
          </w:tcPr>
          <w:p>
            <w:pPr>
              <w:spacing w:after="0"/>
            </w:pPr>
            <w:r>
              <w:rPr>
                <w:rFonts w:ascii="Cambria" w:hAnsi="Cambria"/>
                <w:sz w:val="17"/>
              </w:rPr>
              <w:t>15</w:t>
            </w:r>
          </w:p>
        </w:tc>
        <w:tc>
          <w:tcPr>
            <w:tcW w:type="dxa" w:w="1666"/>
            <w:vAlign w:val="center"/>
            <w:tcMar>
              <w:top w:w="55" w:type="dxa"/>
              <w:start w:w="65" w:type="dxa"/>
              <w:bottom w:w="55" w:type="dxa"/>
              <w:end w:w="65" w:type="dxa"/>
            </w:tcMar>
            <w:shd w:fill="F8FAFB"/>
          </w:tcPr>
          <w:p>
            <w:pPr>
              <w:spacing w:after="0"/>
            </w:pPr>
            <w:r>
              <w:rPr>
                <w:rFonts w:ascii="Cambria" w:hAnsi="Cambria"/>
                <w:sz w:val="17"/>
              </w:rPr>
              <w:t>20</w:t>
            </w:r>
          </w:p>
        </w:tc>
        <w:tc>
          <w:tcPr>
            <w:tcW w:type="dxa" w:w="1666"/>
            <w:vAlign w:val="center"/>
            <w:tcMar>
              <w:top w:w="55" w:type="dxa"/>
              <w:start w:w="65" w:type="dxa"/>
              <w:bottom w:w="55" w:type="dxa"/>
              <w:end w:w="65" w:type="dxa"/>
            </w:tcMar>
            <w:shd w:fill="F8FAFB"/>
          </w:tcPr>
          <w:p>
            <w:pPr>
              <w:spacing w:after="0"/>
            </w:pPr>
            <w:r>
              <w:rPr>
                <w:rFonts w:ascii="Cambria" w:hAnsi="Cambria"/>
                <w:sz w:val="17"/>
              </w:rPr>
              <w:t>25</w:t>
            </w:r>
          </w:p>
        </w:tc>
      </w:tr>
      <w:tr>
        <w:trPr>
          <w:cantSplit/>
        </w:trPr>
        <w:tc>
          <w:tcPr>
            <w:tcW w:type="dxa" w:w="1666"/>
            <w:vAlign w:val="center"/>
            <w:tcMar>
              <w:top w:w="55" w:type="dxa"/>
              <w:start w:w="65" w:type="dxa"/>
              <w:bottom w:w="55" w:type="dxa"/>
              <w:end w:w="65" w:type="dxa"/>
            </w:tcMar>
          </w:tcPr>
          <w:p>
            <w:pPr>
              <w:spacing w:after="0"/>
            </w:pPr>
            <w:r>
              <w:rPr>
                <w:rFonts w:ascii="Cambria" w:hAnsi="Cambria"/>
                <w:sz w:val="17"/>
              </w:rPr>
              <w:t>E</w:t>
            </w:r>
          </w:p>
        </w:tc>
        <w:tc>
          <w:tcPr>
            <w:tcW w:type="dxa" w:w="1666"/>
            <w:vAlign w:val="center"/>
            <w:tcMar>
              <w:top w:w="55" w:type="dxa"/>
              <w:start w:w="65" w:type="dxa"/>
              <w:bottom w:w="55" w:type="dxa"/>
              <w:end w:w="65" w:type="dxa"/>
            </w:tcMar>
          </w:tcPr>
          <w:p>
            <w:pPr>
              <w:spacing w:after="0"/>
            </w:pPr>
            <w:r>
              <w:rPr>
                <w:rFonts w:ascii="Cambria" w:hAnsi="Cambria"/>
                <w:sz w:val="17"/>
              </w:rPr>
              <w:t>10</w:t>
            </w:r>
          </w:p>
        </w:tc>
        <w:tc>
          <w:tcPr>
            <w:tcW w:type="dxa" w:w="1666"/>
            <w:vAlign w:val="center"/>
            <w:tcMar>
              <w:top w:w="55" w:type="dxa"/>
              <w:start w:w="65" w:type="dxa"/>
              <w:bottom w:w="55" w:type="dxa"/>
              <w:end w:w="65" w:type="dxa"/>
            </w:tcMar>
          </w:tcPr>
          <w:p>
            <w:pPr>
              <w:spacing w:after="0"/>
            </w:pPr>
            <w:r>
              <w:rPr>
                <w:rFonts w:ascii="Cambria" w:hAnsi="Cambria"/>
                <w:sz w:val="17"/>
              </w:rPr>
              <w:t>15</w:t>
            </w:r>
          </w:p>
        </w:tc>
        <w:tc>
          <w:tcPr>
            <w:tcW w:type="dxa" w:w="1666"/>
            <w:vAlign w:val="center"/>
            <w:tcMar>
              <w:top w:w="55" w:type="dxa"/>
              <w:start w:w="65" w:type="dxa"/>
              <w:bottom w:w="55" w:type="dxa"/>
              <w:end w:w="65" w:type="dxa"/>
            </w:tcMar>
          </w:tcPr>
          <w:p>
            <w:pPr>
              <w:spacing w:after="0"/>
            </w:pPr>
            <w:r>
              <w:rPr>
                <w:rFonts w:ascii="Cambria" w:hAnsi="Cambria"/>
                <w:sz w:val="17"/>
              </w:rPr>
              <w:t>15</w:t>
            </w:r>
          </w:p>
        </w:tc>
        <w:tc>
          <w:tcPr>
            <w:tcW w:type="dxa" w:w="1666"/>
            <w:vAlign w:val="center"/>
            <w:tcMar>
              <w:top w:w="55" w:type="dxa"/>
              <w:start w:w="65" w:type="dxa"/>
              <w:bottom w:w="55" w:type="dxa"/>
              <w:end w:w="65" w:type="dxa"/>
            </w:tcMar>
          </w:tcPr>
          <w:p>
            <w:pPr>
              <w:spacing w:after="0"/>
            </w:pPr>
            <w:r>
              <w:rPr>
                <w:rFonts w:ascii="Cambria" w:hAnsi="Cambria"/>
                <w:sz w:val="17"/>
              </w:rPr>
              <w:t>15</w:t>
            </w:r>
          </w:p>
        </w:tc>
        <w:tc>
          <w:tcPr>
            <w:tcW w:type="dxa" w:w="1666"/>
            <w:vAlign w:val="center"/>
            <w:tcMar>
              <w:top w:w="55" w:type="dxa"/>
              <w:start w:w="65" w:type="dxa"/>
              <w:bottom w:w="55" w:type="dxa"/>
              <w:end w:w="65" w:type="dxa"/>
            </w:tcMar>
          </w:tcPr>
          <w:p>
            <w:pPr>
              <w:spacing w:after="0"/>
            </w:pPr>
            <w:r>
              <w:rPr>
                <w:rFonts w:ascii="Cambria" w:hAnsi="Cambria"/>
                <w:sz w:val="17"/>
              </w:rPr>
              <w:t>10</w:t>
            </w:r>
          </w:p>
        </w:tc>
      </w:tr>
      <w:tr>
        <w:trPr>
          <w:cantSplit/>
        </w:trPr>
        <w:tc>
          <w:tcPr>
            <w:tcW w:type="dxa" w:w="1666"/>
            <w:vAlign w:val="center"/>
            <w:tcMar>
              <w:top w:w="55" w:type="dxa"/>
              <w:start w:w="65" w:type="dxa"/>
              <w:bottom w:w="55" w:type="dxa"/>
              <w:end w:w="65" w:type="dxa"/>
            </w:tcMar>
            <w:shd w:fill="F8FAFB"/>
          </w:tcPr>
          <w:p>
            <w:pPr>
              <w:spacing w:after="0"/>
            </w:pPr>
            <w:r>
              <w:rPr>
                <w:rFonts w:ascii="Cambria" w:hAnsi="Cambria"/>
                <w:sz w:val="17"/>
              </w:rPr>
              <w:t>T</w:t>
            </w:r>
          </w:p>
        </w:tc>
        <w:tc>
          <w:tcPr>
            <w:tcW w:type="dxa" w:w="1666"/>
            <w:vAlign w:val="center"/>
            <w:tcMar>
              <w:top w:w="55" w:type="dxa"/>
              <w:start w:w="65" w:type="dxa"/>
              <w:bottom w:w="55" w:type="dxa"/>
              <w:end w:w="65" w:type="dxa"/>
            </w:tcMar>
            <w:shd w:fill="F8FAFB"/>
          </w:tcPr>
          <w:p>
            <w:pPr>
              <w:spacing w:after="0"/>
            </w:pPr>
            <w:r>
              <w:rPr>
                <w:rFonts w:ascii="Cambria" w:hAnsi="Cambria"/>
                <w:sz w:val="17"/>
              </w:rPr>
              <w:t>30</w:t>
            </w:r>
          </w:p>
        </w:tc>
        <w:tc>
          <w:tcPr>
            <w:tcW w:type="dxa" w:w="1666"/>
            <w:vAlign w:val="center"/>
            <w:tcMar>
              <w:top w:w="55" w:type="dxa"/>
              <w:start w:w="65" w:type="dxa"/>
              <w:bottom w:w="55" w:type="dxa"/>
              <w:end w:w="65" w:type="dxa"/>
            </w:tcMar>
            <w:shd w:fill="F8FAFB"/>
          </w:tcPr>
          <w:p>
            <w:pPr>
              <w:spacing w:after="0"/>
            </w:pPr>
            <w:r>
              <w:rPr>
                <w:rFonts w:ascii="Cambria" w:hAnsi="Cambria"/>
                <w:sz w:val="17"/>
              </w:rPr>
              <w:t>20</w:t>
            </w:r>
          </w:p>
        </w:tc>
        <w:tc>
          <w:tcPr>
            <w:tcW w:type="dxa" w:w="1666"/>
            <w:vAlign w:val="center"/>
            <w:tcMar>
              <w:top w:w="55" w:type="dxa"/>
              <w:start w:w="65" w:type="dxa"/>
              <w:bottom w:w="55" w:type="dxa"/>
              <w:end w:w="65" w:type="dxa"/>
            </w:tcMar>
            <w:shd w:fill="F8FAFB"/>
          </w:tcPr>
          <w:p>
            <w:pPr>
              <w:spacing w:after="0"/>
            </w:pPr>
            <w:r>
              <w:rPr>
                <w:rFonts w:ascii="Cambria" w:hAnsi="Cambria"/>
                <w:sz w:val="17"/>
              </w:rPr>
              <w:t>10</w:t>
            </w:r>
          </w:p>
        </w:tc>
        <w:tc>
          <w:tcPr>
            <w:tcW w:type="dxa" w:w="1666"/>
            <w:vAlign w:val="center"/>
            <w:tcMar>
              <w:top w:w="55" w:type="dxa"/>
              <w:start w:w="65" w:type="dxa"/>
              <w:bottom w:w="55" w:type="dxa"/>
              <w:end w:w="65" w:type="dxa"/>
            </w:tcMar>
            <w:shd w:fill="F8FAFB"/>
          </w:tcPr>
          <w:p>
            <w:pPr>
              <w:spacing w:after="0"/>
            </w:pPr>
            <w:r>
              <w:rPr>
                <w:rFonts w:ascii="Cambria" w:hAnsi="Cambria"/>
                <w:sz w:val="17"/>
              </w:rPr>
              <w:t>5</w:t>
            </w:r>
          </w:p>
        </w:tc>
        <w:tc>
          <w:tcPr>
            <w:tcW w:type="dxa" w:w="1666"/>
            <w:vAlign w:val="center"/>
            <w:tcMar>
              <w:top w:w="55" w:type="dxa"/>
              <w:start w:w="65" w:type="dxa"/>
              <w:bottom w:w="55" w:type="dxa"/>
              <w:end w:w="65" w:type="dxa"/>
            </w:tcMar>
            <w:shd w:fill="F8FAFB"/>
          </w:tcPr>
          <w:p>
            <w:pPr>
              <w:spacing w:after="0"/>
            </w:pPr>
            <w:r>
              <w:rPr>
                <w:rFonts w:ascii="Cambria" w:hAnsi="Cambria"/>
                <w:sz w:val="17"/>
              </w:rPr>
              <w:t>2</w:t>
            </w:r>
          </w:p>
        </w:tc>
      </w:tr>
      <w:tr>
        <w:trPr>
          <w:cantSplit/>
        </w:trPr>
        <w:tc>
          <w:tcPr>
            <w:tcW w:type="dxa" w:w="1666"/>
            <w:vAlign w:val="center"/>
            <w:tcMar>
              <w:top w:w="55" w:type="dxa"/>
              <w:start w:w="65" w:type="dxa"/>
              <w:bottom w:w="55" w:type="dxa"/>
              <w:end w:w="65" w:type="dxa"/>
            </w:tcMar>
          </w:tcPr>
          <w:p>
            <w:pPr>
              <w:spacing w:after="0"/>
            </w:pPr>
            <w:r>
              <w:rPr>
                <w:rFonts w:ascii="Cambria" w:hAnsi="Cambria"/>
                <w:sz w:val="17"/>
              </w:rPr>
              <w:t>M</w:t>
            </w:r>
          </w:p>
        </w:tc>
        <w:tc>
          <w:tcPr>
            <w:tcW w:type="dxa" w:w="1666"/>
            <w:vAlign w:val="center"/>
            <w:tcMar>
              <w:top w:w="55" w:type="dxa"/>
              <w:start w:w="65" w:type="dxa"/>
              <w:bottom w:w="55" w:type="dxa"/>
              <w:end w:w="65" w:type="dxa"/>
            </w:tcMar>
          </w:tcPr>
          <w:p>
            <w:pPr>
              <w:spacing w:after="0"/>
            </w:pPr>
            <w:r>
              <w:rPr>
                <w:rFonts w:ascii="Cambria" w:hAnsi="Cambria"/>
                <w:sz w:val="17"/>
              </w:rPr>
              <w:t>20</w:t>
            </w:r>
          </w:p>
        </w:tc>
        <w:tc>
          <w:tcPr>
            <w:tcW w:type="dxa" w:w="1666"/>
            <w:vAlign w:val="center"/>
            <w:tcMar>
              <w:top w:w="55" w:type="dxa"/>
              <w:start w:w="65" w:type="dxa"/>
              <w:bottom w:w="55" w:type="dxa"/>
              <w:end w:w="65" w:type="dxa"/>
            </w:tcMar>
          </w:tcPr>
          <w:p>
            <w:pPr>
              <w:spacing w:after="0"/>
            </w:pPr>
            <w:r>
              <w:rPr>
                <w:rFonts w:ascii="Cambria" w:hAnsi="Cambria"/>
                <w:sz w:val="17"/>
              </w:rPr>
              <w:t>15</w:t>
            </w:r>
          </w:p>
        </w:tc>
        <w:tc>
          <w:tcPr>
            <w:tcW w:type="dxa" w:w="1666"/>
            <w:vAlign w:val="center"/>
            <w:tcMar>
              <w:top w:w="55" w:type="dxa"/>
              <w:start w:w="65" w:type="dxa"/>
              <w:bottom w:w="55" w:type="dxa"/>
              <w:end w:w="65" w:type="dxa"/>
            </w:tcMar>
          </w:tcPr>
          <w:p>
            <w:pPr>
              <w:spacing w:after="0"/>
            </w:pPr>
            <w:r>
              <w:rPr>
                <w:rFonts w:ascii="Cambria" w:hAnsi="Cambria"/>
                <w:sz w:val="17"/>
              </w:rPr>
              <w:t>10</w:t>
            </w:r>
          </w:p>
        </w:tc>
        <w:tc>
          <w:tcPr>
            <w:tcW w:type="dxa" w:w="1666"/>
            <w:vAlign w:val="center"/>
            <w:tcMar>
              <w:top w:w="55" w:type="dxa"/>
              <w:start w:w="65" w:type="dxa"/>
              <w:bottom w:w="55" w:type="dxa"/>
              <w:end w:w="65" w:type="dxa"/>
            </w:tcMar>
          </w:tcPr>
          <w:p>
            <w:pPr>
              <w:spacing w:after="0"/>
            </w:pPr>
            <w:r>
              <w:rPr>
                <w:rFonts w:ascii="Cambria" w:hAnsi="Cambria"/>
                <w:sz w:val="17"/>
              </w:rPr>
              <w:t>5</w:t>
            </w:r>
          </w:p>
        </w:tc>
        <w:tc>
          <w:tcPr>
            <w:tcW w:type="dxa" w:w="1666"/>
            <w:vAlign w:val="center"/>
            <w:tcMar>
              <w:top w:w="55" w:type="dxa"/>
              <w:start w:w="65" w:type="dxa"/>
              <w:bottom w:w="55" w:type="dxa"/>
              <w:end w:w="65" w:type="dxa"/>
            </w:tcMar>
          </w:tcPr>
          <w:p>
            <w:pPr>
              <w:spacing w:after="0"/>
            </w:pPr>
            <w:r>
              <w:rPr>
                <w:rFonts w:ascii="Cambria" w:hAnsi="Cambria"/>
                <w:sz w:val="17"/>
              </w:rPr>
              <w:t>3</w:t>
            </w:r>
          </w:p>
        </w:tc>
      </w:tr>
      <w:tr>
        <w:trPr>
          <w:cantSplit/>
        </w:trPr>
        <w:tc>
          <w:tcPr>
            <w:tcW w:type="dxa" w:w="1666"/>
            <w:vAlign w:val="center"/>
            <w:tcMar>
              <w:top w:w="55" w:type="dxa"/>
              <w:start w:w="65" w:type="dxa"/>
              <w:bottom w:w="55" w:type="dxa"/>
              <w:end w:w="65" w:type="dxa"/>
            </w:tcMar>
            <w:shd w:fill="F8FAFB"/>
          </w:tcPr>
          <w:p>
            <w:pPr>
              <w:spacing w:after="0"/>
            </w:pPr>
            <w:r>
              <w:rPr>
                <w:rFonts w:ascii="Cambria" w:hAnsi="Cambria"/>
                <w:sz w:val="17"/>
              </w:rPr>
              <w:t>C</w:t>
            </w:r>
          </w:p>
        </w:tc>
        <w:tc>
          <w:tcPr>
            <w:tcW w:type="dxa" w:w="1666"/>
            <w:vAlign w:val="center"/>
            <w:tcMar>
              <w:top w:w="55" w:type="dxa"/>
              <w:start w:w="65" w:type="dxa"/>
              <w:bottom w:w="55" w:type="dxa"/>
              <w:end w:w="65" w:type="dxa"/>
            </w:tcMar>
            <w:shd w:fill="F8FAFB"/>
          </w:tcPr>
          <w:p>
            <w:pPr>
              <w:spacing w:after="0"/>
            </w:pPr>
            <w:r>
              <w:rPr>
                <w:rFonts w:ascii="Cambria" w:hAnsi="Cambria"/>
                <w:sz w:val="17"/>
              </w:rPr>
              <w:t>10</w:t>
            </w:r>
          </w:p>
        </w:tc>
        <w:tc>
          <w:tcPr>
            <w:tcW w:type="dxa" w:w="1666"/>
            <w:vAlign w:val="center"/>
            <w:tcMar>
              <w:top w:w="55" w:type="dxa"/>
              <w:start w:w="65" w:type="dxa"/>
              <w:bottom w:w="55" w:type="dxa"/>
              <w:end w:w="65" w:type="dxa"/>
            </w:tcMar>
            <w:shd w:fill="F8FAFB"/>
          </w:tcPr>
          <w:p>
            <w:pPr>
              <w:spacing w:after="0"/>
            </w:pPr>
            <w:r>
              <w:rPr>
                <w:rFonts w:ascii="Cambria" w:hAnsi="Cambria"/>
                <w:sz w:val="17"/>
              </w:rPr>
              <w:t>5</w:t>
            </w:r>
          </w:p>
        </w:tc>
        <w:tc>
          <w:tcPr>
            <w:tcW w:type="dxa" w:w="1666"/>
            <w:vAlign w:val="center"/>
            <w:tcMar>
              <w:top w:w="55" w:type="dxa"/>
              <w:start w:w="65" w:type="dxa"/>
              <w:bottom w:w="55" w:type="dxa"/>
              <w:end w:w="65" w:type="dxa"/>
            </w:tcMar>
            <w:shd w:fill="F8FAFB"/>
          </w:tcPr>
          <w:p>
            <w:pPr>
              <w:spacing w:after="0"/>
            </w:pPr>
            <w:r>
              <w:rPr>
                <w:rFonts w:ascii="Cambria" w:hAnsi="Cambria"/>
                <w:sz w:val="17"/>
              </w:rPr>
              <w:t>5</w:t>
            </w:r>
          </w:p>
        </w:tc>
        <w:tc>
          <w:tcPr>
            <w:tcW w:type="dxa" w:w="1666"/>
            <w:vAlign w:val="center"/>
            <w:tcMar>
              <w:top w:w="55" w:type="dxa"/>
              <w:start w:w="65" w:type="dxa"/>
              <w:bottom w:w="55" w:type="dxa"/>
              <w:end w:w="65" w:type="dxa"/>
            </w:tcMar>
            <w:shd w:fill="F8FAFB"/>
          </w:tcPr>
          <w:p>
            <w:pPr>
              <w:spacing w:after="0"/>
            </w:pPr>
            <w:r>
              <w:rPr>
                <w:rFonts w:ascii="Cambria" w:hAnsi="Cambria"/>
                <w:sz w:val="17"/>
              </w:rPr>
              <w:t>10</w:t>
            </w:r>
          </w:p>
        </w:tc>
        <w:tc>
          <w:tcPr>
            <w:tcW w:type="dxa" w:w="1666"/>
            <w:vAlign w:val="center"/>
            <w:tcMar>
              <w:top w:w="55" w:type="dxa"/>
              <w:start w:w="65" w:type="dxa"/>
              <w:bottom w:w="55" w:type="dxa"/>
              <w:end w:w="65" w:type="dxa"/>
            </w:tcMar>
            <w:shd w:fill="F8FAFB"/>
          </w:tcPr>
          <w:p>
            <w:pPr>
              <w:spacing w:after="0"/>
            </w:pPr>
            <w:r>
              <w:rPr>
                <w:rFonts w:ascii="Cambria" w:hAnsi="Cambria"/>
                <w:sz w:val="17"/>
              </w:rPr>
              <w:t>5</w:t>
            </w:r>
          </w:p>
        </w:tc>
      </w:tr>
      <w:tr>
        <w:trPr>
          <w:cantSplit/>
        </w:trPr>
        <w:tc>
          <w:tcPr>
            <w:tcW w:type="dxa" w:w="1666"/>
            <w:vAlign w:val="center"/>
            <w:tcMar>
              <w:top w:w="55" w:type="dxa"/>
              <w:start w:w="65" w:type="dxa"/>
              <w:bottom w:w="55" w:type="dxa"/>
              <w:end w:w="65" w:type="dxa"/>
            </w:tcMar>
          </w:tcPr>
          <w:p>
            <w:pPr>
              <w:spacing w:after="0"/>
            </w:pPr>
            <w:r>
              <w:rPr>
                <w:rFonts w:ascii="Cambria" w:hAnsi="Cambria"/>
                <w:sz w:val="17"/>
              </w:rPr>
              <w:t>R</w:t>
            </w:r>
          </w:p>
        </w:tc>
        <w:tc>
          <w:tcPr>
            <w:tcW w:type="dxa" w:w="1666"/>
            <w:vAlign w:val="center"/>
            <w:tcMar>
              <w:top w:w="55" w:type="dxa"/>
              <w:start w:w="65" w:type="dxa"/>
              <w:bottom w:w="55" w:type="dxa"/>
              <w:end w:w="65" w:type="dxa"/>
            </w:tcMar>
          </w:tcPr>
          <w:p>
            <w:pPr>
              <w:spacing w:after="0"/>
            </w:pPr>
            <w:r>
              <w:rPr>
                <w:rFonts w:ascii="Cambria" w:hAnsi="Cambria"/>
                <w:sz w:val="17"/>
              </w:rPr>
              <w:t>10</w:t>
            </w:r>
          </w:p>
        </w:tc>
        <w:tc>
          <w:tcPr>
            <w:tcW w:type="dxa" w:w="1666"/>
            <w:vAlign w:val="center"/>
            <w:tcMar>
              <w:top w:w="55" w:type="dxa"/>
              <w:start w:w="65" w:type="dxa"/>
              <w:bottom w:w="55" w:type="dxa"/>
              <w:end w:w="65" w:type="dxa"/>
            </w:tcMar>
          </w:tcPr>
          <w:p>
            <w:pPr>
              <w:spacing w:after="0"/>
            </w:pPr>
            <w:r>
              <w:rPr>
                <w:rFonts w:ascii="Cambria" w:hAnsi="Cambria"/>
                <w:sz w:val="17"/>
              </w:rPr>
              <w:t>10</w:t>
            </w:r>
          </w:p>
        </w:tc>
        <w:tc>
          <w:tcPr>
            <w:tcW w:type="dxa" w:w="1666"/>
            <w:vAlign w:val="center"/>
            <w:tcMar>
              <w:top w:w="55" w:type="dxa"/>
              <w:start w:w="65" w:type="dxa"/>
              <w:bottom w:w="55" w:type="dxa"/>
              <w:end w:w="65" w:type="dxa"/>
            </w:tcMar>
          </w:tcPr>
          <w:p>
            <w:pPr>
              <w:spacing w:after="0"/>
            </w:pPr>
            <w:r>
              <w:rPr>
                <w:rFonts w:ascii="Cambria" w:hAnsi="Cambria"/>
                <w:sz w:val="17"/>
              </w:rPr>
              <w:t>10</w:t>
            </w:r>
          </w:p>
        </w:tc>
        <w:tc>
          <w:tcPr>
            <w:tcW w:type="dxa" w:w="1666"/>
            <w:vAlign w:val="center"/>
            <w:tcMar>
              <w:top w:w="55" w:type="dxa"/>
              <w:start w:w="65" w:type="dxa"/>
              <w:bottom w:w="55" w:type="dxa"/>
              <w:end w:w="65" w:type="dxa"/>
            </w:tcMar>
          </w:tcPr>
          <w:p>
            <w:pPr>
              <w:spacing w:after="0"/>
            </w:pPr>
            <w:r>
              <w:rPr>
                <w:rFonts w:ascii="Cambria" w:hAnsi="Cambria"/>
                <w:sz w:val="17"/>
              </w:rPr>
              <w:t>5</w:t>
            </w:r>
          </w:p>
        </w:tc>
        <w:tc>
          <w:tcPr>
            <w:tcW w:type="dxa" w:w="1666"/>
            <w:vAlign w:val="center"/>
            <w:tcMar>
              <w:top w:w="55" w:type="dxa"/>
              <w:start w:w="65" w:type="dxa"/>
              <w:bottom w:w="55" w:type="dxa"/>
              <w:end w:w="65" w:type="dxa"/>
            </w:tcMar>
          </w:tcPr>
          <w:p>
            <w:pPr>
              <w:spacing w:after="0"/>
            </w:pPr>
            <w:r>
              <w:rPr>
                <w:rFonts w:ascii="Cambria" w:hAnsi="Cambria"/>
                <w:sz w:val="17"/>
              </w:rPr>
              <w:t>5</w:t>
            </w:r>
          </w:p>
        </w:tc>
      </w:tr>
      <w:tr>
        <w:trPr>
          <w:cantSplit/>
        </w:trPr>
        <w:tc>
          <w:tcPr>
            <w:tcW w:type="dxa" w:w="1666"/>
            <w:vAlign w:val="center"/>
            <w:tcMar>
              <w:top w:w="55" w:type="dxa"/>
              <w:start w:w="65" w:type="dxa"/>
              <w:bottom w:w="55" w:type="dxa"/>
              <w:end w:w="65" w:type="dxa"/>
            </w:tcMar>
            <w:shd w:fill="F8FAFB"/>
          </w:tcPr>
          <w:p>
            <w:pPr>
              <w:spacing w:after="0"/>
            </w:pPr>
            <w:r>
              <w:rPr>
                <w:rFonts w:ascii="Cambria" w:hAnsi="Cambria"/>
                <w:sz w:val="17"/>
              </w:rPr>
              <w:t>L</w:t>
            </w:r>
          </w:p>
        </w:tc>
        <w:tc>
          <w:tcPr>
            <w:tcW w:type="dxa" w:w="1666"/>
            <w:vAlign w:val="center"/>
            <w:tcMar>
              <w:top w:w="55" w:type="dxa"/>
              <w:start w:w="65" w:type="dxa"/>
              <w:bottom w:w="55" w:type="dxa"/>
              <w:end w:w="65" w:type="dxa"/>
            </w:tcMar>
            <w:shd w:fill="F8FAFB"/>
          </w:tcPr>
          <w:p>
            <w:pPr>
              <w:spacing w:after="0"/>
            </w:pPr>
            <w:r>
              <w:rPr>
                <w:rFonts w:ascii="Cambria" w:hAnsi="Cambria"/>
                <w:sz w:val="17"/>
              </w:rPr>
              <w:t>5</w:t>
            </w:r>
          </w:p>
        </w:tc>
        <w:tc>
          <w:tcPr>
            <w:tcW w:type="dxa" w:w="1666"/>
            <w:vAlign w:val="center"/>
            <w:tcMar>
              <w:top w:w="55" w:type="dxa"/>
              <w:start w:w="65" w:type="dxa"/>
              <w:bottom w:w="55" w:type="dxa"/>
              <w:end w:w="65" w:type="dxa"/>
            </w:tcMar>
            <w:shd w:fill="F8FAFB"/>
          </w:tcPr>
          <w:p>
            <w:pPr>
              <w:spacing w:after="0"/>
            </w:pPr>
            <w:r>
              <w:rPr>
                <w:rFonts w:ascii="Cambria" w:hAnsi="Cambria"/>
                <w:sz w:val="17"/>
              </w:rPr>
              <w:t>5</w:t>
            </w:r>
          </w:p>
        </w:tc>
        <w:tc>
          <w:tcPr>
            <w:tcW w:type="dxa" w:w="1666"/>
            <w:vAlign w:val="center"/>
            <w:tcMar>
              <w:top w:w="55" w:type="dxa"/>
              <w:start w:w="65" w:type="dxa"/>
              <w:bottom w:w="55" w:type="dxa"/>
              <w:end w:w="65" w:type="dxa"/>
            </w:tcMar>
            <w:shd w:fill="F8FAFB"/>
          </w:tcPr>
          <w:p>
            <w:pPr>
              <w:spacing w:after="0"/>
            </w:pPr>
            <w:r>
              <w:rPr>
                <w:rFonts w:ascii="Cambria" w:hAnsi="Cambria"/>
                <w:sz w:val="17"/>
              </w:rPr>
              <w:t>5</w:t>
            </w:r>
          </w:p>
        </w:tc>
        <w:tc>
          <w:tcPr>
            <w:tcW w:type="dxa" w:w="1666"/>
            <w:vAlign w:val="center"/>
            <w:tcMar>
              <w:top w:w="55" w:type="dxa"/>
              <w:start w:w="65" w:type="dxa"/>
              <w:bottom w:w="55" w:type="dxa"/>
              <w:end w:w="65" w:type="dxa"/>
            </w:tcMar>
            <w:shd w:fill="F8FAFB"/>
          </w:tcPr>
          <w:p>
            <w:pPr>
              <w:spacing w:after="0"/>
            </w:pPr>
            <w:r>
              <w:rPr>
                <w:rFonts w:ascii="Cambria" w:hAnsi="Cambria"/>
                <w:sz w:val="17"/>
              </w:rPr>
              <w:t>5</w:t>
            </w:r>
          </w:p>
        </w:tc>
        <w:tc>
          <w:tcPr>
            <w:tcW w:type="dxa" w:w="1666"/>
            <w:vAlign w:val="center"/>
            <w:tcMar>
              <w:top w:w="55" w:type="dxa"/>
              <w:start w:w="65" w:type="dxa"/>
              <w:bottom w:w="55" w:type="dxa"/>
              <w:end w:w="65" w:type="dxa"/>
            </w:tcMar>
            <w:shd w:fill="F8FAFB"/>
          </w:tcPr>
          <w:p>
            <w:pPr>
              <w:spacing w:after="0"/>
            </w:pPr>
            <w:r>
              <w:rPr>
                <w:rFonts w:ascii="Cambria" w:hAnsi="Cambria"/>
                <w:sz w:val="17"/>
              </w:rPr>
              <w:t>5</w:t>
            </w:r>
          </w:p>
        </w:tc>
      </w:tr>
      <w:tr>
        <w:trPr>
          <w:cantSplit/>
        </w:trPr>
        <w:tc>
          <w:tcPr>
            <w:tcW w:type="dxa" w:w="1666"/>
            <w:vAlign w:val="center"/>
            <w:tcMar>
              <w:top w:w="55" w:type="dxa"/>
              <w:start w:w="65" w:type="dxa"/>
              <w:bottom w:w="55" w:type="dxa"/>
              <w:end w:w="65" w:type="dxa"/>
            </w:tcMar>
          </w:tcPr>
          <w:p>
            <w:pPr>
              <w:spacing w:after="0"/>
            </w:pPr>
            <w:r>
              <w:rPr>
                <w:rFonts w:ascii="Cambria" w:hAnsi="Cambria"/>
                <w:sz w:val="17"/>
              </w:rPr>
              <w:t>P</w:t>
            </w:r>
          </w:p>
        </w:tc>
        <w:tc>
          <w:tcPr>
            <w:tcW w:type="dxa" w:w="1666"/>
            <w:vAlign w:val="center"/>
            <w:tcMar>
              <w:top w:w="55" w:type="dxa"/>
              <w:start w:w="65" w:type="dxa"/>
              <w:bottom w:w="55" w:type="dxa"/>
              <w:end w:w="65" w:type="dxa"/>
            </w:tcMar>
          </w:tcPr>
          <w:p>
            <w:pPr>
              <w:spacing w:after="0"/>
            </w:pPr>
            <w:r>
              <w:rPr>
                <w:rFonts w:ascii="Cambria" w:hAnsi="Cambria"/>
                <w:sz w:val="17"/>
              </w:rPr>
              <w:t>0</w:t>
            </w:r>
          </w:p>
        </w:tc>
        <w:tc>
          <w:tcPr>
            <w:tcW w:type="dxa" w:w="1666"/>
            <w:vAlign w:val="center"/>
            <w:tcMar>
              <w:top w:w="55" w:type="dxa"/>
              <w:start w:w="65" w:type="dxa"/>
              <w:bottom w:w="55" w:type="dxa"/>
              <w:end w:w="65" w:type="dxa"/>
            </w:tcMar>
          </w:tcPr>
          <w:p>
            <w:pPr>
              <w:spacing w:after="0"/>
            </w:pPr>
            <w:r>
              <w:rPr>
                <w:rFonts w:ascii="Cambria" w:hAnsi="Cambria"/>
                <w:sz w:val="17"/>
              </w:rPr>
              <w:t>0</w:t>
            </w:r>
          </w:p>
        </w:tc>
        <w:tc>
          <w:tcPr>
            <w:tcW w:type="dxa" w:w="1666"/>
            <w:vAlign w:val="center"/>
            <w:tcMar>
              <w:top w:w="55" w:type="dxa"/>
              <w:start w:w="65" w:type="dxa"/>
              <w:bottom w:w="55" w:type="dxa"/>
              <w:end w:w="65" w:type="dxa"/>
            </w:tcMar>
          </w:tcPr>
          <w:p>
            <w:pPr>
              <w:spacing w:after="0"/>
            </w:pPr>
            <w:r>
              <w:rPr>
                <w:rFonts w:ascii="Cambria" w:hAnsi="Cambria"/>
                <w:sz w:val="17"/>
              </w:rPr>
              <w:t>0</w:t>
            </w:r>
          </w:p>
        </w:tc>
        <w:tc>
          <w:tcPr>
            <w:tcW w:type="dxa" w:w="1666"/>
            <w:vAlign w:val="center"/>
            <w:tcMar>
              <w:top w:w="55" w:type="dxa"/>
              <w:start w:w="65" w:type="dxa"/>
              <w:bottom w:w="55" w:type="dxa"/>
              <w:end w:w="65" w:type="dxa"/>
            </w:tcMar>
          </w:tcPr>
          <w:p>
            <w:pPr>
              <w:spacing w:after="0"/>
            </w:pPr>
            <w:r>
              <w:rPr>
                <w:rFonts w:ascii="Cambria" w:hAnsi="Cambria"/>
                <w:sz w:val="17"/>
              </w:rPr>
              <w:t>5</w:t>
            </w:r>
          </w:p>
        </w:tc>
        <w:tc>
          <w:tcPr>
            <w:tcW w:type="dxa" w:w="1666"/>
            <w:vAlign w:val="center"/>
            <w:tcMar>
              <w:top w:w="55" w:type="dxa"/>
              <w:start w:w="65" w:type="dxa"/>
              <w:bottom w:w="55" w:type="dxa"/>
              <w:end w:w="65" w:type="dxa"/>
            </w:tcMar>
          </w:tcPr>
          <w:p>
            <w:pPr>
              <w:spacing w:after="0"/>
            </w:pPr>
            <w:r>
              <w:rPr>
                <w:rFonts w:ascii="Cambria" w:hAnsi="Cambria"/>
                <w:sz w:val="17"/>
              </w:rPr>
              <w:t>10</w:t>
            </w:r>
          </w:p>
        </w:tc>
      </w:tr>
      <w:tr>
        <w:trPr>
          <w:cantSplit/>
        </w:trPr>
        <w:tc>
          <w:tcPr>
            <w:tcW w:type="dxa" w:w="1666"/>
            <w:vAlign w:val="center"/>
            <w:tcMar>
              <w:top w:w="55" w:type="dxa"/>
              <w:start w:w="65" w:type="dxa"/>
              <w:bottom w:w="55" w:type="dxa"/>
              <w:end w:w="65" w:type="dxa"/>
            </w:tcMar>
            <w:shd w:fill="F8FAFB"/>
          </w:tcPr>
          <w:p>
            <w:pPr>
              <w:spacing w:after="0"/>
            </w:pPr>
            <w:r>
              <w:rPr>
                <w:rFonts w:ascii="Cambria" w:hAnsi="Cambria"/>
                <w:sz w:val="17"/>
              </w:rPr>
              <w:t>Total</w:t>
            </w:r>
          </w:p>
        </w:tc>
        <w:tc>
          <w:tcPr>
            <w:tcW w:type="dxa" w:w="1666"/>
            <w:vAlign w:val="center"/>
            <w:tcMar>
              <w:top w:w="55" w:type="dxa"/>
              <w:start w:w="65" w:type="dxa"/>
              <w:bottom w:w="55" w:type="dxa"/>
              <w:end w:w="65" w:type="dxa"/>
            </w:tcMar>
            <w:shd w:fill="F8FAFB"/>
          </w:tcPr>
          <w:p>
            <w:pPr>
              <w:spacing w:after="0"/>
            </w:pPr>
            <w:r>
              <w:rPr>
                <w:rFonts w:ascii="Cambria" w:hAnsi="Cambria"/>
                <w:sz w:val="17"/>
              </w:rPr>
              <w:t>100</w:t>
            </w:r>
          </w:p>
        </w:tc>
        <w:tc>
          <w:tcPr>
            <w:tcW w:type="dxa" w:w="1666"/>
            <w:vAlign w:val="center"/>
            <w:tcMar>
              <w:top w:w="55" w:type="dxa"/>
              <w:start w:w="65" w:type="dxa"/>
              <w:bottom w:w="55" w:type="dxa"/>
              <w:end w:w="65" w:type="dxa"/>
            </w:tcMar>
            <w:shd w:fill="F8FAFB"/>
          </w:tcPr>
          <w:p>
            <w:pPr>
              <w:spacing w:after="0"/>
            </w:pPr>
            <w:r>
              <w:rPr>
                <w:rFonts w:ascii="Cambria" w:hAnsi="Cambria"/>
                <w:sz w:val="17"/>
              </w:rPr>
              <w:t>100</w:t>
            </w:r>
          </w:p>
        </w:tc>
        <w:tc>
          <w:tcPr>
            <w:tcW w:type="dxa" w:w="1666"/>
            <w:vAlign w:val="center"/>
            <w:tcMar>
              <w:top w:w="55" w:type="dxa"/>
              <w:start w:w="65" w:type="dxa"/>
              <w:bottom w:w="55" w:type="dxa"/>
              <w:end w:w="65" w:type="dxa"/>
            </w:tcMar>
            <w:shd w:fill="F8FAFB"/>
          </w:tcPr>
          <w:p>
            <w:pPr>
              <w:spacing w:after="0"/>
            </w:pPr>
            <w:r>
              <w:rPr>
                <w:rFonts w:ascii="Cambria" w:hAnsi="Cambria"/>
                <w:sz w:val="17"/>
              </w:rPr>
              <w:t>100</w:t>
            </w:r>
          </w:p>
        </w:tc>
        <w:tc>
          <w:tcPr>
            <w:tcW w:type="dxa" w:w="1666"/>
            <w:vAlign w:val="center"/>
            <w:tcMar>
              <w:top w:w="55" w:type="dxa"/>
              <w:start w:w="65" w:type="dxa"/>
              <w:bottom w:w="55" w:type="dxa"/>
              <w:end w:w="65" w:type="dxa"/>
            </w:tcMar>
            <w:shd w:fill="F8FAFB"/>
          </w:tcPr>
          <w:p>
            <w:pPr>
              <w:spacing w:after="0"/>
            </w:pPr>
            <w:r>
              <w:rPr>
                <w:rFonts w:ascii="Cambria" w:hAnsi="Cambria"/>
                <w:sz w:val="17"/>
              </w:rPr>
              <w:t>100</w:t>
            </w:r>
          </w:p>
        </w:tc>
        <w:tc>
          <w:tcPr>
            <w:tcW w:type="dxa" w:w="1666"/>
            <w:vAlign w:val="center"/>
            <w:tcMar>
              <w:top w:w="55" w:type="dxa"/>
              <w:start w:w="65" w:type="dxa"/>
              <w:bottom w:w="55" w:type="dxa"/>
              <w:end w:w="65" w:type="dxa"/>
            </w:tcMar>
            <w:shd w:fill="F8FAFB"/>
          </w:tcPr>
          <w:p>
            <w:pPr>
              <w:spacing w:after="0"/>
            </w:pPr>
            <w:r>
              <w:rPr>
                <w:rFonts w:ascii="Cambria" w:hAnsi="Cambria"/>
                <w:sz w:val="17"/>
              </w:rPr>
              <w:t>100</w:t>
            </w:r>
          </w:p>
        </w:tc>
      </w:tr>
    </w:tbl>
    <w:p>
      <w:pPr>
        <w:spacing w:after="20"/>
      </w:pPr>
    </w:p>
    <w:p>
      <w:pPr/>
      <w:r>
        <w:t>These are initial model weights and require walk-forward validation.</w:t>
      </w:r>
    </w:p>
    <w:p>
      <w:pPr>
        <w:spacing w:after="0"/>
      </w:pPr>
      <w:r/>
    </w:p>
    <w:p>
      <w:pPr>
        <w:pStyle w:val="Heading1"/>
        <w:pBdr>
          <w:bottom w:val="single" w:sz="4" w:space="5" w:color="7A9AAA"/>
        </w:pBdr>
        <w:keepNext/>
      </w:pPr>
      <w:r>
        <w:t>56. Horizon Signal Score</w:t>
      </w:r>
    </w:p>
    <w:p>
      <w:pPr>
        <w:pStyle w:val="FormulaBlock"/>
        <w:shd w:fill="F5F8FA"/>
      </w:pPr>
      <w:r>
        <w:t>[ HSS_{i,h} = SUM over k of ( w_{h,k} x S_{i,k} ) ]</w:t>
      </w:r>
    </w:p>
    <w:p>
      <w:pPr>
        <w:pStyle w:val="Heading2"/>
        <w:keepNext/>
      </w:pPr>
      <w:r>
        <w:t>Signal Confidence</w:t>
      </w:r>
    </w:p>
    <w:p>
      <w:pPr/>
      <w:r>
        <w:t>Inputs:</w:t>
      </w:r>
    </w:p>
    <w:p>
      <w:pPr>
        <w:pStyle w:val="ListBody"/>
        <w:ind w:left="490" w:hanging="331"/>
      </w:pPr>
      <w:r>
        <w:rPr>
          <w:b/>
        </w:rPr>
        <w:t xml:space="preserve">• </w:t>
      </w:r>
      <w:r>
        <w:t>Data Confidence.</w:t>
      </w:r>
    </w:p>
    <w:p>
      <w:pPr>
        <w:pStyle w:val="ListBody"/>
        <w:ind w:left="490" w:hanging="331"/>
      </w:pPr>
      <w:r>
        <w:rPr>
          <w:b/>
        </w:rPr>
        <w:t xml:space="preserve">• </w:t>
      </w:r>
      <w:r>
        <w:t>Model Confidence.</w:t>
      </w:r>
    </w:p>
    <w:p>
      <w:pPr>
        <w:pStyle w:val="ListBody"/>
        <w:ind w:left="490" w:hanging="331"/>
      </w:pPr>
      <w:r>
        <w:rPr>
          <w:b/>
        </w:rPr>
        <w:t xml:space="preserve">• </w:t>
      </w:r>
      <w:r>
        <w:t>Regime Confidence.</w:t>
      </w:r>
    </w:p>
    <w:p>
      <w:pPr>
        <w:pStyle w:val="ListBody"/>
        <w:ind w:left="490" w:hanging="331"/>
      </w:pPr>
      <w:r>
        <w:rPr>
          <w:b/>
        </w:rPr>
        <w:t xml:space="preserve">• </w:t>
      </w:r>
      <w:r>
        <w:t>Liquidity Confidence.</w:t>
      </w:r>
    </w:p>
    <w:p>
      <w:pPr>
        <w:pStyle w:val="ListBody"/>
        <w:ind w:left="490" w:hanging="331"/>
      </w:pPr>
      <w:r>
        <w:rPr>
          <w:b/>
        </w:rPr>
        <w:t xml:space="preserve">• </w:t>
      </w:r>
      <w:r>
        <w:t>Research Confidence.</w:t>
      </w:r>
    </w:p>
    <w:p>
      <w:pPr>
        <w:pStyle w:val="ListBody"/>
        <w:ind w:left="490" w:hanging="331"/>
      </w:pPr>
      <w:r>
        <w:rPr>
          <w:b/>
        </w:rPr>
        <w:t xml:space="preserve">• </w:t>
      </w:r>
      <w:r>
        <w:t>Feature Coverage.</w:t>
      </w:r>
    </w:p>
    <w:p>
      <w:pPr>
        <w:pStyle w:val="ListBody"/>
        <w:ind w:left="490" w:hanging="331"/>
      </w:pPr>
      <w:r>
        <w:rPr>
          <w:b/>
        </w:rPr>
        <w:t xml:space="preserve">• </w:t>
      </w:r>
      <w:r>
        <w:t>Signal Stability.</w:t>
      </w:r>
    </w:p>
    <w:p>
      <w:pPr>
        <w:pStyle w:val="FormulaBlock"/>
        <w:shd w:fill="F5F8FA"/>
      </w:pPr>
      <w:r>
        <w:t>[ Confidence_{i,h} = 100 x ( PRODUCT of (c_k/100) for k=1..n )^{1/n} ]</w:t>
      </w:r>
    </w:p>
    <w:p>
      <w:pPr>
        <w:pStyle w:val="Heading2"/>
        <w:keepNext/>
      </w:pPr>
      <w:r>
        <w:t>Confidence adjustment</w:t>
      </w:r>
    </w:p>
    <w:p>
      <w:pPr>
        <w:pStyle w:val="FormulaBlock"/>
        <w:shd w:fill="F5F8FA"/>
      </w:pPr>
      <w:r>
        <w:t>[ AdjustedHSS_{i,h} = 50 + (Confidence_{i,h}/100) x (HSS_{i,h} - 50) ]</w:t>
      </w:r>
    </w:p>
    <w:p>
      <w:pPr>
        <w:pStyle w:val="Heading2"/>
        <w:keepNext/>
      </w:pPr>
      <w:r>
        <w:t>Final score</w:t>
      </w:r>
    </w:p>
    <w:p>
      <w:pPr>
        <w:pStyle w:val="FormulaBlock"/>
        <w:shd w:fill="F5F8FA"/>
      </w:pPr>
      <w:r>
        <w:t>[ FinalHSS_{i,h} = min(AdjustedHSS_{i,h} - StalePenalty - EventPenalty - RiskPenalty, HardGateCap_{i,h}) ]</w:t>
      </w:r>
    </w:p>
    <w:p>
      <w:pPr>
        <w:spacing w:after="0"/>
      </w:pPr>
      <w:r/>
    </w:p>
    <w:p>
      <w:pPr>
        <w:pStyle w:val="Heading1"/>
        <w:pBdr>
          <w:bottom w:val="single" w:sz="4" w:space="5" w:color="7A9AAA"/>
        </w:pBdr>
        <w:keepNext/>
      </w:pPr>
      <w:r>
        <w:t>57. Signal states</w:t>
      </w:r>
    </w:p>
    <w:p>
      <w:pPr>
        <w:pStyle w:val="ListBody"/>
        <w:ind w:left="490" w:hanging="331"/>
      </w:pPr>
      <w:r>
        <w:rPr>
          <w:b/>
        </w:rPr>
        <w:t xml:space="preserve">• </w:t>
      </w:r>
      <w:r>
        <w:t>STRONG BUY.</w:t>
      </w:r>
    </w:p>
    <w:p>
      <w:pPr>
        <w:pStyle w:val="ListBody"/>
        <w:ind w:left="490" w:hanging="331"/>
      </w:pPr>
      <w:r>
        <w:rPr>
          <w:b/>
        </w:rPr>
        <w:t xml:space="preserve">• </w:t>
      </w:r>
      <w:r>
        <w:t>BUY.</w:t>
      </w:r>
    </w:p>
    <w:p>
      <w:pPr>
        <w:pStyle w:val="ListBody"/>
        <w:ind w:left="490" w:hanging="331"/>
      </w:pPr>
      <w:r>
        <w:rPr>
          <w:b/>
        </w:rPr>
        <w:t xml:space="preserve">• </w:t>
      </w:r>
      <w:r>
        <w:t>ACCUMULATE.</w:t>
      </w:r>
    </w:p>
    <w:p>
      <w:pPr>
        <w:pStyle w:val="ListBody"/>
        <w:ind w:left="490" w:hanging="331"/>
      </w:pPr>
      <w:r>
        <w:rPr>
          <w:b/>
        </w:rPr>
        <w:t xml:space="preserve">• </w:t>
      </w:r>
      <w:r>
        <w:t>WATCH.</w:t>
      </w:r>
    </w:p>
    <w:p>
      <w:pPr>
        <w:pStyle w:val="ListBody"/>
        <w:ind w:left="490" w:hanging="331"/>
      </w:pPr>
      <w:r>
        <w:rPr>
          <w:b/>
        </w:rPr>
        <w:t xml:space="preserve">• </w:t>
      </w:r>
      <w:r>
        <w:t>HOLD.</w:t>
      </w:r>
    </w:p>
    <w:p>
      <w:pPr>
        <w:pStyle w:val="ListBody"/>
        <w:ind w:left="490" w:hanging="331"/>
      </w:pPr>
      <w:r>
        <w:rPr>
          <w:b/>
        </w:rPr>
        <w:t xml:space="preserve">• </w:t>
      </w:r>
      <w:r>
        <w:t>REDUCE.</w:t>
      </w:r>
    </w:p>
    <w:p>
      <w:pPr>
        <w:pStyle w:val="ListBody"/>
        <w:ind w:left="490" w:hanging="331"/>
      </w:pPr>
      <w:r>
        <w:rPr>
          <w:b/>
        </w:rPr>
        <w:t xml:space="preserve">• </w:t>
      </w:r>
      <w:r>
        <w:t>EXIT.</w:t>
      </w:r>
    </w:p>
    <w:p>
      <w:pPr>
        <w:pStyle w:val="ListBody"/>
        <w:ind w:left="490" w:hanging="331"/>
      </w:pPr>
      <w:r>
        <w:rPr>
          <w:b/>
        </w:rPr>
        <w:t xml:space="preserve">• </w:t>
      </w:r>
      <w:r>
        <w:t>AVOID.</w:t>
      </w:r>
    </w:p>
    <w:p>
      <w:pPr>
        <w:pStyle w:val="ListBody"/>
        <w:ind w:left="490" w:hanging="331"/>
      </w:pPr>
      <w:r>
        <w:rPr>
          <w:b/>
        </w:rPr>
        <w:t xml:space="preserve">• </w:t>
      </w:r>
      <w:r>
        <w:t>PENDING RESOLUTION.</w:t>
      </w:r>
    </w:p>
    <w:p>
      <w:pPr>
        <w:pStyle w:val="ListBody"/>
        <w:ind w:left="490" w:hanging="331"/>
      </w:pPr>
      <w:r>
        <w:rPr>
          <w:b/>
        </w:rPr>
        <w:t xml:space="preserve">• </w:t>
      </w:r>
      <w:r>
        <w:t>INSUFFICIENT DATA.</w:t>
      </w:r>
    </w:p>
    <w:p>
      <w:pPr/>
      <w:r>
        <w:t>Suggested initial bands: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blHeader w:val="true"/>
        </w:trPr>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Final score</w:t>
            </w:r>
          </w:p>
        </w:tc>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State</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85–100</w:t>
            </w:r>
          </w:p>
        </w:tc>
        <w:tc>
          <w:tcPr>
            <w:tcW w:type="dxa" w:w="4997"/>
            <w:vAlign w:val="center"/>
            <w:tcMar>
              <w:top w:w="55" w:type="dxa"/>
              <w:start w:w="65" w:type="dxa"/>
              <w:bottom w:w="55" w:type="dxa"/>
              <w:end w:w="65" w:type="dxa"/>
            </w:tcMar>
          </w:tcPr>
          <w:p>
            <w:pPr>
              <w:spacing w:after="0"/>
            </w:pPr>
            <w:r>
              <w:rPr>
                <w:rFonts w:ascii="Cambria" w:hAnsi="Cambria"/>
                <w:sz w:val="18"/>
              </w:rPr>
              <w:t>Strong Buy</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75–84.99</w:t>
            </w:r>
          </w:p>
        </w:tc>
        <w:tc>
          <w:tcPr>
            <w:tcW w:type="dxa" w:w="4997"/>
            <w:vAlign w:val="center"/>
            <w:tcMar>
              <w:top w:w="55" w:type="dxa"/>
              <w:start w:w="65" w:type="dxa"/>
              <w:bottom w:w="55" w:type="dxa"/>
              <w:end w:w="65" w:type="dxa"/>
            </w:tcMar>
            <w:shd w:fill="F8FAFB"/>
          </w:tcPr>
          <w:p>
            <w:pPr>
              <w:spacing w:after="0"/>
            </w:pPr>
            <w:r>
              <w:rPr>
                <w:rFonts w:ascii="Cambria" w:hAnsi="Cambria"/>
                <w:sz w:val="18"/>
              </w:rPr>
              <w:t>Buy</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68–74.99</w:t>
            </w:r>
          </w:p>
        </w:tc>
        <w:tc>
          <w:tcPr>
            <w:tcW w:type="dxa" w:w="4997"/>
            <w:vAlign w:val="center"/>
            <w:tcMar>
              <w:top w:w="55" w:type="dxa"/>
              <w:start w:w="65" w:type="dxa"/>
              <w:bottom w:w="55" w:type="dxa"/>
              <w:end w:w="65" w:type="dxa"/>
            </w:tcMar>
          </w:tcPr>
          <w:p>
            <w:pPr>
              <w:spacing w:after="0"/>
            </w:pPr>
            <w:r>
              <w:rPr>
                <w:rFonts w:ascii="Cambria" w:hAnsi="Cambria"/>
                <w:sz w:val="18"/>
              </w:rPr>
              <w:t>Accumulate</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58–67.99</w:t>
            </w:r>
          </w:p>
        </w:tc>
        <w:tc>
          <w:tcPr>
            <w:tcW w:type="dxa" w:w="4997"/>
            <w:vAlign w:val="center"/>
            <w:tcMar>
              <w:top w:w="55" w:type="dxa"/>
              <w:start w:w="65" w:type="dxa"/>
              <w:bottom w:w="55" w:type="dxa"/>
              <w:end w:w="65" w:type="dxa"/>
            </w:tcMar>
            <w:shd w:fill="F8FAFB"/>
          </w:tcPr>
          <w:p>
            <w:pPr>
              <w:spacing w:after="0"/>
            </w:pPr>
            <w:r>
              <w:rPr>
                <w:rFonts w:ascii="Cambria" w:hAnsi="Cambria"/>
                <w:sz w:val="18"/>
              </w:rPr>
              <w:t>Watch</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45–57.99</w:t>
            </w:r>
          </w:p>
        </w:tc>
        <w:tc>
          <w:tcPr>
            <w:tcW w:type="dxa" w:w="4997"/>
            <w:vAlign w:val="center"/>
            <w:tcMar>
              <w:top w:w="55" w:type="dxa"/>
              <w:start w:w="65" w:type="dxa"/>
              <w:bottom w:w="55" w:type="dxa"/>
              <w:end w:w="65" w:type="dxa"/>
            </w:tcMar>
          </w:tcPr>
          <w:p>
            <w:pPr>
              <w:spacing w:after="0"/>
            </w:pPr>
            <w:r>
              <w:rPr>
                <w:rFonts w:ascii="Cambria" w:hAnsi="Cambria"/>
                <w:sz w:val="18"/>
              </w:rPr>
              <w:t>Hold</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35–44.99</w:t>
            </w:r>
          </w:p>
        </w:tc>
        <w:tc>
          <w:tcPr>
            <w:tcW w:type="dxa" w:w="4997"/>
            <w:vAlign w:val="center"/>
            <w:tcMar>
              <w:top w:w="55" w:type="dxa"/>
              <w:start w:w="65" w:type="dxa"/>
              <w:bottom w:w="55" w:type="dxa"/>
              <w:end w:w="65" w:type="dxa"/>
            </w:tcMar>
            <w:shd w:fill="F8FAFB"/>
          </w:tcPr>
          <w:p>
            <w:pPr>
              <w:spacing w:after="0"/>
            </w:pPr>
            <w:r>
              <w:rPr>
                <w:rFonts w:ascii="Cambria" w:hAnsi="Cambria"/>
                <w:sz w:val="18"/>
              </w:rPr>
              <w:t>Reduce</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Below 35</w:t>
            </w:r>
          </w:p>
        </w:tc>
        <w:tc>
          <w:tcPr>
            <w:tcW w:type="dxa" w:w="4997"/>
            <w:vAlign w:val="center"/>
            <w:tcMar>
              <w:top w:w="55" w:type="dxa"/>
              <w:start w:w="65" w:type="dxa"/>
              <w:bottom w:w="55" w:type="dxa"/>
              <w:end w:w="65" w:type="dxa"/>
            </w:tcMar>
          </w:tcPr>
          <w:p>
            <w:pPr>
              <w:spacing w:after="0"/>
            </w:pPr>
            <w:r>
              <w:rPr>
                <w:rFonts w:ascii="Cambria" w:hAnsi="Cambria"/>
                <w:sz w:val="18"/>
              </w:rPr>
              <w:t>Exit or Avoid</w:t>
            </w:r>
          </w:p>
        </w:tc>
      </w:tr>
    </w:tbl>
    <w:p>
      <w:pPr>
        <w:spacing w:after="20"/>
      </w:pPr>
    </w:p>
    <w:p>
      <w:pPr/>
      <w:r>
        <w:t>Thresholds must be calibrated by horizon.</w:t>
      </w:r>
    </w:p>
    <w:p>
      <w:pPr>
        <w:spacing w:after="0"/>
      </w:pPr>
      <w:r/>
    </w:p>
    <w:p>
      <w:pPr>
        <w:pStyle w:val="Heading1"/>
        <w:pBdr>
          <w:bottom w:val="single" w:sz="4" w:space="5" w:color="7A9AAA"/>
        </w:pBdr>
        <w:keepNext/>
      </w:pPr>
      <w:r>
        <w:t>58. Signal state machine</w:t>
      </w:r>
    </w:p>
    <w:p>
      <w:pPr/>
      <w:r>
        <w:t>NOT_ELIGIBLE</w:t>
        <w:br/>
        <w:t>→ INSUFFICIENT_DATA</w:t>
        <w:br/>
        <w:t>→ WATCH</w:t>
        <w:br/>
        <w:t>→ READY</w:t>
        <w:br/>
        <w:t>→ ENTRY_PENDING</w:t>
        <w:br/>
        <w:t>→ ACTIVE</w:t>
        <w:br/>
        <w:t>→ ACCUMULATE or HOLD</w:t>
        <w:br/>
        <w:t>→ REDUCE</w:t>
        <w:br/>
        <w:t>→ EXIT_PENDING</w:t>
        <w:br/>
        <w:t>→ CLOSED</w:t>
        <w:br/>
        <w:t>→ COOLDOWN</w:t>
      </w:r>
    </w:p>
    <w:p>
      <w:pPr>
        <w:pStyle w:val="Heading2"/>
        <w:keepNext/>
      </w:pPr>
      <w:r>
        <w:t>Hysteresis</w:t>
      </w:r>
    </w:p>
    <w:p>
      <w:pPr/>
      <w:r>
        <w:t>Use different entry and exit thresholds.</w:t>
      </w:r>
    </w:p>
    <w:p>
      <w:pPr/>
      <w:r>
        <w:t>Example:</w:t>
      </w:r>
    </w:p>
    <w:p>
      <w:pPr>
        <w:pStyle w:val="ListBody"/>
        <w:ind w:left="490" w:hanging="331"/>
      </w:pPr>
      <w:r>
        <w:rPr>
          <w:b/>
        </w:rPr>
        <w:t xml:space="preserve">• </w:t>
      </w:r>
      <w:r>
        <w:t>Enter Buy above 75.</w:t>
      </w:r>
    </w:p>
    <w:p>
      <w:pPr>
        <w:pStyle w:val="ListBody"/>
        <w:ind w:left="490" w:hanging="331"/>
      </w:pPr>
      <w:r>
        <w:rPr>
          <w:b/>
        </w:rPr>
        <w:t xml:space="preserve">• </w:t>
      </w:r>
      <w:r>
        <w:t>Remain active while above 58.</w:t>
      </w:r>
    </w:p>
    <w:p>
      <w:pPr>
        <w:pStyle w:val="ListBody"/>
        <w:ind w:left="490" w:hanging="331"/>
      </w:pPr>
      <w:r>
        <w:rPr>
          <w:b/>
        </w:rPr>
        <w:t xml:space="preserve">• </w:t>
      </w:r>
      <w:r>
        <w:t>Reduce below 45.</w:t>
      </w:r>
    </w:p>
    <w:p>
      <w:pPr>
        <w:pStyle w:val="ListBody"/>
        <w:ind w:left="490" w:hanging="331"/>
      </w:pPr>
      <w:r>
        <w:rPr>
          <w:b/>
        </w:rPr>
        <w:t xml:space="preserve">• </w:t>
      </w:r>
      <w:r>
        <w:t>Exit below 35.</w:t>
      </w:r>
    </w:p>
    <w:p>
      <w:pPr/>
      <w:r>
        <w:t>This prevents repeated state changes caused by small score movements.</w:t>
      </w:r>
    </w:p>
    <w:p>
      <w:pPr>
        <w:spacing w:after="0"/>
      </w:pPr>
      <w:r/>
    </w:p>
    <w:p>
      <w:pPr>
        <w:pStyle w:val="Heading1"/>
        <w:pBdr>
          <w:bottom w:val="single" w:sz="4" w:space="5" w:color="7A9AAA"/>
        </w:pBdr>
        <w:keepNext/>
      </w:pPr>
      <w:r>
        <w:t>59. Signal confirmation and execution timing</w:t>
      </w:r>
    </w:p>
    <w:p>
      <w:pPr>
        <w:pStyle w:val="ListBody"/>
        <w:ind w:left="490" w:hanging="331"/>
      </w:pPr>
      <w:r>
        <w:rPr>
          <w:b/>
        </w:rPr>
        <w:t xml:space="preserve">• </w:t>
      </w:r>
      <w:r>
        <w:t>Daily signal: confirmed after daily close.</w:t>
      </w:r>
    </w:p>
    <w:p>
      <w:pPr>
        <w:pStyle w:val="ListBody"/>
        <w:ind w:left="490" w:hanging="331"/>
      </w:pPr>
      <w:r>
        <w:rPr>
          <w:b/>
        </w:rPr>
        <w:t xml:space="preserve">• </w:t>
      </w:r>
      <w:r>
        <w:t>Weekly signal: confirmed after final weekly session.</w:t>
      </w:r>
    </w:p>
    <w:p>
      <w:pPr>
        <w:pStyle w:val="ListBody"/>
        <w:ind w:left="490" w:hanging="331"/>
      </w:pPr>
      <w:r>
        <w:rPr>
          <w:b/>
        </w:rPr>
        <w:t xml:space="preserve">• </w:t>
      </w:r>
      <w:r>
        <w:t>Monthly signal: confirmed after final monthly session.</w:t>
      </w:r>
    </w:p>
    <w:p>
      <w:pPr>
        <w:pStyle w:val="ListBody"/>
        <w:ind w:left="490" w:hanging="331"/>
      </w:pPr>
      <w:r>
        <w:rPr>
          <w:b/>
        </w:rPr>
        <w:t xml:space="preserve">• </w:t>
      </w:r>
      <w:r>
        <w:t>Entry eligibility: next trading session.</w:t>
      </w:r>
    </w:p>
    <w:p>
      <w:pPr>
        <w:pStyle w:val="ListBody"/>
        <w:ind w:left="490" w:hanging="331"/>
      </w:pPr>
      <w:r>
        <w:rPr>
          <w:b/>
        </w:rPr>
        <w:t xml:space="preserve">• </w:t>
      </w:r>
      <w:r>
        <w:t>Incomplete bar: preview only.</w:t>
      </w:r>
    </w:p>
    <w:p>
      <w:pPr>
        <w:pStyle w:val="ListBody"/>
        <w:ind w:left="490" w:hanging="331"/>
      </w:pPr>
      <w:r>
        <w:rPr>
          <w:b/>
        </w:rPr>
        <w:t xml:space="preserve">• </w:t>
      </w:r>
      <w:r>
        <w:t>Same-bar open entry: prohibited.</w:t>
      </w:r>
    </w:p>
    <w:p>
      <w:pPr>
        <w:pStyle w:val="ListBody"/>
        <w:ind w:left="490" w:hanging="331"/>
      </w:pPr>
      <w:r>
        <w:rPr>
          <w:b/>
        </w:rPr>
        <w:t xml:space="preserve">• </w:t>
      </w:r>
      <w:r>
        <w:t>Historical revised candle: trigger data review.</w:t>
      </w:r>
    </w:p>
    <w:p>
      <w:pPr>
        <w:spacing w:after="0"/>
      </w:pPr>
      <w:r/>
    </w:p>
    <w:p>
      <w:pPr>
        <w:pStyle w:val="Heading1"/>
        <w:pBdr>
          <w:bottom w:val="single" w:sz="4" w:space="5" w:color="7A9AAA"/>
        </w:pBdr>
        <w:keepNext/>
      </w:pPr>
      <w:r>
        <w:t>60. Daily Tactical Engine</w:t>
      </w:r>
    </w:p>
    <w:p>
      <w:pPr>
        <w:pStyle w:val="Heading2"/>
        <w:keepNext/>
      </w:pPr>
      <w:r>
        <w:t>Inputs</w:t>
      </w:r>
    </w:p>
    <w:p>
      <w:pPr>
        <w:pStyle w:val="ListBody"/>
        <w:ind w:left="490" w:hanging="331"/>
      </w:pPr>
      <w:r>
        <w:rPr>
          <w:b/>
        </w:rPr>
        <w:t xml:space="preserve">• </w:t>
      </w:r>
      <w:r>
        <w:t>EMA 10.</w:t>
      </w:r>
    </w:p>
    <w:p>
      <w:pPr>
        <w:pStyle w:val="ListBody"/>
        <w:ind w:left="490" w:hanging="331"/>
      </w:pPr>
      <w:r>
        <w:rPr>
          <w:b/>
        </w:rPr>
        <w:t xml:space="preserve">• </w:t>
      </w:r>
      <w:r>
        <w:t>EMA 20.</w:t>
      </w:r>
    </w:p>
    <w:p>
      <w:pPr>
        <w:pStyle w:val="ListBody"/>
        <w:ind w:left="490" w:hanging="331"/>
      </w:pPr>
      <w:r>
        <w:rPr>
          <w:b/>
        </w:rPr>
        <w:t xml:space="preserve">• </w:t>
      </w:r>
      <w:r>
        <w:t>EMA 50.</w:t>
      </w:r>
    </w:p>
    <w:p>
      <w:pPr>
        <w:pStyle w:val="ListBody"/>
        <w:ind w:left="490" w:hanging="331"/>
      </w:pPr>
      <w:r>
        <w:rPr>
          <w:b/>
        </w:rPr>
        <w:t xml:space="preserve">• </w:t>
      </w:r>
      <w:r>
        <w:t>EMA 100.</w:t>
      </w:r>
    </w:p>
    <w:p>
      <w:pPr>
        <w:pStyle w:val="ListBody"/>
        <w:ind w:left="490" w:hanging="331"/>
      </w:pPr>
      <w:r>
        <w:rPr>
          <w:b/>
        </w:rPr>
        <w:t xml:space="preserve">• </w:t>
      </w:r>
      <w:r>
        <w:t>EMA 200.</w:t>
      </w:r>
    </w:p>
    <w:p>
      <w:pPr>
        <w:pStyle w:val="ListBody"/>
        <w:ind w:left="490" w:hanging="331"/>
      </w:pPr>
      <w:r>
        <w:rPr>
          <w:b/>
        </w:rPr>
        <w:t xml:space="preserve">• </w:t>
      </w:r>
      <w:r>
        <w:t>RSI.</w:t>
      </w:r>
    </w:p>
    <w:p>
      <w:pPr>
        <w:pStyle w:val="ListBody"/>
        <w:ind w:left="490" w:hanging="331"/>
      </w:pPr>
      <w:r>
        <w:rPr>
          <w:b/>
        </w:rPr>
        <w:t xml:space="preserve">• </w:t>
      </w:r>
      <w:r>
        <w:t>ADX.</w:t>
      </w:r>
    </w:p>
    <w:p>
      <w:pPr>
        <w:pStyle w:val="ListBody"/>
        <w:ind w:left="490" w:hanging="331"/>
      </w:pPr>
      <w:r>
        <w:rPr>
          <w:b/>
        </w:rPr>
        <w:t xml:space="preserve">• </w:t>
      </w:r>
      <w:r>
        <w:t>ATR.</w:t>
      </w:r>
    </w:p>
    <w:p>
      <w:pPr>
        <w:pStyle w:val="ListBody"/>
        <w:ind w:left="490" w:hanging="331"/>
      </w:pPr>
      <w:r>
        <w:rPr>
          <w:b/>
        </w:rPr>
        <w:t xml:space="preserve">• </w:t>
      </w:r>
      <w:r>
        <w:t>20-day breakout.</w:t>
      </w:r>
    </w:p>
    <w:p>
      <w:pPr>
        <w:pStyle w:val="ListBody"/>
        <w:ind w:left="490" w:hanging="331"/>
      </w:pPr>
      <w:r>
        <w:rPr>
          <w:b/>
        </w:rPr>
        <w:t xml:space="preserve">• </w:t>
      </w:r>
      <w:r>
        <w:t>55-day breakout.</w:t>
      </w:r>
    </w:p>
    <w:p>
      <w:pPr>
        <w:pStyle w:val="ListBody"/>
        <w:ind w:left="490" w:hanging="331"/>
      </w:pPr>
      <w:r>
        <w:rPr>
          <w:b/>
        </w:rPr>
        <w:t xml:space="preserve">• </w:t>
      </w:r>
      <w:r>
        <w:t>Relative volume.</w:t>
      </w:r>
    </w:p>
    <w:p>
      <w:pPr>
        <w:pStyle w:val="ListBody"/>
        <w:ind w:left="490" w:hanging="331"/>
      </w:pPr>
      <w:r>
        <w:rPr>
          <w:b/>
        </w:rPr>
        <w:t xml:space="preserve">• </w:t>
      </w:r>
      <w:r>
        <w:t>Relative strength.</w:t>
      </w:r>
    </w:p>
    <w:p>
      <w:pPr>
        <w:pStyle w:val="ListBody"/>
        <w:ind w:left="490" w:hanging="331"/>
      </w:pPr>
      <w:r>
        <w:rPr>
          <w:b/>
        </w:rPr>
        <w:t xml:space="preserve">• </w:t>
      </w:r>
      <w:r>
        <w:t>Gap structure.</w:t>
      </w:r>
    </w:p>
    <w:p>
      <w:pPr>
        <w:pStyle w:val="ListBody"/>
        <w:ind w:left="490" w:hanging="331"/>
      </w:pPr>
      <w:r>
        <w:rPr>
          <w:b/>
        </w:rPr>
        <w:t xml:space="preserve">• </w:t>
      </w:r>
      <w:r>
        <w:t>Volatility contraction.</w:t>
      </w:r>
    </w:p>
    <w:p>
      <w:pPr>
        <w:pStyle w:val="ListBody"/>
        <w:ind w:left="490" w:hanging="331"/>
      </w:pPr>
      <w:r>
        <w:rPr>
          <w:b/>
        </w:rPr>
        <w:t xml:space="preserve">• </w:t>
      </w:r>
      <w:r>
        <w:t>Range expansion.</w:t>
      </w:r>
    </w:p>
    <w:p>
      <w:pPr>
        <w:pStyle w:val="ListBody"/>
        <w:ind w:left="490" w:hanging="331"/>
      </w:pPr>
      <w:r>
        <w:rPr>
          <w:b/>
        </w:rPr>
        <w:t xml:space="preserve">• </w:t>
      </w:r>
      <w:r>
        <w:t>Drawdown.</w:t>
      </w:r>
    </w:p>
    <w:p>
      <w:pPr>
        <w:pStyle w:val="ListBody"/>
        <w:ind w:left="490" w:hanging="331"/>
      </w:pPr>
      <w:r>
        <w:rPr>
          <w:b/>
        </w:rPr>
        <w:t xml:space="preserve">• </w:t>
      </w:r>
      <w:r>
        <w:t>Event risk.</w:t>
      </w:r>
    </w:p>
    <w:p>
      <w:pPr>
        <w:pStyle w:val="ListBody"/>
        <w:ind w:left="490" w:hanging="331"/>
      </w:pPr>
      <w:r>
        <w:rPr>
          <w:b/>
        </w:rPr>
        <w:t xml:space="preserve">• </w:t>
      </w:r>
      <w:r>
        <w:t>Market regime.</w:t>
      </w:r>
    </w:p>
    <w:p>
      <w:pPr>
        <w:pStyle w:val="Heading2"/>
        <w:keepNext/>
      </w:pPr>
      <w:r>
        <w:t>Entry types</w:t>
      </w:r>
    </w:p>
    <w:p>
      <w:pPr>
        <w:pStyle w:val="ListBody"/>
        <w:ind w:left="490" w:hanging="331"/>
      </w:pPr>
      <w:r>
        <w:rPr>
          <w:b/>
        </w:rPr>
        <w:t xml:space="preserve">• </w:t>
      </w:r>
      <w:r>
        <w:t>Breakout.</w:t>
      </w:r>
    </w:p>
    <w:p>
      <w:pPr>
        <w:pStyle w:val="ListBody"/>
        <w:ind w:left="490" w:hanging="331"/>
      </w:pPr>
      <w:r>
        <w:rPr>
          <w:b/>
        </w:rPr>
        <w:t xml:space="preserve">• </w:t>
      </w:r>
      <w:r>
        <w:t>Pullback.</w:t>
      </w:r>
    </w:p>
    <w:p>
      <w:pPr>
        <w:pStyle w:val="ListBody"/>
        <w:ind w:left="490" w:hanging="331"/>
      </w:pPr>
      <w:r>
        <w:rPr>
          <w:b/>
        </w:rPr>
        <w:t xml:space="preserve">• </w:t>
      </w:r>
      <w:r>
        <w:t>Continuation.</w:t>
      </w:r>
    </w:p>
    <w:p>
      <w:pPr>
        <w:pStyle w:val="ListBody"/>
        <w:ind w:left="490" w:hanging="331"/>
      </w:pPr>
      <w:r>
        <w:rPr>
          <w:b/>
        </w:rPr>
        <w:t xml:space="preserve">• </w:t>
      </w:r>
      <w:r>
        <w:t>Reversal.</w:t>
      </w:r>
    </w:p>
    <w:p>
      <w:pPr>
        <w:pStyle w:val="ListBody"/>
        <w:ind w:left="490" w:hanging="331"/>
      </w:pPr>
      <w:r>
        <w:rPr>
          <w:b/>
        </w:rPr>
        <w:t xml:space="preserve">• </w:t>
      </w:r>
      <w:r>
        <w:t>Post-earnings continuation.</w:t>
      </w:r>
    </w:p>
    <w:p>
      <w:pPr>
        <w:pStyle w:val="Heading2"/>
        <w:keepNext/>
      </w:pPr>
      <w:r>
        <w:t>Entry rule</w:t>
      </w:r>
    </w:p>
    <w:p>
      <w:pPr/>
      <w:r>
        <w:t>Daily HSS above threshold</w:t>
        <w:br/>
        <w:t>AND confidence above threshold</w:t>
        <w:br/>
        <w:t>AND completed daily bar</w:t>
        <w:br/>
        <w:t>AND no hard gate</w:t>
        <w:br/>
        <w:t>AND liquidity pass</w:t>
        <w:br/>
        <w:t>AND valid trigger</w:t>
      </w:r>
    </w:p>
    <w:p>
      <w:pPr>
        <w:pStyle w:val="Heading2"/>
        <w:keepNext/>
      </w:pPr>
      <w:r>
        <w:t>Entry price</w:t>
      </w:r>
    </w:p>
    <w:p>
      <w:pPr/>
      <w:r>
        <w:t>signal confirmed after close</w:t>
        <w:br/>
        <w:t>reference entry = next-session open</w:t>
        <w:br/>
        <w:t>actual entry = broker fill</w:t>
      </w:r>
    </w:p>
    <w:p>
      <w:pPr>
        <w:pStyle w:val="Heading2"/>
        <w:keepNext/>
      </w:pPr>
      <w:r>
        <w:t>Stops</w:t>
      </w:r>
    </w:p>
    <w:p>
      <w:pPr/>
      <w:r>
        <w:t>Options:</w:t>
      </w:r>
    </w:p>
    <w:p>
      <w:pPr>
        <w:pStyle w:val="ListBody"/>
        <w:ind w:left="490" w:hanging="331"/>
      </w:pPr>
      <w:r>
        <w:rPr>
          <w:b/>
        </w:rPr>
        <w:t xml:space="preserve">• </w:t>
      </w:r>
      <w:r>
        <w:t>ATR stop.</w:t>
      </w:r>
    </w:p>
    <w:p>
      <w:pPr>
        <w:pStyle w:val="ListBody"/>
        <w:ind w:left="490" w:hanging="331"/>
      </w:pPr>
      <w:r>
        <w:rPr>
          <w:b/>
        </w:rPr>
        <w:t xml:space="preserve">• </w:t>
      </w:r>
      <w:r>
        <w:t>Swing-low stop.</w:t>
      </w:r>
    </w:p>
    <w:p>
      <w:pPr>
        <w:pStyle w:val="ListBody"/>
        <w:ind w:left="490" w:hanging="331"/>
      </w:pPr>
      <w:r>
        <w:rPr>
          <w:b/>
        </w:rPr>
        <w:t xml:space="preserve">• </w:t>
      </w:r>
      <w:r>
        <w:t>Percentage stop.</w:t>
      </w:r>
    </w:p>
    <w:p>
      <w:pPr>
        <w:pStyle w:val="ListBody"/>
        <w:ind w:left="490" w:hanging="331"/>
      </w:pPr>
      <w:r>
        <w:rPr>
          <w:b/>
        </w:rPr>
        <w:t xml:space="preserve">• </w:t>
      </w:r>
      <w:r>
        <w:t>Hybrid stop.</w:t>
      </w:r>
    </w:p>
    <w:p>
      <w:pPr>
        <w:pStyle w:val="ListBody"/>
        <w:ind w:left="490" w:hanging="331"/>
      </w:pPr>
      <w:r>
        <w:rPr>
          <w:b/>
        </w:rPr>
        <w:t xml:space="preserve">• </w:t>
      </w:r>
      <w:r>
        <w:t>Score-based stop.</w:t>
      </w:r>
    </w:p>
    <w:p>
      <w:pPr>
        <w:pStyle w:val="Heading2"/>
        <w:keepNext/>
      </w:pPr>
      <w:r>
        <w:t>Exits</w:t>
      </w:r>
    </w:p>
    <w:p>
      <w:pPr>
        <w:pStyle w:val="ListBody"/>
        <w:ind w:left="490" w:hanging="331"/>
      </w:pPr>
      <w:r>
        <w:rPr>
          <w:b/>
        </w:rPr>
        <w:t xml:space="preserve">• </w:t>
      </w:r>
      <w:r>
        <w:t>Stop hit.</w:t>
      </w:r>
    </w:p>
    <w:p>
      <w:pPr>
        <w:pStyle w:val="ListBody"/>
        <w:ind w:left="490" w:hanging="331"/>
      </w:pPr>
      <w:r>
        <w:rPr>
          <w:b/>
        </w:rPr>
        <w:t xml:space="preserve">• </w:t>
      </w:r>
      <w:r>
        <w:t>Score deterioration.</w:t>
      </w:r>
    </w:p>
    <w:p>
      <w:pPr>
        <w:pStyle w:val="ListBody"/>
        <w:ind w:left="490" w:hanging="331"/>
      </w:pPr>
      <w:r>
        <w:rPr>
          <w:b/>
        </w:rPr>
        <w:t xml:space="preserve">• </w:t>
      </w:r>
      <w:r>
        <w:t>Trend failure.</w:t>
      </w:r>
    </w:p>
    <w:p>
      <w:pPr>
        <w:pStyle w:val="ListBody"/>
        <w:ind w:left="490" w:hanging="331"/>
      </w:pPr>
      <w:r>
        <w:rPr>
          <w:b/>
        </w:rPr>
        <w:t xml:space="preserve">• </w:t>
      </w:r>
      <w:r>
        <w:t>Maximum holding period.</w:t>
      </w:r>
    </w:p>
    <w:p>
      <w:pPr>
        <w:pStyle w:val="ListBody"/>
        <w:ind w:left="490" w:hanging="331"/>
      </w:pPr>
      <w:r>
        <w:rPr>
          <w:b/>
        </w:rPr>
        <w:t xml:space="preserve">• </w:t>
      </w:r>
      <w:r>
        <w:t>Adverse event.</w:t>
      </w:r>
    </w:p>
    <w:p>
      <w:pPr>
        <w:pStyle w:val="ListBody"/>
        <w:ind w:left="490" w:hanging="331"/>
      </w:pPr>
      <w:r>
        <w:rPr>
          <w:b/>
        </w:rPr>
        <w:t xml:space="preserve">• </w:t>
      </w:r>
      <w:r>
        <w:t>Portfolio limit.</w:t>
      </w:r>
    </w:p>
    <w:p>
      <w:pPr>
        <w:pStyle w:val="ListBody"/>
        <w:ind w:left="490" w:hanging="331"/>
      </w:pPr>
      <w:r>
        <w:rPr>
          <w:b/>
        </w:rPr>
        <w:t xml:space="preserve">• </w:t>
      </w:r>
      <w:r>
        <w:t>Hard gate.</w:t>
      </w:r>
    </w:p>
    <w:p>
      <w:pPr>
        <w:pStyle w:val="ListBody"/>
        <w:ind w:left="490" w:hanging="331"/>
      </w:pPr>
      <w:r>
        <w:rPr>
          <w:b/>
        </w:rPr>
        <w:t xml:space="preserve">• </w:t>
      </w:r>
      <w:r>
        <w:t>Liquidity deterioration.</w:t>
      </w:r>
    </w:p>
    <w:p>
      <w:pPr>
        <w:spacing w:after="0"/>
      </w:pPr>
      <w:r/>
    </w:p>
    <w:p>
      <w:pPr>
        <w:pStyle w:val="Heading1"/>
        <w:pBdr>
          <w:bottom w:val="single" w:sz="4" w:space="5" w:color="7A9AAA"/>
        </w:pBdr>
        <w:keepNext/>
      </w:pPr>
      <w:r>
        <w:t>61. Weekly Swing Engine</w:t>
      </w:r>
    </w:p>
    <w:p>
      <w:pPr/>
      <w:r>
        <w:t>Inputs:</w:t>
      </w:r>
    </w:p>
    <w:p>
      <w:pPr>
        <w:pStyle w:val="ListBody"/>
        <w:ind w:left="490" w:hanging="331"/>
      </w:pPr>
      <w:r>
        <w:rPr>
          <w:b/>
        </w:rPr>
        <w:t xml:space="preserve">• </w:t>
      </w:r>
      <w:r>
        <w:t>10-week EMA.</w:t>
      </w:r>
    </w:p>
    <w:p>
      <w:pPr>
        <w:pStyle w:val="ListBody"/>
        <w:ind w:left="490" w:hanging="331"/>
      </w:pPr>
      <w:r>
        <w:rPr>
          <w:b/>
        </w:rPr>
        <w:t xml:space="preserve">• </w:t>
      </w:r>
      <w:r>
        <w:t>20-week EMA.</w:t>
      </w:r>
    </w:p>
    <w:p>
      <w:pPr>
        <w:pStyle w:val="ListBody"/>
        <w:ind w:left="490" w:hanging="331"/>
      </w:pPr>
      <w:r>
        <w:rPr>
          <w:b/>
        </w:rPr>
        <w:t xml:space="preserve">• </w:t>
      </w:r>
      <w:r>
        <w:t>40-week EMA.</w:t>
      </w:r>
    </w:p>
    <w:p>
      <w:pPr>
        <w:pStyle w:val="ListBody"/>
        <w:ind w:left="490" w:hanging="331"/>
      </w:pPr>
      <w:r>
        <w:rPr>
          <w:b/>
        </w:rPr>
        <w:t xml:space="preserve">• </w:t>
      </w:r>
      <w:r>
        <w:t>13-week momentum.</w:t>
      </w:r>
    </w:p>
    <w:p>
      <w:pPr>
        <w:pStyle w:val="ListBody"/>
        <w:ind w:left="490" w:hanging="331"/>
      </w:pPr>
      <w:r>
        <w:rPr>
          <w:b/>
        </w:rPr>
        <w:t xml:space="preserve">• </w:t>
      </w:r>
      <w:r>
        <w:t>26-week momentum.</w:t>
      </w:r>
    </w:p>
    <w:p>
      <w:pPr>
        <w:pStyle w:val="ListBody"/>
        <w:ind w:left="490" w:hanging="331"/>
      </w:pPr>
      <w:r>
        <w:rPr>
          <w:b/>
        </w:rPr>
        <w:t xml:space="preserve">• </w:t>
      </w:r>
      <w:r>
        <w:t>52-week momentum.</w:t>
      </w:r>
    </w:p>
    <w:p>
      <w:pPr>
        <w:pStyle w:val="ListBody"/>
        <w:ind w:left="490" w:hanging="331"/>
      </w:pPr>
      <w:r>
        <w:rPr>
          <w:b/>
        </w:rPr>
        <w:t xml:space="preserve">• </w:t>
      </w:r>
      <w:r>
        <w:t>Weekly RSI.</w:t>
      </w:r>
    </w:p>
    <w:p>
      <w:pPr>
        <w:pStyle w:val="ListBody"/>
        <w:ind w:left="490" w:hanging="331"/>
      </w:pPr>
      <w:r>
        <w:rPr>
          <w:b/>
        </w:rPr>
        <w:t xml:space="preserve">• </w:t>
      </w:r>
      <w:r>
        <w:t>Weekly ADX.</w:t>
      </w:r>
    </w:p>
    <w:p>
      <w:pPr>
        <w:pStyle w:val="ListBody"/>
        <w:ind w:left="490" w:hanging="331"/>
      </w:pPr>
      <w:r>
        <w:rPr>
          <w:b/>
        </w:rPr>
        <w:t xml:space="preserve">• </w:t>
      </w:r>
      <w:r>
        <w:t>Weekly ATR.</w:t>
      </w:r>
    </w:p>
    <w:p>
      <w:pPr>
        <w:pStyle w:val="ListBody"/>
        <w:ind w:left="490" w:hanging="331"/>
      </w:pPr>
      <w:r>
        <w:rPr>
          <w:b/>
        </w:rPr>
        <w:t xml:space="preserve">• </w:t>
      </w:r>
      <w:r>
        <w:t>Base breakout.</w:t>
      </w:r>
    </w:p>
    <w:p>
      <w:pPr>
        <w:pStyle w:val="ListBody"/>
        <w:ind w:left="490" w:hanging="331"/>
      </w:pPr>
      <w:r>
        <w:rPr>
          <w:b/>
        </w:rPr>
        <w:t xml:space="preserve">• </w:t>
      </w:r>
      <w:r>
        <w:t>Relative strength.</w:t>
      </w:r>
    </w:p>
    <w:p>
      <w:pPr>
        <w:pStyle w:val="ListBody"/>
        <w:ind w:left="490" w:hanging="331"/>
      </w:pPr>
      <w:r>
        <w:rPr>
          <w:b/>
        </w:rPr>
        <w:t xml:space="preserve">• </w:t>
      </w:r>
      <w:r>
        <w:t>Earnings trend.</w:t>
      </w:r>
    </w:p>
    <w:p>
      <w:pPr>
        <w:pStyle w:val="ListBody"/>
        <w:ind w:left="490" w:hanging="331"/>
      </w:pPr>
      <w:r>
        <w:rPr>
          <w:b/>
        </w:rPr>
        <w:t xml:space="preserve">• </w:t>
      </w:r>
      <w:r>
        <w:t>Sector regime.</w:t>
      </w:r>
    </w:p>
    <w:p>
      <w:pPr/>
      <w:r>
        <w:t>Weekly signals must use completed weeks only.</w:t>
      </w:r>
    </w:p>
    <w:p>
      <w:pPr/>
      <w:r>
        <w:t>A one-day decline must not automatically close a weekly position unless a valid protective stop is reached.</w:t>
      </w:r>
    </w:p>
    <w:p>
      <w:pPr>
        <w:spacing w:after="0"/>
      </w:pPr>
      <w:r/>
    </w:p>
    <w:p>
      <w:pPr>
        <w:pStyle w:val="Heading1"/>
        <w:pBdr>
          <w:bottom w:val="single" w:sz="4" w:space="5" w:color="7A9AAA"/>
        </w:pBdr>
        <w:keepNext/>
      </w:pPr>
      <w:r>
        <w:t>62. Monthly Position Engine</w:t>
      </w:r>
    </w:p>
    <w:p>
      <w:pPr/>
      <w:r>
        <w:t>Inputs:</w:t>
      </w:r>
    </w:p>
    <w:p>
      <w:pPr>
        <w:pStyle w:val="ListBody"/>
        <w:ind w:left="490" w:hanging="331"/>
      </w:pPr>
      <w:r>
        <w:rPr>
          <w:b/>
        </w:rPr>
        <w:t xml:space="preserve">• </w:t>
      </w:r>
      <w:r>
        <w:t>Six-month momentum.</w:t>
      </w:r>
    </w:p>
    <w:p>
      <w:pPr>
        <w:pStyle w:val="ListBody"/>
        <w:ind w:left="490" w:hanging="331"/>
      </w:pPr>
      <w:r>
        <w:rPr>
          <w:b/>
        </w:rPr>
        <w:t xml:space="preserve">• </w:t>
      </w:r>
      <w:r>
        <w:t>12–1 month momentum.</w:t>
      </w:r>
    </w:p>
    <w:p>
      <w:pPr>
        <w:pStyle w:val="ListBody"/>
        <w:ind w:left="490" w:hanging="331"/>
      </w:pPr>
      <w:r>
        <w:rPr>
          <w:b/>
        </w:rPr>
        <w:t xml:space="preserve">• </w:t>
      </w:r>
      <w:r>
        <w:t>10-month moving average.</w:t>
      </w:r>
    </w:p>
    <w:p>
      <w:pPr>
        <w:pStyle w:val="ListBody"/>
        <w:ind w:left="490" w:hanging="331"/>
      </w:pPr>
      <w:r>
        <w:rPr>
          <w:b/>
        </w:rPr>
        <w:t xml:space="preserve">• </w:t>
      </w:r>
      <w:r>
        <w:t>20-month moving average.</w:t>
      </w:r>
    </w:p>
    <w:p>
      <w:pPr>
        <w:pStyle w:val="ListBody"/>
        <w:ind w:left="490" w:hanging="331"/>
      </w:pPr>
      <w:r>
        <w:rPr>
          <w:b/>
        </w:rPr>
        <w:t xml:space="preserve">• </w:t>
      </w:r>
      <w:r>
        <w:t>Monthly breakout.</w:t>
      </w:r>
    </w:p>
    <w:p>
      <w:pPr>
        <w:pStyle w:val="ListBody"/>
        <w:ind w:left="490" w:hanging="331"/>
      </w:pPr>
      <w:r>
        <w:rPr>
          <w:b/>
        </w:rPr>
        <w:t xml:space="preserve">• </w:t>
      </w:r>
      <w:r>
        <w:t>Drawdown.</w:t>
      </w:r>
    </w:p>
    <w:p>
      <w:pPr>
        <w:pStyle w:val="ListBody"/>
        <w:ind w:left="490" w:hanging="331"/>
      </w:pPr>
      <w:r>
        <w:rPr>
          <w:b/>
        </w:rPr>
        <w:t xml:space="preserve">• </w:t>
      </w:r>
      <w:r>
        <w:t>Fundamental-score direction.</w:t>
      </w:r>
    </w:p>
    <w:p>
      <w:pPr>
        <w:pStyle w:val="ListBody"/>
        <w:ind w:left="490" w:hanging="331"/>
      </w:pPr>
      <w:r>
        <w:rPr>
          <w:b/>
        </w:rPr>
        <w:t xml:space="preserve">• </w:t>
      </w:r>
      <w:r>
        <w:t>Earnings momentum.</w:t>
      </w:r>
    </w:p>
    <w:p>
      <w:pPr>
        <w:pStyle w:val="ListBody"/>
        <w:ind w:left="490" w:hanging="331"/>
      </w:pPr>
      <w:r>
        <w:rPr>
          <w:b/>
        </w:rPr>
        <w:t xml:space="preserve">• </w:t>
      </w:r>
      <w:r>
        <w:t>Valuation.</w:t>
      </w:r>
    </w:p>
    <w:p>
      <w:pPr>
        <w:pStyle w:val="ListBody"/>
        <w:ind w:left="490" w:hanging="331"/>
      </w:pPr>
      <w:r>
        <w:rPr>
          <w:b/>
        </w:rPr>
        <w:t xml:space="preserve">• </w:t>
      </w:r>
      <w:r>
        <w:t>Sector regime.</w:t>
      </w:r>
    </w:p>
    <w:p>
      <w:pPr/>
      <w:r>
        <w:t>Monthly exits require:</w:t>
      </w:r>
    </w:p>
    <w:p>
      <w:pPr>
        <w:pStyle w:val="ListBody"/>
        <w:ind w:left="490" w:hanging="331"/>
      </w:pPr>
      <w:r>
        <w:rPr>
          <w:b/>
        </w:rPr>
        <w:t xml:space="preserve">• </w:t>
      </w:r>
      <w:r>
        <w:t>Monthly trend failure.</w:t>
      </w:r>
    </w:p>
    <w:p>
      <w:pPr>
        <w:pStyle w:val="ListBody"/>
        <w:ind w:left="490" w:hanging="331"/>
      </w:pPr>
      <w:r>
        <w:rPr>
          <w:b/>
        </w:rPr>
        <w:t xml:space="preserve">• </w:t>
      </w:r>
      <w:r>
        <w:t>Material score deterioration.</w:t>
      </w:r>
    </w:p>
    <w:p>
      <w:pPr>
        <w:pStyle w:val="ListBody"/>
        <w:ind w:left="490" w:hanging="331"/>
      </w:pPr>
      <w:r>
        <w:rPr>
          <w:b/>
        </w:rPr>
        <w:t xml:space="preserve">• </w:t>
      </w:r>
      <w:r>
        <w:t>Valuation exhaustion.</w:t>
      </w:r>
    </w:p>
    <w:p>
      <w:pPr>
        <w:pStyle w:val="ListBody"/>
        <w:ind w:left="490" w:hanging="331"/>
      </w:pPr>
      <w:r>
        <w:rPr>
          <w:b/>
        </w:rPr>
        <w:t xml:space="preserve">• </w:t>
      </w:r>
      <w:r>
        <w:t>Thesis event.</w:t>
      </w:r>
    </w:p>
    <w:p>
      <w:pPr>
        <w:pStyle w:val="ListBody"/>
        <w:ind w:left="490" w:hanging="331"/>
      </w:pPr>
      <w:r>
        <w:rPr>
          <w:b/>
        </w:rPr>
        <w:t xml:space="preserve">• </w:t>
      </w:r>
      <w:r>
        <w:t>Hard gate.</w:t>
      </w:r>
    </w:p>
    <w:p>
      <w:pPr>
        <w:pStyle w:val="ListBody"/>
        <w:ind w:left="490" w:hanging="331"/>
      </w:pPr>
      <w:r>
        <w:rPr>
          <w:b/>
        </w:rPr>
        <w:t xml:space="preserve">• </w:t>
      </w:r>
      <w:r>
        <w:t>Portfolio-risk breach.</w:t>
      </w:r>
    </w:p>
    <w:p>
      <w:pPr>
        <w:spacing w:after="0"/>
      </w:pPr>
      <w:r/>
    </w:p>
    <w:p>
      <w:pPr>
        <w:pStyle w:val="Heading1"/>
        <w:pBdr>
          <w:bottom w:val="single" w:sz="4" w:space="5" w:color="7A9AAA"/>
        </w:pBdr>
        <w:keepNext/>
      </w:pPr>
      <w:r>
        <w:t>63. Medium-Term Investment Engine</w:t>
      </w:r>
    </w:p>
    <w:p>
      <w:pPr/>
      <w:r>
        <w:t>Required inputs:</w:t>
      </w:r>
    </w:p>
    <w:p>
      <w:pPr>
        <w:pStyle w:val="ListBody"/>
        <w:ind w:left="490" w:hanging="331"/>
      </w:pPr>
      <w:r>
        <w:rPr>
          <w:b/>
        </w:rPr>
        <w:t xml:space="preserve">• </w:t>
      </w:r>
      <w:r>
        <w:t>Candidate Score.</w:t>
      </w:r>
    </w:p>
    <w:p>
      <w:pPr>
        <w:pStyle w:val="ListBody"/>
        <w:ind w:left="490" w:hanging="331"/>
      </w:pPr>
      <w:r>
        <w:rPr>
          <w:b/>
        </w:rPr>
        <w:t xml:space="preserve">• </w:t>
      </w:r>
      <w:r>
        <w:t>Research Score where available.</w:t>
      </w:r>
    </w:p>
    <w:p>
      <w:pPr>
        <w:pStyle w:val="ListBody"/>
        <w:ind w:left="490" w:hanging="331"/>
      </w:pPr>
      <w:r>
        <w:rPr>
          <w:b/>
        </w:rPr>
        <w:t xml:space="preserve">• </w:t>
      </w:r>
      <w:r>
        <w:t>Data Confidence.</w:t>
      </w:r>
    </w:p>
    <w:p>
      <w:pPr>
        <w:pStyle w:val="ListBody"/>
        <w:ind w:left="490" w:hanging="331"/>
      </w:pPr>
      <w:r>
        <w:rPr>
          <w:b/>
        </w:rPr>
        <w:t xml:space="preserve">• </w:t>
      </w:r>
      <w:r>
        <w:t>Quarterly financial trend.</w:t>
      </w:r>
    </w:p>
    <w:p>
      <w:pPr>
        <w:pStyle w:val="ListBody"/>
        <w:ind w:left="490" w:hanging="331"/>
      </w:pPr>
      <w:r>
        <w:rPr>
          <w:b/>
        </w:rPr>
        <w:t xml:space="preserve">• </w:t>
      </w:r>
      <w:r>
        <w:t>Earnings momentum.</w:t>
      </w:r>
    </w:p>
    <w:p>
      <w:pPr>
        <w:pStyle w:val="ListBody"/>
        <w:ind w:left="490" w:hanging="331"/>
      </w:pPr>
      <w:r>
        <w:rPr>
          <w:b/>
        </w:rPr>
        <w:t xml:space="preserve">• </w:t>
      </w:r>
      <w:r>
        <w:t>Valuation.</w:t>
      </w:r>
    </w:p>
    <w:p>
      <w:pPr>
        <w:pStyle w:val="ListBody"/>
        <w:ind w:left="490" w:hanging="331"/>
      </w:pPr>
      <w:r>
        <w:rPr>
          <w:b/>
        </w:rPr>
        <w:t xml:space="preserve">• </w:t>
      </w:r>
      <w:r>
        <w:t>Catalysts.</w:t>
      </w:r>
    </w:p>
    <w:p>
      <w:pPr>
        <w:pStyle w:val="ListBody"/>
        <w:ind w:left="490" w:hanging="331"/>
      </w:pPr>
      <w:r>
        <w:rPr>
          <w:b/>
        </w:rPr>
        <w:t xml:space="preserve">• </w:t>
      </w:r>
      <w:r>
        <w:t>Monthly trend.</w:t>
      </w:r>
    </w:p>
    <w:p>
      <w:pPr>
        <w:pStyle w:val="ListBody"/>
        <w:ind w:left="490" w:hanging="331"/>
      </w:pPr>
      <w:r>
        <w:rPr>
          <w:b/>
        </w:rPr>
        <w:t xml:space="preserve">• </w:t>
      </w:r>
      <w:r>
        <w:t>Governance state.</w:t>
      </w:r>
    </w:p>
    <w:p>
      <w:pPr>
        <w:pStyle w:val="ListBody"/>
        <w:ind w:left="490" w:hanging="331"/>
      </w:pPr>
      <w:r>
        <w:rPr>
          <w:b/>
        </w:rPr>
        <w:t xml:space="preserve">• </w:t>
      </w:r>
      <w:r>
        <w:t>Liquidity.</w:t>
      </w:r>
    </w:p>
    <w:p>
      <w:pPr/>
      <w:r>
        <w:t>A quant-only company may receive:</w:t>
      </w:r>
    </w:p>
    <w:p>
      <w:pPr/>
      <w:r>
        <w:t>ACCUMULATE — RESEARCH PENDING</w:t>
      </w:r>
    </w:p>
    <w:p>
      <w:pPr/>
      <w:r>
        <w:t>It must not receive maximum long-term conviction without full research.</w:t>
      </w:r>
    </w:p>
    <w:p>
      <w:pPr>
        <w:spacing w:after="0"/>
      </w:pPr>
      <w:r/>
    </w:p>
    <w:p>
      <w:pPr>
        <w:pStyle w:val="Heading1"/>
        <w:pBdr>
          <w:bottom w:val="single" w:sz="4" w:space="5" w:color="7A9AAA"/>
        </w:pBdr>
        <w:keepNext/>
      </w:pPr>
      <w:r>
        <w:t>64. Long-Term Investment Engine</w:t>
      </w:r>
    </w:p>
    <w:p>
      <w:pPr/>
      <w:r>
        <w:t>Requires:</w:t>
      </w:r>
    </w:p>
    <w:p>
      <w:pPr>
        <w:pStyle w:val="ListBody"/>
        <w:ind w:left="490" w:hanging="331"/>
      </w:pPr>
      <w:r>
        <w:rPr>
          <w:b/>
        </w:rPr>
        <w:t xml:space="preserve">• </w:t>
      </w:r>
      <w:r>
        <w:t>Full research.</w:t>
      </w:r>
    </w:p>
    <w:p>
      <w:pPr>
        <w:pStyle w:val="ListBody"/>
        <w:ind w:left="490" w:hanging="331"/>
      </w:pPr>
      <w:r>
        <w:rPr>
          <w:b/>
        </w:rPr>
        <w:t xml:space="preserve">• </w:t>
      </w:r>
      <w:r>
        <w:t>Evidence ledger.</w:t>
      </w:r>
    </w:p>
    <w:p>
      <w:pPr>
        <w:pStyle w:val="ListBody"/>
        <w:ind w:left="490" w:hanging="331"/>
      </w:pPr>
      <w:r>
        <w:rPr>
          <w:b/>
        </w:rPr>
        <w:t xml:space="preserve">• </w:t>
      </w:r>
      <w:r>
        <w:t>Forecast.</w:t>
      </w:r>
    </w:p>
    <w:p>
      <w:pPr>
        <w:pStyle w:val="ListBody"/>
        <w:ind w:left="490" w:hanging="331"/>
      </w:pPr>
      <w:r>
        <w:rPr>
          <w:b/>
        </w:rPr>
        <w:t xml:space="preserve">• </w:t>
      </w:r>
      <w:r>
        <w:t>Scenario valuation.</w:t>
      </w:r>
    </w:p>
    <w:p>
      <w:pPr>
        <w:pStyle w:val="ListBody"/>
        <w:ind w:left="490" w:hanging="331"/>
      </w:pPr>
      <w:r>
        <w:rPr>
          <w:b/>
        </w:rPr>
        <w:t xml:space="preserve">• </w:t>
      </w:r>
      <w:r>
        <w:t>Governance assessment.</w:t>
      </w:r>
    </w:p>
    <w:p>
      <w:pPr>
        <w:pStyle w:val="ListBody"/>
        <w:ind w:left="490" w:hanging="331"/>
      </w:pPr>
      <w:r>
        <w:rPr>
          <w:b/>
        </w:rPr>
        <w:t xml:space="preserve">• </w:t>
      </w:r>
      <w:r>
        <w:t>Capital-allocation analysis.</w:t>
      </w:r>
    </w:p>
    <w:p>
      <w:pPr>
        <w:pStyle w:val="ListBody"/>
        <w:ind w:left="490" w:hanging="331"/>
      </w:pPr>
      <w:r>
        <w:rPr>
          <w:b/>
        </w:rPr>
        <w:t xml:space="preserve">• </w:t>
      </w:r>
      <w:r>
        <w:t>Research Confidence.</w:t>
      </w:r>
    </w:p>
    <w:p>
      <w:pPr>
        <w:pStyle w:val="ListBody"/>
        <w:ind w:left="490" w:hanging="331"/>
      </w:pPr>
      <w:r>
        <w:rPr>
          <w:b/>
        </w:rPr>
        <w:t xml:space="preserve">• </w:t>
      </w:r>
      <w:r>
        <w:t>Thesis invalidators.</w:t>
      </w:r>
    </w:p>
    <w:p>
      <w:pPr>
        <w:pStyle w:val="ListBody"/>
        <w:ind w:left="490" w:hanging="331"/>
      </w:pPr>
      <w:r>
        <w:rPr>
          <w:b/>
        </w:rPr>
        <w:t xml:space="preserve">• </w:t>
      </w:r>
      <w:r>
        <w:t>Portfolio suitability.</w:t>
      </w:r>
    </w:p>
    <w:p>
      <w:pPr/>
      <w:r>
        <w:t>A daily technical breakdown alone must not automatically close a long-term investment.</w:t>
      </w:r>
    </w:p>
    <w:p>
      <w:pPr/>
      <w:r>
        <w:t>Primary exit conditions:</w:t>
      </w:r>
    </w:p>
    <w:p>
      <w:pPr>
        <w:pStyle w:val="ListBody"/>
        <w:ind w:left="490" w:hanging="331"/>
      </w:pPr>
      <w:r>
        <w:rPr>
          <w:b/>
        </w:rPr>
        <w:t xml:space="preserve">• </w:t>
      </w:r>
      <w:r>
        <w:t>Thesis invalidation.</w:t>
      </w:r>
    </w:p>
    <w:p>
      <w:pPr>
        <w:pStyle w:val="ListBody"/>
        <w:ind w:left="490" w:hanging="331"/>
      </w:pPr>
      <w:r>
        <w:rPr>
          <w:b/>
        </w:rPr>
        <w:t xml:space="preserve">• </w:t>
      </w:r>
      <w:r>
        <w:t>Integrity failure.</w:t>
      </w:r>
    </w:p>
    <w:p>
      <w:pPr>
        <w:pStyle w:val="ListBody"/>
        <w:ind w:left="490" w:hanging="331"/>
      </w:pPr>
      <w:r>
        <w:rPr>
          <w:b/>
        </w:rPr>
        <w:t xml:space="preserve">• </w:t>
      </w:r>
      <w:r>
        <w:t>Accounting unreliability.</w:t>
      </w:r>
    </w:p>
    <w:p>
      <w:pPr>
        <w:pStyle w:val="ListBody"/>
        <w:ind w:left="490" w:hanging="331"/>
      </w:pPr>
      <w:r>
        <w:rPr>
          <w:b/>
        </w:rPr>
        <w:t xml:space="preserve">• </w:t>
      </w:r>
      <w:r>
        <w:t>Structural moat erosion.</w:t>
      </w:r>
    </w:p>
    <w:p>
      <w:pPr>
        <w:pStyle w:val="ListBody"/>
        <w:ind w:left="490" w:hanging="331"/>
      </w:pPr>
      <w:r>
        <w:rPr>
          <w:b/>
        </w:rPr>
        <w:t xml:space="preserve">• </w:t>
      </w:r>
      <w:r>
        <w:t>Permanent-capital impairment.</w:t>
      </w:r>
    </w:p>
    <w:p>
      <w:pPr>
        <w:pStyle w:val="ListBody"/>
        <w:ind w:left="490" w:hanging="331"/>
      </w:pPr>
      <w:r>
        <w:rPr>
          <w:b/>
        </w:rPr>
        <w:t xml:space="preserve">• </w:t>
      </w:r>
      <w:r>
        <w:t>Unsustainable leverage.</w:t>
      </w:r>
    </w:p>
    <w:p>
      <w:pPr>
        <w:pStyle w:val="ListBody"/>
        <w:ind w:left="490" w:hanging="331"/>
      </w:pPr>
      <w:r>
        <w:rPr>
          <w:b/>
        </w:rPr>
        <w:t xml:space="preserve">• </w:t>
      </w:r>
      <w:r>
        <w:t>Expected return below alternatives.</w:t>
      </w:r>
    </w:p>
    <w:p>
      <w:pPr>
        <w:pStyle w:val="ListBody"/>
        <w:ind w:left="490" w:hanging="331"/>
      </w:pPr>
      <w:r>
        <w:rPr>
          <w:b/>
        </w:rPr>
        <w:t xml:space="preserve">• </w:t>
      </w:r>
      <w:r>
        <w:t>Severe overvaluation unsupported by fundamentals.</w:t>
      </w:r>
    </w:p>
    <w:p>
      <w:pPr>
        <w:spacing w:after="0"/>
      </w:pPr>
      <w:r/>
    </w:p>
    <w:p>
      <w:pPr>
        <w:pStyle w:val="Heading1"/>
        <w:pBdr>
          <w:bottom w:val="single" w:sz="4" w:space="5" w:color="7A9AAA"/>
        </w:pBdr>
        <w:keepNext/>
      </w:pPr>
      <w:r>
        <w:t>65. Market and sector regime engine</w:t>
      </w:r>
    </w:p>
    <w:p>
      <w:pPr/>
      <w:r>
        <w:t>Regime states:</w:t>
      </w:r>
    </w:p>
    <w:p>
      <w:pPr>
        <w:pStyle w:val="ListBody"/>
        <w:ind w:left="490" w:hanging="331"/>
      </w:pPr>
      <w:r>
        <w:rPr>
          <w:b/>
        </w:rPr>
        <w:t xml:space="preserve">• </w:t>
      </w:r>
      <w:r>
        <w:t>Strong Bull.</w:t>
      </w:r>
    </w:p>
    <w:p>
      <w:pPr>
        <w:pStyle w:val="ListBody"/>
        <w:ind w:left="490" w:hanging="331"/>
      </w:pPr>
      <w:r>
        <w:rPr>
          <w:b/>
        </w:rPr>
        <w:t xml:space="preserve">• </w:t>
      </w:r>
      <w:r>
        <w:t>Bull.</w:t>
      </w:r>
    </w:p>
    <w:p>
      <w:pPr>
        <w:pStyle w:val="ListBody"/>
        <w:ind w:left="490" w:hanging="331"/>
      </w:pPr>
      <w:r>
        <w:rPr>
          <w:b/>
        </w:rPr>
        <w:t xml:space="preserve">• </w:t>
      </w:r>
      <w:r>
        <w:t>Neutral.</w:t>
      </w:r>
    </w:p>
    <w:p>
      <w:pPr>
        <w:pStyle w:val="ListBody"/>
        <w:ind w:left="490" w:hanging="331"/>
      </w:pPr>
      <w:r>
        <w:rPr>
          <w:b/>
        </w:rPr>
        <w:t xml:space="preserve">• </w:t>
      </w:r>
      <w:r>
        <w:t>Range.</w:t>
      </w:r>
    </w:p>
    <w:p>
      <w:pPr>
        <w:pStyle w:val="ListBody"/>
        <w:ind w:left="490" w:hanging="331"/>
      </w:pPr>
      <w:r>
        <w:rPr>
          <w:b/>
        </w:rPr>
        <w:t xml:space="preserve">• </w:t>
      </w:r>
      <w:r>
        <w:t>Bear.</w:t>
      </w:r>
    </w:p>
    <w:p>
      <w:pPr>
        <w:pStyle w:val="ListBody"/>
        <w:ind w:left="490" w:hanging="331"/>
      </w:pPr>
      <w:r>
        <w:rPr>
          <w:b/>
        </w:rPr>
        <w:t xml:space="preserve">• </w:t>
      </w:r>
      <w:r>
        <w:t>Strong Bear.</w:t>
      </w:r>
    </w:p>
    <w:p>
      <w:pPr>
        <w:pStyle w:val="ListBody"/>
        <w:ind w:left="490" w:hanging="331"/>
      </w:pPr>
      <w:r>
        <w:rPr>
          <w:b/>
        </w:rPr>
        <w:t xml:space="preserve">• </w:t>
      </w:r>
      <w:r>
        <w:t>High-Volatility Crisis.</w:t>
      </w:r>
    </w:p>
    <w:p>
      <w:pPr/>
      <w:r>
        <w:t>Inputs:</w:t>
      </w:r>
    </w:p>
    <w:p>
      <w:pPr>
        <w:pStyle w:val="ListBody"/>
        <w:ind w:left="490" w:hanging="331"/>
      </w:pPr>
      <w:r>
        <w:rPr>
          <w:b/>
        </w:rPr>
        <w:t xml:space="preserve">• </w:t>
      </w:r>
      <w:r>
        <w:t>Benchmark relative to medium- and long-term averages.</w:t>
      </w:r>
    </w:p>
    <w:p>
      <w:pPr>
        <w:pStyle w:val="ListBody"/>
        <w:ind w:left="490" w:hanging="331"/>
      </w:pPr>
      <w:r>
        <w:rPr>
          <w:b/>
        </w:rPr>
        <w:t xml:space="preserve">• </w:t>
      </w:r>
      <w:r>
        <w:t>Weekly benchmark trend.</w:t>
      </w:r>
    </w:p>
    <w:p>
      <w:pPr>
        <w:pStyle w:val="ListBody"/>
        <w:ind w:left="490" w:hanging="331"/>
      </w:pPr>
      <w:r>
        <w:rPr>
          <w:b/>
        </w:rPr>
        <w:t xml:space="preserve">• </w:t>
      </w:r>
      <w:r>
        <w:t>Monthly benchmark trend.</w:t>
      </w:r>
    </w:p>
    <w:p>
      <w:pPr>
        <w:pStyle w:val="ListBody"/>
        <w:ind w:left="490" w:hanging="331"/>
      </w:pPr>
      <w:r>
        <w:rPr>
          <w:b/>
        </w:rPr>
        <w:t xml:space="preserve">• </w:t>
      </w:r>
      <w:r>
        <w:t>Market breadth.</w:t>
      </w:r>
    </w:p>
    <w:p>
      <w:pPr>
        <w:pStyle w:val="ListBody"/>
        <w:ind w:left="490" w:hanging="331"/>
      </w:pPr>
      <w:r>
        <w:rPr>
          <w:b/>
        </w:rPr>
        <w:t xml:space="preserve">• </w:t>
      </w:r>
      <w:r>
        <w:t>Sector breadth.</w:t>
      </w:r>
    </w:p>
    <w:p>
      <w:pPr>
        <w:pStyle w:val="ListBody"/>
        <w:ind w:left="490" w:hanging="331"/>
      </w:pPr>
      <w:r>
        <w:rPr>
          <w:b/>
        </w:rPr>
        <w:t xml:space="preserve">• </w:t>
      </w:r>
      <w:r>
        <w:t>Volatility index.</w:t>
      </w:r>
    </w:p>
    <w:p>
      <w:pPr>
        <w:pStyle w:val="ListBody"/>
        <w:ind w:left="490" w:hanging="331"/>
      </w:pPr>
      <w:r>
        <w:rPr>
          <w:b/>
        </w:rPr>
        <w:t xml:space="preserve">• </w:t>
      </w:r>
      <w:r>
        <w:t>Drawdown.</w:t>
      </w:r>
    </w:p>
    <w:p>
      <w:pPr>
        <w:pStyle w:val="ListBody"/>
        <w:ind w:left="490" w:hanging="331"/>
      </w:pPr>
      <w:r>
        <w:rPr>
          <w:b/>
        </w:rPr>
        <w:t xml:space="preserve">• </w:t>
      </w:r>
      <w:r>
        <w:t>Correlation.</w:t>
      </w:r>
    </w:p>
    <w:p>
      <w:pPr>
        <w:pStyle w:val="ListBody"/>
        <w:ind w:left="490" w:hanging="331"/>
      </w:pPr>
      <w:r>
        <w:rPr>
          <w:b/>
        </w:rPr>
        <w:t xml:space="preserve">• </w:t>
      </w:r>
      <w:r>
        <w:t>Liquidity.</w:t>
      </w:r>
    </w:p>
    <w:p>
      <w:pPr>
        <w:pStyle w:val="ListBody"/>
        <w:ind w:left="490" w:hanging="331"/>
      </w:pPr>
      <w:r>
        <w:rPr>
          <w:b/>
        </w:rPr>
        <w:t xml:space="preserve">• </w:t>
      </w:r>
      <w:r>
        <w:t>Advance-decline measures where available.</w:t>
      </w:r>
    </w:p>
    <w:p>
      <w:pPr/>
      <w:r>
        <w:t>Regime influence by horizon:</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blHeader w:val="true"/>
        </w:trPr>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Horizon</w:t>
            </w:r>
          </w:p>
        </w:tc>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Bear-market impact</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Daily</w:t>
            </w:r>
          </w:p>
        </w:tc>
        <w:tc>
          <w:tcPr>
            <w:tcW w:type="dxa" w:w="4997"/>
            <w:vAlign w:val="center"/>
            <w:tcMar>
              <w:top w:w="55" w:type="dxa"/>
              <w:start w:w="65" w:type="dxa"/>
              <w:bottom w:w="55" w:type="dxa"/>
              <w:end w:w="65" w:type="dxa"/>
            </w:tcMar>
          </w:tcPr>
          <w:p>
            <w:pPr>
              <w:spacing w:after="0"/>
            </w:pPr>
            <w:r>
              <w:rPr>
                <w:rFonts w:ascii="Cambria" w:hAnsi="Cambria"/>
                <w:sz w:val="18"/>
              </w:rPr>
              <w:t>Strong penalty</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Weekly</w:t>
            </w:r>
          </w:p>
        </w:tc>
        <w:tc>
          <w:tcPr>
            <w:tcW w:type="dxa" w:w="4997"/>
            <w:vAlign w:val="center"/>
            <w:tcMar>
              <w:top w:w="55" w:type="dxa"/>
              <w:start w:w="65" w:type="dxa"/>
              <w:bottom w:w="55" w:type="dxa"/>
              <w:end w:w="65" w:type="dxa"/>
            </w:tcMar>
            <w:shd w:fill="F8FAFB"/>
          </w:tcPr>
          <w:p>
            <w:pPr>
              <w:spacing w:after="0"/>
            </w:pPr>
            <w:r>
              <w:rPr>
                <w:rFonts w:ascii="Cambria" w:hAnsi="Cambria"/>
                <w:sz w:val="18"/>
              </w:rPr>
              <w:t>Moderate-to-strong penalty</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Monthly</w:t>
            </w:r>
          </w:p>
        </w:tc>
        <w:tc>
          <w:tcPr>
            <w:tcW w:type="dxa" w:w="4997"/>
            <w:vAlign w:val="center"/>
            <w:tcMar>
              <w:top w:w="55" w:type="dxa"/>
              <w:start w:w="65" w:type="dxa"/>
              <w:bottom w:w="55" w:type="dxa"/>
              <w:end w:w="65" w:type="dxa"/>
            </w:tcMar>
          </w:tcPr>
          <w:p>
            <w:pPr>
              <w:spacing w:after="0"/>
            </w:pPr>
            <w:r>
              <w:rPr>
                <w:rFonts w:ascii="Cambria" w:hAnsi="Cambria"/>
                <w:sz w:val="18"/>
              </w:rPr>
              <w:t>Moderate penalty</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Medium</w:t>
            </w:r>
          </w:p>
        </w:tc>
        <w:tc>
          <w:tcPr>
            <w:tcW w:type="dxa" w:w="4997"/>
            <w:vAlign w:val="center"/>
            <w:tcMar>
              <w:top w:w="55" w:type="dxa"/>
              <w:start w:w="65" w:type="dxa"/>
              <w:bottom w:w="55" w:type="dxa"/>
              <w:end w:w="65" w:type="dxa"/>
            </w:tcMar>
            <w:shd w:fill="F8FAFB"/>
          </w:tcPr>
          <w:p>
            <w:pPr>
              <w:spacing w:after="0"/>
            </w:pPr>
            <w:r>
              <w:rPr>
                <w:rFonts w:ascii="Cambria" w:hAnsi="Cambria"/>
                <w:sz w:val="18"/>
              </w:rPr>
              <w:t>Small penalty plus staged entry</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Long</w:t>
            </w:r>
          </w:p>
        </w:tc>
        <w:tc>
          <w:tcPr>
            <w:tcW w:type="dxa" w:w="4997"/>
            <w:vAlign w:val="center"/>
            <w:tcMar>
              <w:top w:w="55" w:type="dxa"/>
              <w:start w:w="65" w:type="dxa"/>
              <w:bottom w:w="55" w:type="dxa"/>
              <w:end w:w="65" w:type="dxa"/>
            </w:tcMar>
          </w:tcPr>
          <w:p>
            <w:pPr>
              <w:spacing w:after="0"/>
            </w:pPr>
            <w:r>
              <w:rPr>
                <w:rFonts w:ascii="Cambria" w:hAnsi="Cambria"/>
                <w:sz w:val="18"/>
              </w:rPr>
              <w:t>Entry-staging adjustment, not automatic rejection</w:t>
            </w:r>
          </w:p>
        </w:tc>
      </w:tr>
    </w:tbl>
    <w:p>
      <w:pPr>
        <w:spacing w:after="20"/>
      </w:pPr>
    </w:p>
    <w:p>
      <w:pPr>
        <w:spacing w:after="0"/>
      </w:pPr>
      <w:r/>
    </w:p>
    <w:p>
      <w:pPr>
        <w:pStyle w:val="Heading1"/>
        <w:pBdr>
          <w:bottom w:val="single" w:sz="4" w:space="5" w:color="7A9AAA"/>
        </w:pBdr>
        <w:keepNext/>
      </w:pPr>
      <w:r>
        <w:t>66. Catalyst engine</w:t>
      </w:r>
    </w:p>
    <w:p>
      <w:pPr/>
      <w:r>
        <w:t>Catalyst records:</w:t>
      </w:r>
    </w:p>
    <w:p>
      <w:pPr/>
      <w:r>
        <w:t>catalyst_type</w:t>
        <w:br/>
        <w:t>expected_date</w:t>
        <w:br/>
        <w:t>horizon</w:t>
        <w:br/>
        <w:t>probability</w:t>
        <w:br/>
        <w:t>estimated_impact</w:t>
        <w:br/>
        <w:t>source</w:t>
        <w:br/>
        <w:t>source_grade</w:t>
        <w:br/>
        <w:t>status</w:t>
        <w:br/>
        <w:t>already_priced_probability</w:t>
        <w:br/>
        <w:t>expiry_date</w:t>
      </w:r>
    </w:p>
    <w:p>
      <w:pPr/>
      <w:r>
        <w:t>Possible catalysts:</w:t>
      </w:r>
    </w:p>
    <w:p>
      <w:pPr>
        <w:pStyle w:val="ListBody"/>
        <w:ind w:left="490" w:hanging="331"/>
      </w:pPr>
      <w:r>
        <w:rPr>
          <w:b/>
        </w:rPr>
        <w:t xml:space="preserve">• </w:t>
      </w:r>
      <w:r>
        <w:t>Capacity commissioning.</w:t>
      </w:r>
    </w:p>
    <w:p>
      <w:pPr>
        <w:pStyle w:val="ListBody"/>
        <w:ind w:left="490" w:hanging="331"/>
      </w:pPr>
      <w:r>
        <w:rPr>
          <w:b/>
        </w:rPr>
        <w:t xml:space="preserve">• </w:t>
      </w:r>
      <w:r>
        <w:t>Product launch.</w:t>
      </w:r>
    </w:p>
    <w:p>
      <w:pPr>
        <w:pStyle w:val="ListBody"/>
        <w:ind w:left="490" w:hanging="331"/>
      </w:pPr>
      <w:r>
        <w:rPr>
          <w:b/>
        </w:rPr>
        <w:t xml:space="preserve">• </w:t>
      </w:r>
      <w:r>
        <w:t>Regulatory approval.</w:t>
      </w:r>
    </w:p>
    <w:p>
      <w:pPr>
        <w:pStyle w:val="ListBody"/>
        <w:ind w:left="490" w:hanging="331"/>
      </w:pPr>
      <w:r>
        <w:rPr>
          <w:b/>
        </w:rPr>
        <w:t xml:space="preserve">• </w:t>
      </w:r>
      <w:r>
        <w:t>Debt reduction.</w:t>
      </w:r>
    </w:p>
    <w:p>
      <w:pPr>
        <w:pStyle w:val="ListBody"/>
        <w:ind w:left="490" w:hanging="331"/>
      </w:pPr>
      <w:r>
        <w:rPr>
          <w:b/>
        </w:rPr>
        <w:t xml:space="preserve">• </w:t>
      </w:r>
      <w:r>
        <w:t>Margin recovery.</w:t>
      </w:r>
    </w:p>
    <w:p>
      <w:pPr>
        <w:pStyle w:val="ListBody"/>
        <w:ind w:left="490" w:hanging="331"/>
      </w:pPr>
      <w:r>
        <w:rPr>
          <w:b/>
        </w:rPr>
        <w:t xml:space="preserve">• </w:t>
      </w:r>
      <w:r>
        <w:t>Demerger.</w:t>
      </w:r>
    </w:p>
    <w:p>
      <w:pPr>
        <w:pStyle w:val="ListBody"/>
        <w:ind w:left="490" w:hanging="331"/>
      </w:pPr>
      <w:r>
        <w:rPr>
          <w:b/>
        </w:rPr>
        <w:t xml:space="preserve">• </w:t>
      </w:r>
      <w:r>
        <w:t>Asset sale.</w:t>
      </w:r>
    </w:p>
    <w:p>
      <w:pPr>
        <w:pStyle w:val="ListBody"/>
        <w:ind w:left="490" w:hanging="331"/>
      </w:pPr>
      <w:r>
        <w:rPr>
          <w:b/>
        </w:rPr>
        <w:t xml:space="preserve">• </w:t>
      </w:r>
      <w:r>
        <w:t>Order execution.</w:t>
      </w:r>
    </w:p>
    <w:p>
      <w:pPr>
        <w:pStyle w:val="ListBody"/>
        <w:ind w:left="490" w:hanging="331"/>
      </w:pPr>
      <w:r>
        <w:rPr>
          <w:b/>
        </w:rPr>
        <w:t xml:space="preserve">• </w:t>
      </w:r>
      <w:r>
        <w:t>Commodity-cycle improvement.</w:t>
      </w:r>
    </w:p>
    <w:p>
      <w:pPr>
        <w:pStyle w:val="ListBody"/>
        <w:ind w:left="490" w:hanging="331"/>
      </w:pPr>
      <w:r>
        <w:rPr>
          <w:b/>
        </w:rPr>
        <w:t xml:space="preserve">• </w:t>
      </w:r>
      <w:r>
        <w:t>Rate changes.</w:t>
      </w:r>
    </w:p>
    <w:p>
      <w:pPr>
        <w:pStyle w:val="ListBody"/>
        <w:ind w:left="490" w:hanging="331"/>
      </w:pPr>
      <w:r>
        <w:rPr>
          <w:b/>
        </w:rPr>
        <w:t xml:space="preserve">• </w:t>
      </w:r>
      <w:r>
        <w:t>Index inclusion.</w:t>
      </w:r>
    </w:p>
    <w:p>
      <w:pPr>
        <w:pStyle w:val="ListBody"/>
        <w:ind w:left="490" w:hanging="331"/>
      </w:pPr>
      <w:r>
        <w:rPr>
          <w:b/>
        </w:rPr>
        <w:t xml:space="preserve">• </w:t>
      </w:r>
      <w:r>
        <w:t>Management change.</w:t>
      </w:r>
    </w:p>
    <w:p>
      <w:pPr>
        <w:pStyle w:val="ListBody"/>
        <w:ind w:left="490" w:hanging="331"/>
      </w:pPr>
      <w:r>
        <w:rPr>
          <w:b/>
        </w:rPr>
        <w:t xml:space="preserve">• </w:t>
      </w:r>
      <w:r>
        <w:t>Distribution expansion.</w:t>
      </w:r>
    </w:p>
    <w:p>
      <w:pPr/>
      <w:r>
        <w:t>Expired or failed catalysts must be removed or penalized.</w:t>
      </w:r>
    </w:p>
    <w:p>
      <w:pPr>
        <w:spacing w:after="0"/>
      </w:pPr>
      <w:r/>
    </w:p>
    <w:p>
      <w:pPr>
        <w:pStyle w:val="Heading1"/>
        <w:pBdr>
          <w:bottom w:val="single" w:sz="4" w:space="5" w:color="7A9AAA"/>
        </w:pBdr>
        <w:keepNext/>
      </w:pPr>
      <w:r>
        <w:t>67. Cross-horizon conflict resolution</w:t>
      </w:r>
    </w:p>
    <w:p>
      <w:pPr/>
      <w:r>
        <w:t>Priority:</w:t>
      </w:r>
    </w:p>
    <w:p>
      <w:pPr/>
      <w:r>
        <w:t>Hard Gate</w:t>
        <w:br/>
        <w:t>→ Long-Term Thesis Risk</w:t>
        <w:br/>
        <w:t>→ Portfolio Risk</w:t>
        <w:br/>
        <w:t>→ Medium-Term Fundamentals</w:t>
        <w:br/>
        <w:t>→ Monthly Position</w:t>
        <w:br/>
        <w:t>→ Weekly Swing</w:t>
        <w:br/>
        <w:t>→ Daily Tactical</w:t>
      </w:r>
    </w:p>
    <w:p>
      <w:pPr/>
      <w:r>
        <w:t>Examples:</w:t>
      </w:r>
    </w:p>
    <w:p>
      <w:pPr>
        <w:pStyle w:val="Heading2"/>
        <w:keepNext/>
      </w:pPr>
      <w:r>
        <w:t>Long-term Buy, daily Reduce</w:t>
      </w:r>
    </w:p>
    <w:p>
      <w:pPr/>
      <w:r>
        <w:t>Output:</w:t>
      </w:r>
    </w:p>
    <w:p>
      <w:pPr>
        <w:pStyle w:val="ListBody"/>
        <w:ind w:left="490" w:hanging="331"/>
      </w:pPr>
      <w:r>
        <w:rPr>
          <w:b/>
        </w:rPr>
        <w:t xml:space="preserve">• </w:t>
      </w:r>
      <w:r>
        <w:t>Long-term thesis remains active.</w:t>
      </w:r>
    </w:p>
    <w:p>
      <w:pPr>
        <w:pStyle w:val="ListBody"/>
        <w:ind w:left="490" w:hanging="331"/>
      </w:pPr>
      <w:r>
        <w:rPr>
          <w:b/>
        </w:rPr>
        <w:t xml:space="preserve">• </w:t>
      </w:r>
      <w:r>
        <w:t>Do not add tactically.</w:t>
      </w:r>
    </w:p>
    <w:p>
      <w:pPr>
        <w:pStyle w:val="ListBody"/>
        <w:ind w:left="490" w:hanging="331"/>
      </w:pPr>
      <w:r>
        <w:rPr>
          <w:b/>
        </w:rPr>
        <w:t xml:space="preserve">• </w:t>
      </w:r>
      <w:r>
        <w:t>Consider waiting for stabilization.</w:t>
      </w:r>
    </w:p>
    <w:p>
      <w:pPr>
        <w:pStyle w:val="ListBody"/>
        <w:ind w:left="490" w:hanging="331"/>
      </w:pPr>
      <w:r>
        <w:rPr>
          <w:b/>
        </w:rPr>
        <w:t xml:space="preserve">• </w:t>
      </w:r>
      <w:r>
        <w:t>Existing holding may remain subject to risk limits.</w:t>
      </w:r>
    </w:p>
    <w:p>
      <w:pPr>
        <w:pStyle w:val="Heading2"/>
        <w:keepNext/>
      </w:pPr>
      <w:r>
        <w:t>Long-term Hold, daily Buy</w:t>
      </w:r>
    </w:p>
    <w:p>
      <w:pPr/>
      <w:r>
        <w:t>Output:</w:t>
      </w:r>
    </w:p>
    <w:p>
      <w:pPr>
        <w:pStyle w:val="ListBody"/>
        <w:ind w:left="490" w:hanging="331"/>
      </w:pPr>
      <w:r>
        <w:rPr>
          <w:b/>
        </w:rPr>
        <w:t xml:space="preserve">• </w:t>
      </w:r>
      <w:r>
        <w:t>Tactical trade may be allowed.</w:t>
      </w:r>
    </w:p>
    <w:p>
      <w:pPr>
        <w:pStyle w:val="ListBody"/>
        <w:ind w:left="490" w:hanging="331"/>
      </w:pPr>
      <w:r>
        <w:rPr>
          <w:b/>
        </w:rPr>
        <w:t xml:space="preserve">• </w:t>
      </w:r>
      <w:r>
        <w:t>No long-term conviction upgrade.</w:t>
      </w:r>
    </w:p>
    <w:p>
      <w:pPr>
        <w:pStyle w:val="ListBody"/>
        <w:ind w:left="490" w:hanging="331"/>
      </w:pPr>
      <w:r>
        <w:rPr>
          <w:b/>
        </w:rPr>
        <w:t xml:space="preserve">• </w:t>
      </w:r>
      <w:r>
        <w:t>Position belongs to Daily Tactical bucket.</w:t>
      </w:r>
    </w:p>
    <w:p>
      <w:pPr>
        <w:pStyle w:val="Heading2"/>
        <w:keepNext/>
      </w:pPr>
      <w:r>
        <w:t>Long-term Avoid, daily Buy</w:t>
      </w:r>
    </w:p>
    <w:p>
      <w:pPr/>
      <w:r>
        <w:t>Output:</w:t>
      </w:r>
    </w:p>
    <w:p>
      <w:pPr>
        <w:pStyle w:val="ListBody"/>
        <w:ind w:left="490" w:hanging="331"/>
      </w:pPr>
      <w:r>
        <w:rPr>
          <w:b/>
        </w:rPr>
        <w:t xml:space="preserve">• </w:t>
      </w:r>
      <w:r>
        <w:t>Cash investment blocked.</w:t>
      </w:r>
    </w:p>
    <w:p>
      <w:pPr>
        <w:pStyle w:val="ListBody"/>
        <w:ind w:left="490" w:hanging="331"/>
      </w:pPr>
      <w:r>
        <w:rPr>
          <w:b/>
        </w:rPr>
        <w:t xml:space="preserve">• </w:t>
      </w:r>
      <w:r>
        <w:t>Optional derivative trade only when explicitly enabled.</w:t>
      </w:r>
    </w:p>
    <w:p>
      <w:pPr>
        <w:pStyle w:val="ListBody"/>
        <w:ind w:left="490" w:hanging="331"/>
      </w:pPr>
      <w:r>
        <w:rPr>
          <w:b/>
        </w:rPr>
        <w:t xml:space="preserve">• </w:t>
      </w:r>
      <w:r>
        <w:t>High-risk warning displayed.</w:t>
      </w:r>
    </w:p>
    <w:p>
      <w:pPr/>
      <w:r>
        <w:t>Every position must have one declared horizon.</w:t>
      </w:r>
    </w:p>
    <w:p>
      <w:pPr>
        <w:spacing w:after="0"/>
      </w:pPr>
      <w:r/>
    </w:p>
    <w:p>
      <w:pPr>
        <w:pStyle w:val="Heading1"/>
        <w:pBdr>
          <w:bottom w:val="single" w:sz="4" w:space="5" w:color="7A9AAA"/>
        </w:pBdr>
        <w:keepNext/>
      </w:pPr>
      <w:r>
        <w:t>68. Signal expiry and cooldown</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blHeader w:val="true"/>
        </w:trPr>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Horizon</w:t>
            </w:r>
          </w:p>
        </w:tc>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Default validity</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Daily</w:t>
            </w:r>
          </w:p>
        </w:tc>
        <w:tc>
          <w:tcPr>
            <w:tcW w:type="dxa" w:w="4997"/>
            <w:vAlign w:val="center"/>
            <w:tcMar>
              <w:top w:w="55" w:type="dxa"/>
              <w:start w:w="65" w:type="dxa"/>
              <w:bottom w:w="55" w:type="dxa"/>
              <w:end w:w="65" w:type="dxa"/>
            </w:tcMar>
          </w:tcPr>
          <w:p>
            <w:pPr>
              <w:spacing w:after="0"/>
            </w:pPr>
            <w:r>
              <w:rPr>
                <w:rFonts w:ascii="Cambria" w:hAnsi="Cambria"/>
                <w:sz w:val="18"/>
              </w:rPr>
              <w:t>3 sessions</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Weekly</w:t>
            </w:r>
          </w:p>
        </w:tc>
        <w:tc>
          <w:tcPr>
            <w:tcW w:type="dxa" w:w="4997"/>
            <w:vAlign w:val="center"/>
            <w:tcMar>
              <w:top w:w="55" w:type="dxa"/>
              <w:start w:w="65" w:type="dxa"/>
              <w:bottom w:w="55" w:type="dxa"/>
              <w:end w:w="65" w:type="dxa"/>
            </w:tcMar>
            <w:shd w:fill="F8FAFB"/>
          </w:tcPr>
          <w:p>
            <w:pPr>
              <w:spacing w:after="0"/>
            </w:pPr>
            <w:r>
              <w:rPr>
                <w:rFonts w:ascii="Cambria" w:hAnsi="Cambria"/>
                <w:sz w:val="18"/>
              </w:rPr>
              <w:t>2 weeks</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Monthly</w:t>
            </w:r>
          </w:p>
        </w:tc>
        <w:tc>
          <w:tcPr>
            <w:tcW w:type="dxa" w:w="4997"/>
            <w:vAlign w:val="center"/>
            <w:tcMar>
              <w:top w:w="55" w:type="dxa"/>
              <w:start w:w="65" w:type="dxa"/>
              <w:bottom w:w="55" w:type="dxa"/>
              <w:end w:w="65" w:type="dxa"/>
            </w:tcMar>
          </w:tcPr>
          <w:p>
            <w:pPr>
              <w:spacing w:after="0"/>
            </w:pPr>
            <w:r>
              <w:rPr>
                <w:rFonts w:ascii="Cambria" w:hAnsi="Cambria"/>
                <w:sz w:val="18"/>
              </w:rPr>
              <w:t>1 month</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Medium</w:t>
            </w:r>
          </w:p>
        </w:tc>
        <w:tc>
          <w:tcPr>
            <w:tcW w:type="dxa" w:w="4997"/>
            <w:vAlign w:val="center"/>
            <w:tcMar>
              <w:top w:w="55" w:type="dxa"/>
              <w:start w:w="65" w:type="dxa"/>
              <w:bottom w:w="55" w:type="dxa"/>
              <w:end w:w="65" w:type="dxa"/>
            </w:tcMar>
            <w:shd w:fill="F8FAFB"/>
          </w:tcPr>
          <w:p>
            <w:pPr>
              <w:spacing w:after="0"/>
            </w:pPr>
            <w:r>
              <w:rPr>
                <w:rFonts w:ascii="Cambria" w:hAnsi="Cambria"/>
                <w:sz w:val="18"/>
              </w:rPr>
              <w:t>Until next result or material event</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Long</w:t>
            </w:r>
          </w:p>
        </w:tc>
        <w:tc>
          <w:tcPr>
            <w:tcW w:type="dxa" w:w="4997"/>
            <w:vAlign w:val="center"/>
            <w:tcMar>
              <w:top w:w="55" w:type="dxa"/>
              <w:start w:w="65" w:type="dxa"/>
              <w:bottom w:w="55" w:type="dxa"/>
              <w:end w:w="65" w:type="dxa"/>
            </w:tcMar>
          </w:tcPr>
          <w:p>
            <w:pPr>
              <w:spacing w:after="0"/>
            </w:pPr>
            <w:r>
              <w:rPr>
                <w:rFonts w:ascii="Cambria" w:hAnsi="Cambria"/>
                <w:sz w:val="18"/>
              </w:rPr>
              <w:t>Until next formal review or thesis event</w:t>
            </w:r>
          </w:p>
        </w:tc>
      </w:tr>
    </w:tbl>
    <w:p>
      <w:pPr>
        <w:spacing w:after="20"/>
      </w:pPr>
    </w:p>
    <w:p>
      <w:pPr/>
      <w:r>
        <w:t>Suggested cooldown:</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blHeader w:val="true"/>
        </w:trPr>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Horizon</w:t>
            </w:r>
          </w:p>
        </w:tc>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Cooldown</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Daily</w:t>
            </w:r>
          </w:p>
        </w:tc>
        <w:tc>
          <w:tcPr>
            <w:tcW w:type="dxa" w:w="4997"/>
            <w:vAlign w:val="center"/>
            <w:tcMar>
              <w:top w:w="55" w:type="dxa"/>
              <w:start w:w="65" w:type="dxa"/>
              <w:bottom w:w="55" w:type="dxa"/>
              <w:end w:w="65" w:type="dxa"/>
            </w:tcMar>
          </w:tcPr>
          <w:p>
            <w:pPr>
              <w:spacing w:after="0"/>
            </w:pPr>
            <w:r>
              <w:rPr>
                <w:rFonts w:ascii="Cambria" w:hAnsi="Cambria"/>
                <w:sz w:val="18"/>
              </w:rPr>
              <w:t>3 sessions</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Weekly</w:t>
            </w:r>
          </w:p>
        </w:tc>
        <w:tc>
          <w:tcPr>
            <w:tcW w:type="dxa" w:w="4997"/>
            <w:vAlign w:val="center"/>
            <w:tcMar>
              <w:top w:w="55" w:type="dxa"/>
              <w:start w:w="65" w:type="dxa"/>
              <w:bottom w:w="55" w:type="dxa"/>
              <w:end w:w="65" w:type="dxa"/>
            </w:tcMar>
            <w:shd w:fill="F8FAFB"/>
          </w:tcPr>
          <w:p>
            <w:pPr>
              <w:spacing w:after="0"/>
            </w:pPr>
            <w:r>
              <w:rPr>
                <w:rFonts w:ascii="Cambria" w:hAnsi="Cambria"/>
                <w:sz w:val="18"/>
              </w:rPr>
              <w:t>2 completed weeks</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Monthly</w:t>
            </w:r>
          </w:p>
        </w:tc>
        <w:tc>
          <w:tcPr>
            <w:tcW w:type="dxa" w:w="4997"/>
            <w:vAlign w:val="center"/>
            <w:tcMar>
              <w:top w:w="55" w:type="dxa"/>
              <w:start w:w="65" w:type="dxa"/>
              <w:bottom w:w="55" w:type="dxa"/>
              <w:end w:w="65" w:type="dxa"/>
            </w:tcMar>
          </w:tcPr>
          <w:p>
            <w:pPr>
              <w:spacing w:after="0"/>
            </w:pPr>
            <w:r>
              <w:rPr>
                <w:rFonts w:ascii="Cambria" w:hAnsi="Cambria"/>
                <w:sz w:val="18"/>
              </w:rPr>
              <w:t>1 completed month</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Medium</w:t>
            </w:r>
          </w:p>
        </w:tc>
        <w:tc>
          <w:tcPr>
            <w:tcW w:type="dxa" w:w="4997"/>
            <w:vAlign w:val="center"/>
            <w:tcMar>
              <w:top w:w="55" w:type="dxa"/>
              <w:start w:w="65" w:type="dxa"/>
              <w:bottom w:w="55" w:type="dxa"/>
              <w:end w:w="65" w:type="dxa"/>
            </w:tcMar>
            <w:shd w:fill="F8FAFB"/>
          </w:tcPr>
          <w:p>
            <w:pPr>
              <w:spacing w:after="0"/>
            </w:pPr>
            <w:r>
              <w:rPr>
                <w:rFonts w:ascii="Cambria" w:hAnsi="Cambria"/>
                <w:sz w:val="18"/>
              </w:rPr>
              <w:t>One monthly review</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Long</w:t>
            </w:r>
          </w:p>
        </w:tc>
        <w:tc>
          <w:tcPr>
            <w:tcW w:type="dxa" w:w="4997"/>
            <w:vAlign w:val="center"/>
            <w:tcMar>
              <w:top w:w="55" w:type="dxa"/>
              <w:start w:w="65" w:type="dxa"/>
              <w:bottom w:w="55" w:type="dxa"/>
              <w:end w:w="65" w:type="dxa"/>
            </w:tcMar>
          </w:tcPr>
          <w:p>
            <w:pPr>
              <w:spacing w:after="0"/>
            </w:pPr>
            <w:r>
              <w:rPr>
                <w:rFonts w:ascii="Cambria" w:hAnsi="Cambria"/>
                <w:sz w:val="18"/>
              </w:rPr>
              <w:t>Thesis-based review</w:t>
            </w:r>
          </w:p>
        </w:tc>
      </w:tr>
    </w:tbl>
    <w:p>
      <w:pPr>
        <w:spacing w:after="20"/>
      </w:pPr>
    </w:p>
    <w:p>
      <w:pPr/>
      <w:r>
        <w:t>Expired signals must be recalculated.</w:t>
      </w:r>
    </w:p>
    <w:p>
      <w:pPr>
        <w:spacing w:after="0"/>
      </w:pPr>
      <w:r/>
    </w:p>
    <w:p>
      <w:pPr>
        <w:pStyle w:val="Heading1"/>
        <w:pBdr>
          <w:bottom w:val="single" w:sz="4" w:space="5" w:color="7A9AAA"/>
        </w:pBdr>
        <w:keepNext/>
      </w:pPr>
      <w:r>
        <w:t>69. Optional derivatives layer</w:t>
      </w:r>
    </w:p>
    <w:p>
      <w:pPr/>
      <w:r>
        <w:t>Only for F&amp;O-eligible securities and only when enabled.</w:t>
      </w:r>
    </w:p>
    <w:p>
      <w:pPr/>
      <w:r>
        <w:t>States:</w:t>
      </w:r>
    </w:p>
    <w:p>
      <w:pPr>
        <w:pStyle w:val="ListBody"/>
        <w:ind w:left="490" w:hanging="331"/>
      </w:pPr>
      <w:r>
        <w:rPr>
          <w:b/>
        </w:rPr>
        <w:t xml:space="preserve">• </w:t>
      </w:r>
      <w:r>
        <w:t>Long Future.</w:t>
      </w:r>
    </w:p>
    <w:p>
      <w:pPr>
        <w:pStyle w:val="ListBody"/>
        <w:ind w:left="490" w:hanging="331"/>
      </w:pPr>
      <w:r>
        <w:rPr>
          <w:b/>
        </w:rPr>
        <w:t xml:space="preserve">• </w:t>
      </w:r>
      <w:r>
        <w:t>Short Future.</w:t>
      </w:r>
    </w:p>
    <w:p>
      <w:pPr>
        <w:pStyle w:val="ListBody"/>
        <w:ind w:left="490" w:hanging="331"/>
      </w:pPr>
      <w:r>
        <w:rPr>
          <w:b/>
        </w:rPr>
        <w:t xml:space="preserve">• </w:t>
      </w:r>
      <w:r>
        <w:t>Buy Call.</w:t>
      </w:r>
    </w:p>
    <w:p>
      <w:pPr>
        <w:pStyle w:val="ListBody"/>
        <w:ind w:left="490" w:hanging="331"/>
      </w:pPr>
      <w:r>
        <w:rPr>
          <w:b/>
        </w:rPr>
        <w:t xml:space="preserve">• </w:t>
      </w:r>
      <w:r>
        <w:t>Buy Put.</w:t>
      </w:r>
    </w:p>
    <w:p>
      <w:pPr>
        <w:pStyle w:val="ListBody"/>
        <w:ind w:left="490" w:hanging="331"/>
      </w:pPr>
      <w:r>
        <w:rPr>
          <w:b/>
        </w:rPr>
        <w:t xml:space="preserve">• </w:t>
      </w:r>
      <w:r>
        <w:t>Hedge.</w:t>
      </w:r>
    </w:p>
    <w:p>
      <w:pPr>
        <w:pStyle w:val="ListBody"/>
        <w:ind w:left="490" w:hanging="331"/>
      </w:pPr>
      <w:r>
        <w:rPr>
          <w:b/>
        </w:rPr>
        <w:t xml:space="preserve">• </w:t>
      </w:r>
      <w:r>
        <w:t>Close Long.</w:t>
      </w:r>
    </w:p>
    <w:p>
      <w:pPr>
        <w:pStyle w:val="ListBody"/>
        <w:ind w:left="490" w:hanging="331"/>
      </w:pPr>
      <w:r>
        <w:rPr>
          <w:b/>
        </w:rPr>
        <w:t xml:space="preserve">• </w:t>
      </w:r>
      <w:r>
        <w:t>Close Short.</w:t>
      </w:r>
    </w:p>
    <w:p>
      <w:pPr/>
      <w:r>
        <w:t>Required additional controls:</w:t>
      </w:r>
    </w:p>
    <w:p>
      <w:pPr>
        <w:pStyle w:val="ListBody"/>
        <w:ind w:left="490" w:hanging="331"/>
      </w:pPr>
      <w:r>
        <w:rPr>
          <w:b/>
        </w:rPr>
        <w:t xml:space="preserve">• </w:t>
      </w:r>
      <w:r>
        <w:t>Contract selection.</w:t>
      </w:r>
    </w:p>
    <w:p>
      <w:pPr>
        <w:pStyle w:val="ListBody"/>
        <w:ind w:left="490" w:hanging="331"/>
      </w:pPr>
      <w:r>
        <w:rPr>
          <w:b/>
        </w:rPr>
        <w:t xml:space="preserve">• </w:t>
      </w:r>
      <w:r>
        <w:t>Expiry selection.</w:t>
      </w:r>
    </w:p>
    <w:p>
      <w:pPr>
        <w:pStyle w:val="ListBody"/>
        <w:ind w:left="490" w:hanging="331"/>
      </w:pPr>
      <w:r>
        <w:rPr>
          <w:b/>
        </w:rPr>
        <w:t xml:space="preserve">• </w:t>
      </w:r>
      <w:r>
        <w:t>Lot size.</w:t>
      </w:r>
    </w:p>
    <w:p>
      <w:pPr>
        <w:pStyle w:val="ListBody"/>
        <w:ind w:left="490" w:hanging="331"/>
      </w:pPr>
      <w:r>
        <w:rPr>
          <w:b/>
        </w:rPr>
        <w:t xml:space="preserve">• </w:t>
      </w:r>
      <w:r>
        <w:t>Liquidity.</w:t>
      </w:r>
    </w:p>
    <w:p>
      <w:pPr>
        <w:pStyle w:val="ListBody"/>
        <w:ind w:left="490" w:hanging="331"/>
      </w:pPr>
      <w:r>
        <w:rPr>
          <w:b/>
        </w:rPr>
        <w:t xml:space="preserve">• </w:t>
      </w:r>
      <w:r>
        <w:t>Open interest.</w:t>
      </w:r>
    </w:p>
    <w:p>
      <w:pPr>
        <w:pStyle w:val="ListBody"/>
        <w:ind w:left="490" w:hanging="331"/>
      </w:pPr>
      <w:r>
        <w:rPr>
          <w:b/>
        </w:rPr>
        <w:t xml:space="preserve">• </w:t>
      </w:r>
      <w:r>
        <w:t>Bid-ask spread.</w:t>
      </w:r>
    </w:p>
    <w:p>
      <w:pPr>
        <w:pStyle w:val="ListBody"/>
        <w:ind w:left="490" w:hanging="331"/>
      </w:pPr>
      <w:r>
        <w:rPr>
          <w:b/>
        </w:rPr>
        <w:t xml:space="preserve">• </w:t>
      </w:r>
      <w:r>
        <w:t>Margin.</w:t>
      </w:r>
    </w:p>
    <w:p>
      <w:pPr>
        <w:pStyle w:val="ListBody"/>
        <w:ind w:left="490" w:hanging="331"/>
      </w:pPr>
      <w:r>
        <w:rPr>
          <w:b/>
        </w:rPr>
        <w:t xml:space="preserve">• </w:t>
      </w:r>
      <w:r>
        <w:t>Slippage.</w:t>
      </w:r>
    </w:p>
    <w:p>
      <w:pPr>
        <w:pStyle w:val="ListBody"/>
        <w:ind w:left="490" w:hanging="331"/>
      </w:pPr>
      <w:r>
        <w:rPr>
          <w:b/>
        </w:rPr>
        <w:t xml:space="preserve">• </w:t>
      </w:r>
      <w:r>
        <w:t>Rollover.</w:t>
      </w:r>
    </w:p>
    <w:p>
      <w:pPr>
        <w:pStyle w:val="ListBody"/>
        <w:ind w:left="490" w:hanging="331"/>
      </w:pPr>
      <w:r>
        <w:rPr>
          <w:b/>
        </w:rPr>
        <w:t xml:space="preserve">• </w:t>
      </w:r>
      <w:r>
        <w:t>Expiry risk.</w:t>
      </w:r>
    </w:p>
    <w:p>
      <w:pPr>
        <w:pStyle w:val="ListBody"/>
        <w:ind w:left="490" w:hanging="331"/>
      </w:pPr>
      <w:r>
        <w:rPr>
          <w:b/>
        </w:rPr>
        <w:t xml:space="preserve">• </w:t>
      </w:r>
      <w:r>
        <w:t>Position Greeks where available.</w:t>
      </w:r>
    </w:p>
    <w:p>
      <w:pPr>
        <w:pStyle w:val="ListBody"/>
        <w:ind w:left="490" w:hanging="331"/>
      </w:pPr>
      <w:r>
        <w:rPr>
          <w:b/>
        </w:rPr>
        <w:t xml:space="preserve">• </w:t>
      </w:r>
      <w:r>
        <w:t>Broker product verification.</w:t>
      </w:r>
    </w:p>
    <w:p>
      <w:pPr/>
      <w:r>
        <w:t>A cash-equity sell signal must not automatically become an overnight short cash position.</w:t>
      </w:r>
    </w:p>
    <w:p>
      <w:pPr>
        <w:spacing w:after="0"/>
      </w:pPr>
      <w:r/>
    </w:p>
    <w:p>
      <w:pPr>
        <w:pStyle w:val="Heading1"/>
        <w:pBdr>
          <w:bottom w:val="single" w:sz="4" w:space="5" w:color="7A9AAA"/>
        </w:pBdr>
        <w:keepNext/>
      </w:pPr>
      <w:r>
        <w:t>70. Position intent</w:t>
      </w:r>
    </w:p>
    <w:p>
      <w:pPr/>
      <w:r>
        <w:t>Every position stores:</w:t>
      </w:r>
    </w:p>
    <w:p>
      <w:pPr/>
      <w:r>
        <w:t>position_id</w:t>
        <w:br/>
        <w:t>security_id</w:t>
        <w:br/>
        <w:t>horizon</w:t>
        <w:br/>
        <w:t>signal_id</w:t>
        <w:br/>
        <w:t>entry_thesis</w:t>
        <w:br/>
        <w:t>entry_time</w:t>
        <w:br/>
        <w:t>entry_price</w:t>
        <w:br/>
        <w:t>risk_limit</w:t>
        <w:br/>
        <w:t>stop_method</w:t>
        <w:br/>
        <w:t>exit_rules</w:t>
        <w:br/>
        <w:t>maximum_holding_period</w:t>
        <w:br/>
        <w:t>portfolio_bucket</w:t>
      </w:r>
    </w:p>
    <w:p>
      <w:pPr/>
      <w:r>
        <w:t>A failed tactical trade cannot be silently converted into a long-term investment.</w:t>
      </w:r>
    </w:p>
    <w:p>
      <w:pPr>
        <w:spacing w:after="0"/>
      </w:pPr>
      <w:r/>
    </w:p>
    <w:p>
      <w:pPr>
        <w:pStyle w:val="Heading1"/>
        <w:pBdr>
          <w:bottom w:val="single" w:sz="4" w:space="5" w:color="7A9AAA"/>
        </w:pBdr>
        <w:keepNext/>
      </w:pPr>
      <w:r>
        <w:t>71. Position sizing</w:t>
      </w:r>
    </w:p>
    <w:p>
      <w:pPr>
        <w:pStyle w:val="FormulaBlock"/>
        <w:shd w:fill="F5F8FA"/>
      </w:pPr>
      <w:r>
        <w:t>[ RiskPositionValue = (AccountRiskCapital / (EntryPrice - StopPrice)) x EntryPrice ]</w:t>
      </w:r>
    </w:p>
    <w:p>
      <w:pPr/>
      <w:r>
        <w:t>Final size:</w:t>
      </w:r>
    </w:p>
    <w:p>
      <w:pPr>
        <w:pStyle w:val="FormulaBlock"/>
        <w:shd w:fill="F5F8FA"/>
      </w:pPr>
      <w:r>
        <w:t>[ FinalPosition = min(RiskPositionValue, LiquidityCap, CompanyCap, SectorCap, HorizonCap, CorrelationCap, EventRiskCap) ]</w:t>
      </w:r>
    </w:p>
    <w:p>
      <w:pPr>
        <w:spacing w:after="0"/>
      </w:pPr>
      <w:r/>
    </w:p>
    <w:p>
      <w:pPr>
        <w:pStyle w:val="Heading1"/>
        <w:pBdr>
          <w:bottom w:val="single" w:sz="4" w:space="5" w:color="7A9AAA"/>
        </w:pBdr>
        <w:keepNext/>
      </w:pPr>
      <w:r>
        <w:t>72. Portfolio constraints</w:t>
      </w:r>
    </w:p>
    <w:p>
      <w:pPr/>
      <w:r>
        <w:t>Settings:</w:t>
      </w:r>
    </w:p>
    <w:p>
      <w:pPr>
        <w:pStyle w:val="ListBody"/>
        <w:ind w:left="490" w:hanging="331"/>
      </w:pPr>
      <w:r>
        <w:rPr>
          <w:b/>
        </w:rPr>
        <w:t xml:space="preserve">• </w:t>
      </w:r>
      <w:r>
        <w:t>Maximum company weight.</w:t>
      </w:r>
    </w:p>
    <w:p>
      <w:pPr>
        <w:pStyle w:val="ListBody"/>
        <w:ind w:left="490" w:hanging="331"/>
      </w:pPr>
      <w:r>
        <w:rPr>
          <w:b/>
        </w:rPr>
        <w:t xml:space="preserve">• </w:t>
      </w:r>
      <w:r>
        <w:t>Maximum sector weight.</w:t>
      </w:r>
    </w:p>
    <w:p>
      <w:pPr>
        <w:pStyle w:val="ListBody"/>
        <w:ind w:left="490" w:hanging="331"/>
      </w:pPr>
      <w:r>
        <w:rPr>
          <w:b/>
        </w:rPr>
        <w:t xml:space="preserve">• </w:t>
      </w:r>
      <w:r>
        <w:t>Maximum promoter-group weight.</w:t>
      </w:r>
    </w:p>
    <w:p>
      <w:pPr>
        <w:pStyle w:val="ListBody"/>
        <w:ind w:left="490" w:hanging="331"/>
      </w:pPr>
      <w:r>
        <w:rPr>
          <w:b/>
        </w:rPr>
        <w:t xml:space="preserve">• </w:t>
      </w:r>
      <w:r>
        <w:t>Maximum small-cap exposure.</w:t>
      </w:r>
    </w:p>
    <w:p>
      <w:pPr>
        <w:pStyle w:val="ListBody"/>
        <w:ind w:left="490" w:hanging="331"/>
      </w:pPr>
      <w:r>
        <w:rPr>
          <w:b/>
        </w:rPr>
        <w:t xml:space="preserve">• </w:t>
      </w:r>
      <w:r>
        <w:t>Maximum micro-cap exposure.</w:t>
      </w:r>
    </w:p>
    <w:p>
      <w:pPr>
        <w:pStyle w:val="ListBody"/>
        <w:ind w:left="490" w:hanging="331"/>
      </w:pPr>
      <w:r>
        <w:rPr>
          <w:b/>
        </w:rPr>
        <w:t xml:space="preserve">• </w:t>
      </w:r>
      <w:r>
        <w:t>Maximum SME exposure.</w:t>
      </w:r>
    </w:p>
    <w:p>
      <w:pPr>
        <w:pStyle w:val="ListBody"/>
        <w:ind w:left="490" w:hanging="331"/>
      </w:pPr>
      <w:r>
        <w:rPr>
          <w:b/>
        </w:rPr>
        <w:t xml:space="preserve">• </w:t>
      </w:r>
      <w:r>
        <w:t>Maximum tactical allocation.</w:t>
      </w:r>
    </w:p>
    <w:p>
      <w:pPr>
        <w:pStyle w:val="ListBody"/>
        <w:ind w:left="490" w:hanging="331"/>
      </w:pPr>
      <w:r>
        <w:rPr>
          <w:b/>
        </w:rPr>
        <w:t xml:space="preserve">• </w:t>
      </w:r>
      <w:r>
        <w:t>Maximum F&amp;O allocation.</w:t>
      </w:r>
    </w:p>
    <w:p>
      <w:pPr>
        <w:pStyle w:val="ListBody"/>
        <w:ind w:left="490" w:hanging="331"/>
      </w:pPr>
      <w:r>
        <w:rPr>
          <w:b/>
        </w:rPr>
        <w:t xml:space="preserve">• </w:t>
      </w:r>
      <w:r>
        <w:t>Maximum daily loss.</w:t>
      </w:r>
    </w:p>
    <w:p>
      <w:pPr>
        <w:pStyle w:val="ListBody"/>
        <w:ind w:left="490" w:hanging="331"/>
      </w:pPr>
      <w:r>
        <w:rPr>
          <w:b/>
        </w:rPr>
        <w:t xml:space="preserve">• </w:t>
      </w:r>
      <w:r>
        <w:t>Maximum portfolio drawdown.</w:t>
      </w:r>
    </w:p>
    <w:p>
      <w:pPr>
        <w:pStyle w:val="ListBody"/>
        <w:ind w:left="490" w:hanging="331"/>
      </w:pPr>
      <w:r>
        <w:rPr>
          <w:b/>
        </w:rPr>
        <w:t xml:space="preserve">• </w:t>
      </w:r>
      <w:r>
        <w:t>Maximum correlated positions.</w:t>
      </w:r>
    </w:p>
    <w:p>
      <w:pPr>
        <w:pStyle w:val="ListBody"/>
        <w:ind w:left="490" w:hanging="331"/>
      </w:pPr>
      <w:r>
        <w:rPr>
          <w:b/>
        </w:rPr>
        <w:t xml:space="preserve">• </w:t>
      </w:r>
      <w:r>
        <w:t>Maximum estimated exit days.</w:t>
      </w:r>
    </w:p>
    <w:p>
      <w:pPr>
        <w:pStyle w:val="ListBody"/>
        <w:ind w:left="490" w:hanging="331"/>
      </w:pPr>
      <w:r>
        <w:rPr>
          <w:b/>
        </w:rPr>
        <w:t xml:space="preserve">• </w:t>
      </w:r>
      <w:r>
        <w:t>Maximum event concentration.</w:t>
      </w:r>
    </w:p>
    <w:p>
      <w:pPr>
        <w:pStyle w:val="ListBody"/>
        <w:ind w:left="490" w:hanging="331"/>
      </w:pPr>
      <w:r>
        <w:rPr>
          <w:b/>
        </w:rPr>
        <w:t xml:space="preserve">• </w:t>
      </w:r>
      <w:r>
        <w:t>Minimum cash reserve.</w:t>
      </w:r>
    </w:p>
    <w:p>
      <w:pPr>
        <w:spacing w:after="0"/>
      </w:pPr>
      <w:r/>
    </w:p>
    <w:p>
      <w:pPr>
        <w:pStyle w:val="Heading1"/>
        <w:pBdr>
          <w:bottom w:val="single" w:sz="4" w:space="5" w:color="7A9AAA"/>
        </w:pBdr>
        <w:keepNext/>
      </w:pPr>
      <w:r>
        <w:t>73. Portfolio suitability score</w:t>
      </w:r>
    </w:p>
    <w:p>
      <w:pPr>
        <w:pStyle w:val="FormulaBlock"/>
        <w:shd w:fill="F5F8FA"/>
      </w:pPr>
      <w:r>
        <w:t>[ PositionSuitability_i = 0.30 x HorizonConfidence_i + 0.25 x DataConfidence_i + 0.20 x LiquidityFit_i + 0.15 x PortfolioHeadroom_i - 0.10 x CorrelationToHoldings_i ]</w:t>
      </w:r>
    </w:p>
    <w:p>
      <w:pPr/>
      <w:r>
        <w:t>DRAFT: this formula was blank in the source specification. The weighting above is a proposed starting point, not a recovered value, and needs review and walk-forward validation like any other model weight.</w:t>
      </w:r>
    </w:p>
    <w:p>
      <w:pPr/>
      <w:r>
        <w:t>This score does not replace hard portfolio limits.</w:t>
      </w:r>
    </w:p>
    <w:p>
      <w:pPr>
        <w:spacing w:after="0"/>
      </w:pPr>
      <w:r/>
    </w:p>
    <w:p>
      <w:pPr>
        <w:pStyle w:val="Heading1"/>
        <w:pBdr>
          <w:bottom w:val="single" w:sz="4" w:space="5" w:color="7A9AAA"/>
        </w:pBdr>
        <w:keepNext/>
      </w:pPr>
      <w:r>
        <w:t>74. Broker execution state machine</w:t>
      </w:r>
    </w:p>
    <w:p>
      <w:pPr/>
      <w:r>
        <w:t>SIGNAL_CONFIRMED</w:t>
        <w:br/>
        <w:t>→ RISK_CHECKED</w:t>
        <w:br/>
        <w:t>→ ORDER_PREVIEWED</w:t>
        <w:br/>
        <w:t>→ APPROVED</w:t>
        <w:br/>
        <w:t>→ SUBMISSION_PENDING</w:t>
        <w:br/>
        <w:t>→ SUBMITTED</w:t>
        <w:br/>
        <w:t>→ ACKNOWLEDGED</w:t>
        <w:br/>
        <w:t>→ PARTIALLY_FILLED</w:t>
        <w:br/>
        <w:t>→ FILLED</w:t>
        <w:br/>
        <w:t>→ POSITION_RECONCILED</w:t>
      </w:r>
    </w:p>
    <w:p>
      <w:pPr/>
      <w:r>
        <w:t>Failure states:</w:t>
      </w:r>
    </w:p>
    <w:p>
      <w:pPr/>
      <w:r>
        <w:t>REJECTED</w:t>
        <w:br/>
        <w:t>CANCEL_PENDING</w:t>
        <w:br/>
        <w:t>CANCELLED</w:t>
        <w:br/>
        <w:t>STALE</w:t>
        <w:br/>
        <w:t>ORPHANED</w:t>
        <w:br/>
        <w:t>BROKER_UNKNOWN</w:t>
        <w:br/>
        <w:t>MANUAL_REVIEW</w:t>
      </w:r>
    </w:p>
    <w:p>
      <w:pPr>
        <w:spacing w:after="0"/>
      </w:pPr>
      <w:r/>
    </w:p>
    <w:p>
      <w:pPr>
        <w:pStyle w:val="Heading1"/>
        <w:pBdr>
          <w:bottom w:val="single" w:sz="4" w:space="5" w:color="7A9AAA"/>
        </w:pBdr>
        <w:keepNext/>
      </w:pPr>
      <w:r>
        <w:t>75. Duplicate-order protection</w:t>
      </w:r>
    </w:p>
    <w:p>
      <w:pPr/>
      <w:r>
        <w:t>Idempotency key:</w:t>
      </w:r>
    </w:p>
    <w:p>
      <w:pPr/>
      <w:r>
        <w:t>security_id</w:t>
        <w:br/>
        <w:t>+ horizon</w:t>
        <w:br/>
        <w:t>+ signal_id</w:t>
        <w:br/>
        <w:t>+ action</w:t>
        <w:br/>
        <w:t>+ trade_date</w:t>
      </w:r>
    </w:p>
    <w:p>
      <w:pPr/>
      <w:r>
        <w:t>Retries must not create duplicate orders.</w:t>
      </w:r>
    </w:p>
    <w:p>
      <w:pPr>
        <w:spacing w:after="0"/>
      </w:pPr>
      <w:r/>
    </w:p>
    <w:p>
      <w:pPr>
        <w:pStyle w:val="Heading1"/>
        <w:pBdr>
          <w:bottom w:val="single" w:sz="4" w:space="5" w:color="7A9AAA"/>
        </w:pBdr>
        <w:keepNext/>
      </w:pPr>
      <w:r>
        <w:t>76. Broker failover</w:t>
      </w:r>
    </w:p>
    <w:p>
      <w:pPr/>
      <w:r>
        <w:t>Before using a secondary broker:</w:t>
      </w:r>
    </w:p>
    <w:p>
      <w:pPr>
        <w:pStyle w:val="ListBody"/>
        <w:ind w:left="490" w:hanging="331"/>
      </w:pPr>
      <w:r>
        <w:rPr>
          <w:b/>
        </w:rPr>
        <w:t xml:space="preserve">1. </w:t>
      </w:r>
      <w:r>
        <w:t>Query primary order status.</w:t>
      </w:r>
    </w:p>
    <w:p>
      <w:pPr>
        <w:pStyle w:val="ListBody"/>
        <w:ind w:left="490" w:hanging="331"/>
      </w:pPr>
      <w:r>
        <w:rPr>
          <w:b/>
        </w:rPr>
        <w:t xml:space="preserve">2. </w:t>
      </w:r>
      <w:r>
        <w:t>Query primary trade book.</w:t>
      </w:r>
    </w:p>
    <w:p>
      <w:pPr>
        <w:pStyle w:val="ListBody"/>
        <w:ind w:left="490" w:hanging="331"/>
      </w:pPr>
      <w:r>
        <w:rPr>
          <w:b/>
        </w:rPr>
        <w:t xml:space="preserve">3. </w:t>
      </w:r>
      <w:r>
        <w:t>Query primary positions.</w:t>
      </w:r>
    </w:p>
    <w:p>
      <w:pPr>
        <w:pStyle w:val="ListBody"/>
        <w:ind w:left="490" w:hanging="331"/>
      </w:pPr>
      <w:r>
        <w:rPr>
          <w:b/>
        </w:rPr>
        <w:t xml:space="preserve">4. </w:t>
      </w:r>
      <w:r>
        <w:t>Determine actual filled quantity.</w:t>
      </w:r>
    </w:p>
    <w:p>
      <w:pPr>
        <w:pStyle w:val="ListBody"/>
        <w:ind w:left="490" w:hanging="331"/>
      </w:pPr>
      <w:r>
        <w:rPr>
          <w:b/>
        </w:rPr>
        <w:t xml:space="preserve">5. </w:t>
      </w:r>
      <w:r>
        <w:t>Reconcile.</w:t>
      </w:r>
    </w:p>
    <w:p>
      <w:pPr>
        <w:pStyle w:val="ListBody"/>
        <w:ind w:left="490" w:hanging="331"/>
      </w:pPr>
      <w:r>
        <w:rPr>
          <w:b/>
        </w:rPr>
        <w:t xml:space="preserve">6. </w:t>
      </w:r>
      <w:r>
        <w:t>Submit only remaining quantity.</w:t>
      </w:r>
    </w:p>
    <w:p>
      <w:pPr>
        <w:pStyle w:val="ListBody"/>
        <w:ind w:left="490" w:hanging="331"/>
      </w:pPr>
      <w:r>
        <w:rPr>
          <w:b/>
        </w:rPr>
        <w:t xml:space="preserve">7. </w:t>
      </w:r>
      <w:r>
        <w:t>Record failover event.</w:t>
      </w:r>
    </w:p>
    <w:p>
      <w:pPr/>
      <w:r>
        <w:t>A timeout must not be treated as proof of rejection.</w:t>
      </w:r>
    </w:p>
    <w:p>
      <w:pPr>
        <w:spacing w:after="0"/>
      </w:pPr>
      <w:r/>
    </w:p>
    <w:p>
      <w:pPr>
        <w:pStyle w:val="Heading1"/>
        <w:pBdr>
          <w:bottom w:val="single" w:sz="4" w:space="5" w:color="7A9AAA"/>
        </w:pBdr>
        <w:keepNext/>
      </w:pPr>
      <w:r>
        <w:t>77. Portfolio returns and distributions</w:t>
      </w:r>
    </w:p>
    <w:p>
      <w:pPr/>
      <w:r>
        <w:t>Portfolio performance must include:</w:t>
      </w:r>
    </w:p>
    <w:p>
      <w:pPr>
        <w:pStyle w:val="ListBody"/>
        <w:ind w:left="490" w:hanging="331"/>
      </w:pPr>
      <w:r>
        <w:rPr>
          <w:b/>
        </w:rPr>
        <w:t xml:space="preserve">• </w:t>
      </w:r>
      <w:r>
        <w:t>Dividends.</w:t>
      </w:r>
    </w:p>
    <w:p>
      <w:pPr>
        <w:pStyle w:val="ListBody"/>
        <w:ind w:left="490" w:hanging="331"/>
      </w:pPr>
      <w:r>
        <w:rPr>
          <w:b/>
        </w:rPr>
        <w:t xml:space="preserve">• </w:t>
      </w:r>
      <w:r>
        <w:t>Buybacks.</w:t>
      </w:r>
    </w:p>
    <w:p>
      <w:pPr>
        <w:pStyle w:val="ListBody"/>
        <w:ind w:left="490" w:hanging="331"/>
      </w:pPr>
      <w:r>
        <w:rPr>
          <w:b/>
        </w:rPr>
        <w:t xml:space="preserve">• </w:t>
      </w:r>
      <w:r>
        <w:t>Splits.</w:t>
      </w:r>
    </w:p>
    <w:p>
      <w:pPr>
        <w:pStyle w:val="ListBody"/>
        <w:ind w:left="490" w:hanging="331"/>
      </w:pPr>
      <w:r>
        <w:rPr>
          <w:b/>
        </w:rPr>
        <w:t xml:space="preserve">• </w:t>
      </w:r>
      <w:r>
        <w:t>Bonuses.</w:t>
      </w:r>
    </w:p>
    <w:p>
      <w:pPr>
        <w:pStyle w:val="ListBody"/>
        <w:ind w:left="490" w:hanging="331"/>
      </w:pPr>
      <w:r>
        <w:rPr>
          <w:b/>
        </w:rPr>
        <w:t xml:space="preserve">• </w:t>
      </w:r>
      <w:r>
        <w:t>Rights.</w:t>
      </w:r>
    </w:p>
    <w:p>
      <w:pPr>
        <w:pStyle w:val="ListBody"/>
        <w:ind w:left="490" w:hanging="331"/>
      </w:pPr>
      <w:r>
        <w:rPr>
          <w:b/>
        </w:rPr>
        <w:t xml:space="preserve">• </w:t>
      </w:r>
      <w:r>
        <w:t>Demergers.</w:t>
      </w:r>
    </w:p>
    <w:p>
      <w:pPr>
        <w:pStyle w:val="ListBody"/>
        <w:ind w:left="490" w:hanging="331"/>
      </w:pPr>
      <w:r>
        <w:rPr>
          <w:b/>
        </w:rPr>
        <w:t xml:space="preserve">• </w:t>
      </w:r>
      <w:r>
        <w:t>Spin-offs.</w:t>
      </w:r>
    </w:p>
    <w:p>
      <w:pPr>
        <w:pStyle w:val="ListBody"/>
        <w:ind w:left="490" w:hanging="331"/>
      </w:pPr>
      <w:r>
        <w:rPr>
          <w:b/>
        </w:rPr>
        <w:t xml:space="preserve">• </w:t>
      </w:r>
      <w:r>
        <w:t>Brokerage.</w:t>
      </w:r>
    </w:p>
    <w:p>
      <w:pPr>
        <w:pStyle w:val="ListBody"/>
        <w:ind w:left="490" w:hanging="331"/>
      </w:pPr>
      <w:r>
        <w:rPr>
          <w:b/>
        </w:rPr>
        <w:t xml:space="preserve">• </w:t>
      </w:r>
      <w:r>
        <w:t>Taxes.</w:t>
      </w:r>
    </w:p>
    <w:p>
      <w:pPr>
        <w:pStyle w:val="ListBody"/>
        <w:ind w:left="490" w:hanging="331"/>
      </w:pPr>
      <w:r>
        <w:rPr>
          <w:b/>
        </w:rPr>
        <w:t xml:space="preserve">• </w:t>
      </w:r>
      <w:r>
        <w:t>Slippage.</w:t>
      </w:r>
    </w:p>
    <w:p>
      <w:pPr>
        <w:pStyle w:val="ListBody"/>
        <w:ind w:left="490" w:hanging="331"/>
      </w:pPr>
      <w:r>
        <w:rPr>
          <w:b/>
        </w:rPr>
        <w:t xml:space="preserve">• </w:t>
      </w:r>
      <w:r>
        <w:t>Market impact.</w:t>
      </w:r>
    </w:p>
    <w:p>
      <w:pPr/>
      <w:r>
        <w:t>Maintain:</w:t>
      </w:r>
    </w:p>
    <w:p>
      <w:pPr>
        <w:pStyle w:val="ListBody"/>
        <w:ind w:left="490" w:hanging="331"/>
      </w:pPr>
      <w:r>
        <w:rPr>
          <w:b/>
        </w:rPr>
        <w:t xml:space="preserve">• </w:t>
      </w:r>
      <w:r>
        <w:t>Price return.</w:t>
      </w:r>
    </w:p>
    <w:p>
      <w:pPr>
        <w:pStyle w:val="ListBody"/>
        <w:ind w:left="490" w:hanging="331"/>
      </w:pPr>
      <w:r>
        <w:rPr>
          <w:b/>
        </w:rPr>
        <w:t xml:space="preserve">• </w:t>
      </w:r>
      <w:r>
        <w:t>Total return.</w:t>
      </w:r>
    </w:p>
    <w:p>
      <w:pPr>
        <w:pStyle w:val="ListBody"/>
        <w:ind w:left="490" w:hanging="331"/>
      </w:pPr>
      <w:r>
        <w:rPr>
          <w:b/>
        </w:rPr>
        <w:t xml:space="preserve">• </w:t>
      </w:r>
      <w:r>
        <w:t>Realized P&amp;L.</w:t>
      </w:r>
    </w:p>
    <w:p>
      <w:pPr>
        <w:pStyle w:val="ListBody"/>
        <w:ind w:left="490" w:hanging="331"/>
      </w:pPr>
      <w:r>
        <w:rPr>
          <w:b/>
        </w:rPr>
        <w:t xml:space="preserve">• </w:t>
      </w:r>
      <w:r>
        <w:t>Unrealized P&amp;L.</w:t>
      </w:r>
    </w:p>
    <w:p>
      <w:pPr>
        <w:pStyle w:val="ListBody"/>
        <w:ind w:left="490" w:hanging="331"/>
      </w:pPr>
      <w:r>
        <w:rPr>
          <w:b/>
        </w:rPr>
        <w:t xml:space="preserve">• </w:t>
      </w:r>
      <w:r>
        <w:t>Income return.</w:t>
      </w:r>
    </w:p>
    <w:p>
      <w:pPr>
        <w:pStyle w:val="ListBody"/>
        <w:ind w:left="490" w:hanging="331"/>
      </w:pPr>
      <w:r>
        <w:rPr>
          <w:b/>
        </w:rPr>
        <w:t xml:space="preserve">• </w:t>
      </w:r>
      <w:r>
        <w:t>Transaction costs.</w:t>
      </w:r>
    </w:p>
    <w:p>
      <w:pPr>
        <w:pStyle w:val="ListBody"/>
        <w:ind w:left="490" w:hanging="331"/>
      </w:pPr>
      <w:r>
        <w:rPr>
          <w:b/>
        </w:rPr>
        <w:t xml:space="preserve">• </w:t>
      </w:r>
      <w:r>
        <w:t>Tax lots where required.</w:t>
      </w:r>
    </w:p>
    <w:p>
      <w:pPr/>
      <w:r>
        <w:t>Paper and live portfolios must remain separate.</w:t>
      </w:r>
    </w:p>
    <w:p>
      <w:pPr>
        <w:spacing w:after="0"/>
      </w:pPr>
      <w:r/>
    </w:p>
    <w:p>
      <w:pPr>
        <w:pStyle w:val="Heading1"/>
        <w:pBdr>
          <w:bottom w:val="single" w:sz="4" w:space="5" w:color="7A9AAA"/>
        </w:pBdr>
        <w:keepNext/>
      </w:pPr>
      <w:r>
        <w:t>78. Frontend navigation</w:t>
      </w:r>
    </w:p>
    <w:p>
      <w:pPr/>
      <w:r>
        <w:t>Overview</w:t>
        <w:br/>
        <w:t>Multi-Horizon Signals</w:t>
        <w:br/>
        <w:t>Screener and Rankings</w:t>
        <w:br/>
        <w:t>Watchlists</w:t>
        <w:br/>
        <w:t>Company Research</w:t>
        <w:br/>
        <w:t>Portfolio</w:t>
        <w:br/>
        <w:t>Orders and Broker</w:t>
        <w:br/>
        <w:t>Alerts</w:t>
        <w:br/>
        <w:t>Backtesting</w:t>
        <w:br/>
        <w:t>Data Quality</w:t>
        <w:br/>
        <w:t>Model Governance</w:t>
        <w:br/>
        <w:t>System Resources</w:t>
        <w:br/>
        <w:t>Settings</w:t>
        <w:br/>
        <w:t>Audit and Reports</w:t>
      </w:r>
    </w:p>
    <w:p>
      <w:pPr>
        <w:spacing w:after="0"/>
      </w:pPr>
      <w:r/>
    </w:p>
    <w:p>
      <w:pPr>
        <w:pStyle w:val="Heading1"/>
        <w:pBdr>
          <w:bottom w:val="single" w:sz="4" w:space="5" w:color="7A9AAA"/>
        </w:pBdr>
        <w:keepNext/>
      </w:pPr>
      <w:r>
        <w:t>79. Master control bar</w:t>
      </w:r>
    </w:p>
    <w:p>
      <w:pPr/>
      <w:r>
        <w:t>Display:</w:t>
      </w:r>
    </w:p>
    <w:p>
      <w:pPr>
        <w:pStyle w:val="ListBody"/>
        <w:ind w:left="490" w:hanging="331"/>
      </w:pPr>
      <w:r>
        <w:rPr>
          <w:b/>
        </w:rPr>
        <w:t xml:space="preserve">• </w:t>
      </w:r>
      <w:r>
        <w:t>System mode.</w:t>
      </w:r>
    </w:p>
    <w:p>
      <w:pPr>
        <w:pStyle w:val="ListBody"/>
        <w:ind w:left="490" w:hanging="331"/>
      </w:pPr>
      <w:r>
        <w:rPr>
          <w:b/>
        </w:rPr>
        <w:t xml:space="preserve">• </w:t>
      </w:r>
      <w:r>
        <w:t>Market status.</w:t>
      </w:r>
    </w:p>
    <w:p>
      <w:pPr>
        <w:pStyle w:val="ListBody"/>
        <w:ind w:left="490" w:hanging="331"/>
      </w:pPr>
      <w:r>
        <w:rPr>
          <w:b/>
        </w:rPr>
        <w:t xml:space="preserve">• </w:t>
      </w:r>
      <w:r>
        <w:t>IST timestamp.</w:t>
      </w:r>
    </w:p>
    <w:p>
      <w:pPr>
        <w:pStyle w:val="ListBody"/>
        <w:ind w:left="490" w:hanging="331"/>
      </w:pPr>
      <w:r>
        <w:rPr>
          <w:b/>
        </w:rPr>
        <w:t xml:space="preserve">• </w:t>
      </w:r>
      <w:r>
        <w:t>Data timestamp.</w:t>
      </w:r>
    </w:p>
    <w:p>
      <w:pPr>
        <w:pStyle w:val="ListBody"/>
        <w:ind w:left="490" w:hanging="331"/>
      </w:pPr>
      <w:r>
        <w:rPr>
          <w:b/>
        </w:rPr>
        <w:t xml:space="preserve">• </w:t>
      </w:r>
      <w:r>
        <w:t>Primary broker.</w:t>
      </w:r>
    </w:p>
    <w:p>
      <w:pPr>
        <w:pStyle w:val="ListBody"/>
        <w:ind w:left="490" w:hanging="331"/>
      </w:pPr>
      <w:r>
        <w:rPr>
          <w:b/>
        </w:rPr>
        <w:t xml:space="preserve">• </w:t>
      </w:r>
      <w:r>
        <w:t>Secondary broker.</w:t>
      </w:r>
    </w:p>
    <w:p>
      <w:pPr>
        <w:pStyle w:val="ListBody"/>
        <w:ind w:left="490" w:hanging="331"/>
      </w:pPr>
      <w:r>
        <w:rPr>
          <w:b/>
        </w:rPr>
        <w:t xml:space="preserve">• </w:t>
      </w:r>
      <w:r>
        <w:t>Broker health.</w:t>
      </w:r>
    </w:p>
    <w:p>
      <w:pPr>
        <w:pStyle w:val="ListBody"/>
        <w:ind w:left="490" w:hanging="331"/>
      </w:pPr>
      <w:r>
        <w:rPr>
          <w:b/>
        </w:rPr>
        <w:t xml:space="preserve">• </w:t>
      </w:r>
      <w:r>
        <w:t>Price-feed health.</w:t>
      </w:r>
    </w:p>
    <w:p>
      <w:pPr>
        <w:pStyle w:val="ListBody"/>
        <w:ind w:left="490" w:hanging="331"/>
      </w:pPr>
      <w:r>
        <w:rPr>
          <w:b/>
        </w:rPr>
        <w:t xml:space="preserve">• </w:t>
      </w:r>
      <w:r>
        <w:t>Fundamental-data health.</w:t>
      </w:r>
    </w:p>
    <w:p>
      <w:pPr>
        <w:pStyle w:val="ListBody"/>
        <w:ind w:left="490" w:hanging="331"/>
      </w:pPr>
      <w:r>
        <w:rPr>
          <w:b/>
        </w:rPr>
        <w:t xml:space="preserve">• </w:t>
      </w:r>
      <w:r>
        <w:t>Universe count.</w:t>
      </w:r>
    </w:p>
    <w:p>
      <w:pPr>
        <w:pStyle w:val="ListBody"/>
        <w:ind w:left="490" w:hanging="331"/>
      </w:pPr>
      <w:r>
        <w:rPr>
          <w:b/>
        </w:rPr>
        <w:t xml:space="preserve">• </w:t>
      </w:r>
      <w:r>
        <w:t>Active signals.</w:t>
      </w:r>
    </w:p>
    <w:p>
      <w:pPr>
        <w:pStyle w:val="ListBody"/>
        <w:ind w:left="490" w:hanging="331"/>
      </w:pPr>
      <w:r>
        <w:rPr>
          <w:b/>
        </w:rPr>
        <w:t xml:space="preserve">• </w:t>
      </w:r>
      <w:r>
        <w:t>Open positions.</w:t>
      </w:r>
    </w:p>
    <w:p>
      <w:pPr>
        <w:pStyle w:val="ListBody"/>
        <w:ind w:left="490" w:hanging="331"/>
      </w:pPr>
      <w:r>
        <w:rPr>
          <w:b/>
        </w:rPr>
        <w:t xml:space="preserve">• </w:t>
      </w:r>
      <w:r>
        <w:t>Daily P&amp;L.</w:t>
      </w:r>
    </w:p>
    <w:p>
      <w:pPr>
        <w:pStyle w:val="ListBody"/>
        <w:ind w:left="490" w:hanging="331"/>
      </w:pPr>
      <w:r>
        <w:rPr>
          <w:b/>
        </w:rPr>
        <w:t xml:space="preserve">• </w:t>
      </w:r>
      <w:r>
        <w:t>Portfolio P&amp;L.</w:t>
      </w:r>
    </w:p>
    <w:p>
      <w:pPr>
        <w:pStyle w:val="ListBody"/>
        <w:ind w:left="490" w:hanging="331"/>
      </w:pPr>
      <w:r>
        <w:rPr>
          <w:b/>
        </w:rPr>
        <w:t xml:space="preserve">• </w:t>
      </w:r>
      <w:r>
        <w:t>Current drawdown.</w:t>
      </w:r>
    </w:p>
    <w:p>
      <w:pPr>
        <w:pStyle w:val="ListBody"/>
        <w:ind w:left="490" w:hanging="331"/>
      </w:pPr>
      <w:r>
        <w:rPr>
          <w:b/>
        </w:rPr>
        <w:t xml:space="preserve">• </w:t>
      </w:r>
      <w:r>
        <w:t>Risk utilization.</w:t>
      </w:r>
    </w:p>
    <w:p>
      <w:pPr>
        <w:pStyle w:val="ListBody"/>
        <w:ind w:left="490" w:hanging="331"/>
      </w:pPr>
      <w:r>
        <w:rPr>
          <w:b/>
        </w:rPr>
        <w:t xml:space="preserve">• </w:t>
      </w:r>
      <w:r>
        <w:t>Performance mode.</w:t>
      </w:r>
    </w:p>
    <w:p>
      <w:pPr>
        <w:pStyle w:val="ListBody"/>
        <w:ind w:left="490" w:hanging="331"/>
      </w:pPr>
      <w:r>
        <w:rPr>
          <w:b/>
        </w:rPr>
        <w:t xml:space="preserve">• </w:t>
      </w:r>
      <w:r>
        <w:t>Kill switch.</w:t>
      </w:r>
    </w:p>
    <w:p>
      <w:pPr>
        <w:spacing w:after="0"/>
      </w:pPr>
      <w:r/>
    </w:p>
    <w:p>
      <w:pPr>
        <w:pStyle w:val="Heading1"/>
        <w:pBdr>
          <w:bottom w:val="single" w:sz="4" w:space="5" w:color="7A9AAA"/>
        </w:pBdr>
        <w:keepNext/>
      </w:pPr>
      <w:r>
        <w:t>80. Overview dashboard</w:t>
      </w:r>
    </w:p>
    <w:p>
      <w:pPr>
        <w:pStyle w:val="Heading2"/>
        <w:keepNext/>
      </w:pPr>
      <w:r>
        <w:t>Universe panel</w:t>
      </w:r>
    </w:p>
    <w:p>
      <w:pPr>
        <w:pStyle w:val="ListBody"/>
        <w:ind w:left="490" w:hanging="331"/>
      </w:pPr>
      <w:r>
        <w:rPr>
          <w:b/>
        </w:rPr>
        <w:t xml:space="preserve">• </w:t>
      </w:r>
      <w:r>
        <w:t>Discovery Universe.</w:t>
      </w:r>
    </w:p>
    <w:p>
      <w:pPr>
        <w:pStyle w:val="ListBody"/>
        <w:ind w:left="490" w:hanging="331"/>
      </w:pPr>
      <w:r>
        <w:rPr>
          <w:b/>
        </w:rPr>
        <w:t xml:space="preserve">• </w:t>
      </w:r>
      <w:r>
        <w:t>Investable Universe.</w:t>
      </w:r>
    </w:p>
    <w:p>
      <w:pPr>
        <w:pStyle w:val="ListBody"/>
        <w:ind w:left="490" w:hanging="331"/>
      </w:pPr>
      <w:r>
        <w:rPr>
          <w:b/>
        </w:rPr>
        <w:t xml:space="preserve">• </w:t>
      </w:r>
      <w:r>
        <w:t>Excluded.</w:t>
      </w:r>
    </w:p>
    <w:p>
      <w:pPr>
        <w:pStyle w:val="ListBody"/>
        <w:ind w:left="490" w:hanging="331"/>
      </w:pPr>
      <w:r>
        <w:rPr>
          <w:b/>
        </w:rPr>
        <w:t xml:space="preserve">• </w:t>
      </w:r>
      <w:r>
        <w:t>Hard gated.</w:t>
      </w:r>
    </w:p>
    <w:p>
      <w:pPr>
        <w:pStyle w:val="ListBody"/>
        <w:ind w:left="490" w:hanging="331"/>
      </w:pPr>
      <w:r>
        <w:rPr>
          <w:b/>
        </w:rPr>
        <w:t xml:space="preserve">• </w:t>
      </w:r>
      <w:r>
        <w:t>Pending Resolution.</w:t>
      </w:r>
    </w:p>
    <w:p>
      <w:pPr>
        <w:pStyle w:val="ListBody"/>
        <w:ind w:left="490" w:hanging="331"/>
      </w:pPr>
      <w:r>
        <w:rPr>
          <w:b/>
        </w:rPr>
        <w:t xml:space="preserve">• </w:t>
      </w:r>
      <w:r>
        <w:t>Insufficient Data.</w:t>
      </w:r>
    </w:p>
    <w:p>
      <w:pPr>
        <w:pStyle w:val="ListBody"/>
        <w:ind w:left="490" w:hanging="331"/>
      </w:pPr>
      <w:r>
        <w:rPr>
          <w:b/>
        </w:rPr>
        <w:t xml:space="preserve">• </w:t>
      </w:r>
      <w:r>
        <w:t>Main board.</w:t>
      </w:r>
    </w:p>
    <w:p>
      <w:pPr>
        <w:pStyle w:val="ListBody"/>
        <w:ind w:left="490" w:hanging="331"/>
      </w:pPr>
      <w:r>
        <w:rPr>
          <w:b/>
        </w:rPr>
        <w:t xml:space="preserve">• </w:t>
      </w:r>
      <w:r>
        <w:t>SME.</w:t>
      </w:r>
    </w:p>
    <w:p>
      <w:pPr>
        <w:pStyle w:val="ListBody"/>
        <w:ind w:left="490" w:hanging="331"/>
      </w:pPr>
      <w:r>
        <w:rPr>
          <w:b/>
        </w:rPr>
        <w:t xml:space="preserve">• </w:t>
      </w:r>
      <w:r>
        <w:t>Market-cap distribution.</w:t>
      </w:r>
    </w:p>
    <w:p>
      <w:pPr>
        <w:pStyle w:val="ListBody"/>
        <w:ind w:left="490" w:hanging="331"/>
      </w:pPr>
      <w:r>
        <w:rPr>
          <w:b/>
        </w:rPr>
        <w:t xml:space="preserve">• </w:t>
      </w:r>
      <w:r>
        <w:t>Sector distribution.</w:t>
      </w:r>
    </w:p>
    <w:p>
      <w:pPr>
        <w:pStyle w:val="Heading2"/>
        <w:keepNext/>
      </w:pPr>
      <w:r>
        <w:t>Signal panel</w:t>
      </w:r>
    </w:p>
    <w:p>
      <w:pPr/>
      <w:r>
        <w:t>Counts by horizon:</w:t>
      </w:r>
    </w:p>
    <w:p>
      <w:pPr>
        <w:pStyle w:val="ListBody"/>
        <w:ind w:left="490" w:hanging="331"/>
      </w:pPr>
      <w:r>
        <w:rPr>
          <w:b/>
        </w:rPr>
        <w:t xml:space="preserve">• </w:t>
      </w:r>
      <w:r>
        <w:t>Strong Buy.</w:t>
      </w:r>
    </w:p>
    <w:p>
      <w:pPr>
        <w:pStyle w:val="ListBody"/>
        <w:ind w:left="490" w:hanging="331"/>
      </w:pPr>
      <w:r>
        <w:rPr>
          <w:b/>
        </w:rPr>
        <w:t xml:space="preserve">• </w:t>
      </w:r>
      <w:r>
        <w:t>Buy.</w:t>
      </w:r>
    </w:p>
    <w:p>
      <w:pPr>
        <w:pStyle w:val="ListBody"/>
        <w:ind w:left="490" w:hanging="331"/>
      </w:pPr>
      <w:r>
        <w:rPr>
          <w:b/>
        </w:rPr>
        <w:t xml:space="preserve">• </w:t>
      </w:r>
      <w:r>
        <w:t>Accumulate.</w:t>
      </w:r>
    </w:p>
    <w:p>
      <w:pPr>
        <w:pStyle w:val="ListBody"/>
        <w:ind w:left="490" w:hanging="331"/>
      </w:pPr>
      <w:r>
        <w:rPr>
          <w:b/>
        </w:rPr>
        <w:t xml:space="preserve">• </w:t>
      </w:r>
      <w:r>
        <w:t>Watch.</w:t>
      </w:r>
    </w:p>
    <w:p>
      <w:pPr>
        <w:pStyle w:val="ListBody"/>
        <w:ind w:left="490" w:hanging="331"/>
      </w:pPr>
      <w:r>
        <w:rPr>
          <w:b/>
        </w:rPr>
        <w:t xml:space="preserve">• </w:t>
      </w:r>
      <w:r>
        <w:t>Hold.</w:t>
      </w:r>
    </w:p>
    <w:p>
      <w:pPr>
        <w:pStyle w:val="ListBody"/>
        <w:ind w:left="490" w:hanging="331"/>
      </w:pPr>
      <w:r>
        <w:rPr>
          <w:b/>
        </w:rPr>
        <w:t xml:space="preserve">• </w:t>
      </w:r>
      <w:r>
        <w:t>Reduce.</w:t>
      </w:r>
    </w:p>
    <w:p>
      <w:pPr>
        <w:pStyle w:val="ListBody"/>
        <w:ind w:left="490" w:hanging="331"/>
      </w:pPr>
      <w:r>
        <w:rPr>
          <w:b/>
        </w:rPr>
        <w:t xml:space="preserve">• </w:t>
      </w:r>
      <w:r>
        <w:t>Exit.</w:t>
      </w:r>
    </w:p>
    <w:p>
      <w:pPr>
        <w:pStyle w:val="ListBody"/>
        <w:ind w:left="490" w:hanging="331"/>
      </w:pPr>
      <w:r>
        <w:rPr>
          <w:b/>
        </w:rPr>
        <w:t xml:space="preserve">• </w:t>
      </w:r>
      <w:r>
        <w:t>Avoid.</w:t>
      </w:r>
    </w:p>
    <w:p>
      <w:pPr>
        <w:pStyle w:val="Heading2"/>
        <w:keepNext/>
      </w:pPr>
      <w:r>
        <w:t>Regime panel</w:t>
      </w:r>
    </w:p>
    <w:p>
      <w:pPr>
        <w:pStyle w:val="ListBody"/>
        <w:ind w:left="490" w:hanging="331"/>
      </w:pPr>
      <w:r>
        <w:rPr>
          <w:b/>
        </w:rPr>
        <w:t xml:space="preserve">• </w:t>
      </w:r>
      <w:r>
        <w:t>Broad-market regime.</w:t>
      </w:r>
    </w:p>
    <w:p>
      <w:pPr>
        <w:pStyle w:val="ListBody"/>
        <w:ind w:left="490" w:hanging="331"/>
      </w:pPr>
      <w:r>
        <w:rPr>
          <w:b/>
        </w:rPr>
        <w:t xml:space="preserve">• </w:t>
      </w:r>
      <w:r>
        <w:t>Sector regimes.</w:t>
      </w:r>
    </w:p>
    <w:p>
      <w:pPr>
        <w:pStyle w:val="ListBody"/>
        <w:ind w:left="490" w:hanging="331"/>
      </w:pPr>
      <w:r>
        <w:rPr>
          <w:b/>
        </w:rPr>
        <w:t xml:space="preserve">• </w:t>
      </w:r>
      <w:r>
        <w:t>Volatility.</w:t>
      </w:r>
    </w:p>
    <w:p>
      <w:pPr>
        <w:pStyle w:val="ListBody"/>
        <w:ind w:left="490" w:hanging="331"/>
      </w:pPr>
      <w:r>
        <w:rPr>
          <w:b/>
        </w:rPr>
        <w:t xml:space="preserve">• </w:t>
      </w:r>
      <w:r>
        <w:t>Breadth.</w:t>
      </w:r>
    </w:p>
    <w:p>
      <w:pPr>
        <w:pStyle w:val="ListBody"/>
        <w:ind w:left="490" w:hanging="331"/>
      </w:pPr>
      <w:r>
        <w:rPr>
          <w:b/>
        </w:rPr>
        <w:t xml:space="preserve">• </w:t>
      </w:r>
      <w:r>
        <w:t>Drawdown.</w:t>
      </w:r>
    </w:p>
    <w:p>
      <w:pPr>
        <w:pStyle w:val="ListBody"/>
        <w:ind w:left="490" w:hanging="331"/>
      </w:pPr>
      <w:r>
        <w:rPr>
          <w:b/>
        </w:rPr>
        <w:t xml:space="preserve">• </w:t>
      </w:r>
      <w:r>
        <w:t>Regime confidence.</w:t>
      </w:r>
    </w:p>
    <w:p>
      <w:pPr>
        <w:pStyle w:val="Heading2"/>
        <w:keepNext/>
      </w:pPr>
      <w:r>
        <w:t>Data-health panel</w:t>
      </w:r>
    </w:p>
    <w:p>
      <w:pPr>
        <w:pStyle w:val="ListBody"/>
        <w:ind w:left="490" w:hanging="331"/>
      </w:pPr>
      <w:r>
        <w:rPr>
          <w:b/>
        </w:rPr>
        <w:t xml:space="preserve">• </w:t>
      </w:r>
      <w:r>
        <w:t>Last price update.</w:t>
      </w:r>
    </w:p>
    <w:p>
      <w:pPr>
        <w:pStyle w:val="ListBody"/>
        <w:ind w:left="490" w:hanging="331"/>
      </w:pPr>
      <w:r>
        <w:rPr>
          <w:b/>
        </w:rPr>
        <w:t xml:space="preserve">• </w:t>
      </w:r>
      <w:r>
        <w:t>Last filing update.</w:t>
      </w:r>
    </w:p>
    <w:p>
      <w:pPr>
        <w:pStyle w:val="ListBody"/>
        <w:ind w:left="490" w:hanging="331"/>
      </w:pPr>
      <w:r>
        <w:rPr>
          <w:b/>
        </w:rPr>
        <w:t xml:space="preserve">• </w:t>
      </w:r>
      <w:r>
        <w:t>Missing records.</w:t>
      </w:r>
    </w:p>
    <w:p>
      <w:pPr>
        <w:pStyle w:val="ListBody"/>
        <w:ind w:left="490" w:hanging="331"/>
      </w:pPr>
      <w:r>
        <w:rPr>
          <w:b/>
        </w:rPr>
        <w:t xml:space="preserve">• </w:t>
      </w:r>
      <w:r>
        <w:t>Source conflicts.</w:t>
      </w:r>
    </w:p>
    <w:p>
      <w:pPr>
        <w:pStyle w:val="ListBody"/>
        <w:ind w:left="490" w:hanging="331"/>
      </w:pPr>
      <w:r>
        <w:rPr>
          <w:b/>
        </w:rPr>
        <w:t xml:space="preserve">• </w:t>
      </w:r>
      <w:r>
        <w:t>Stale symbols.</w:t>
      </w:r>
    </w:p>
    <w:p>
      <w:pPr>
        <w:pStyle w:val="ListBody"/>
        <w:ind w:left="490" w:hanging="331"/>
      </w:pPr>
      <w:r>
        <w:rPr>
          <w:b/>
        </w:rPr>
        <w:t xml:space="preserve">• </w:t>
      </w:r>
      <w:r>
        <w:t>Quarantined companies.</w:t>
      </w:r>
    </w:p>
    <w:p>
      <w:pPr>
        <w:pStyle w:val="ListBody"/>
        <w:ind w:left="490" w:hanging="331"/>
      </w:pPr>
      <w:r>
        <w:rPr>
          <w:b/>
        </w:rPr>
        <w:t xml:space="preserve">• </w:t>
      </w:r>
      <w:r>
        <w:t>Failed connectors.</w:t>
      </w:r>
    </w:p>
    <w:p>
      <w:pPr>
        <w:pStyle w:val="ListBody"/>
        <w:ind w:left="490" w:hanging="331"/>
      </w:pPr>
      <w:r>
        <w:rPr>
          <w:b/>
        </w:rPr>
        <w:t xml:space="preserve">• </w:t>
      </w:r>
      <w:r>
        <w:t>API latency.</w:t>
      </w:r>
    </w:p>
    <w:p>
      <w:pPr>
        <w:pStyle w:val="Heading2"/>
        <w:keepNext/>
      </w:pPr>
      <w:r>
        <w:t>Portfolio panel</w:t>
      </w:r>
    </w:p>
    <w:p>
      <w:pPr>
        <w:pStyle w:val="ListBody"/>
        <w:ind w:left="490" w:hanging="331"/>
      </w:pPr>
      <w:r>
        <w:rPr>
          <w:b/>
        </w:rPr>
        <w:t xml:space="preserve">• </w:t>
      </w:r>
      <w:r>
        <w:t>Capital.</w:t>
      </w:r>
    </w:p>
    <w:p>
      <w:pPr>
        <w:pStyle w:val="ListBody"/>
        <w:ind w:left="490" w:hanging="331"/>
      </w:pPr>
      <w:r>
        <w:rPr>
          <w:b/>
        </w:rPr>
        <w:t xml:space="preserve">• </w:t>
      </w:r>
      <w:r>
        <w:t>Cash.</w:t>
      </w:r>
    </w:p>
    <w:p>
      <w:pPr>
        <w:pStyle w:val="ListBody"/>
        <w:ind w:left="490" w:hanging="331"/>
      </w:pPr>
      <w:r>
        <w:rPr>
          <w:b/>
        </w:rPr>
        <w:t xml:space="preserve">• </w:t>
      </w:r>
      <w:r>
        <w:t>Gross exposure.</w:t>
      </w:r>
    </w:p>
    <w:p>
      <w:pPr>
        <w:pStyle w:val="ListBody"/>
        <w:ind w:left="490" w:hanging="331"/>
      </w:pPr>
      <w:r>
        <w:rPr>
          <w:b/>
        </w:rPr>
        <w:t xml:space="preserve">• </w:t>
      </w:r>
      <w:r>
        <w:t>Net exposure.</w:t>
      </w:r>
    </w:p>
    <w:p>
      <w:pPr>
        <w:pStyle w:val="ListBody"/>
        <w:ind w:left="490" w:hanging="331"/>
      </w:pPr>
      <w:r>
        <w:rPr>
          <w:b/>
        </w:rPr>
        <w:t xml:space="preserve">• </w:t>
      </w:r>
      <w:r>
        <w:t>Sector exposure.</w:t>
      </w:r>
    </w:p>
    <w:p>
      <w:pPr>
        <w:pStyle w:val="ListBody"/>
        <w:ind w:left="490" w:hanging="331"/>
      </w:pPr>
      <w:r>
        <w:rPr>
          <w:b/>
        </w:rPr>
        <w:t xml:space="preserve">• </w:t>
      </w:r>
      <w:r>
        <w:t>Market-cap exposure.</w:t>
      </w:r>
    </w:p>
    <w:p>
      <w:pPr>
        <w:pStyle w:val="ListBody"/>
        <w:ind w:left="490" w:hanging="331"/>
      </w:pPr>
      <w:r>
        <w:rPr>
          <w:b/>
        </w:rPr>
        <w:t xml:space="preserve">• </w:t>
      </w:r>
      <w:r>
        <w:t>Tactical exposure.</w:t>
      </w:r>
    </w:p>
    <w:p>
      <w:pPr>
        <w:pStyle w:val="ListBody"/>
        <w:ind w:left="490" w:hanging="331"/>
      </w:pPr>
      <w:r>
        <w:rPr>
          <w:b/>
        </w:rPr>
        <w:t xml:space="preserve">• </w:t>
      </w:r>
      <w:r>
        <w:t>Investment exposure.</w:t>
      </w:r>
    </w:p>
    <w:p>
      <w:pPr>
        <w:pStyle w:val="ListBody"/>
        <w:ind w:left="490" w:hanging="331"/>
      </w:pPr>
      <w:r>
        <w:rPr>
          <w:b/>
        </w:rPr>
        <w:t xml:space="preserve">• </w:t>
      </w:r>
      <w:r>
        <w:t>Drawdown.</w:t>
      </w:r>
    </w:p>
    <w:p>
      <w:pPr>
        <w:pStyle w:val="ListBody"/>
        <w:ind w:left="490" w:hanging="331"/>
      </w:pPr>
      <w:r>
        <w:rPr>
          <w:b/>
        </w:rPr>
        <w:t xml:space="preserve">• </w:t>
      </w:r>
      <w:r>
        <w:t>Estimated liquidation period.</w:t>
      </w:r>
    </w:p>
    <w:p>
      <w:pPr>
        <w:spacing w:after="0"/>
      </w:pPr>
      <w:r/>
    </w:p>
    <w:p>
      <w:pPr>
        <w:pStyle w:val="Heading1"/>
        <w:pBdr>
          <w:bottom w:val="single" w:sz="4" w:space="5" w:color="7A9AAA"/>
        </w:pBdr>
        <w:keepNext/>
      </w:pPr>
      <w:r>
        <w:t>81. Screener table</w:t>
      </w:r>
    </w:p>
    <w:p>
      <w:pPr/>
      <w:r>
        <w:t>Columns:</w:t>
      </w:r>
    </w:p>
    <w:p>
      <w:pPr/>
      <w:r>
        <w:t>Symbol</w:t>
        <w:br/>
        <w:t>Company</w:t>
        <w:br/>
        <w:t>Sector</w:t>
        <w:br/>
        <w:t>Market Cap</w:t>
        <w:br/>
        <w:t>Candidate Score</w:t>
        <w:br/>
        <w:t>Research Score</w:t>
        <w:br/>
        <w:t>Data Confidence</w:t>
        <w:br/>
        <w:t>Daily Signal</w:t>
        <w:br/>
        <w:t>Weekly Signal</w:t>
        <w:br/>
        <w:t>Monthly Signal</w:t>
        <w:br/>
        <w:t>Medium Signal</w:t>
        <w:br/>
        <w:t>Long Signal</w:t>
        <w:br/>
        <w:t>Alignment</w:t>
        <w:br/>
        <w:t>Quality</w:t>
        <w:br/>
        <w:t>Growth</w:t>
        <w:br/>
        <w:t>Value</w:t>
        <w:br/>
        <w:t>Balance Sheet</w:t>
        <w:br/>
        <w:t>Capital Allocation</w:t>
        <w:br/>
        <w:t>Integrity</w:t>
        <w:br/>
        <w:t>Momentum</w:t>
        <w:br/>
        <w:t>Liquidity</w:t>
        <w:br/>
        <w:t>Expected Return</w:t>
        <w:br/>
        <w:t>Fair Value</w:t>
        <w:br/>
        <w:t>Sector Rank</w:t>
        <w:br/>
        <w:t>Size Rank</w:t>
        <w:br/>
        <w:t>Hard Gate</w:t>
        <w:br/>
        <w:t>Research Status</w:t>
        <w:br/>
        <w:t>Last Filing</w:t>
        <w:br/>
        <w:t>Last Score Change</w:t>
      </w:r>
    </w:p>
    <w:p>
      <w:pPr/>
      <w:r>
        <w:t>Features:</w:t>
      </w:r>
    </w:p>
    <w:p>
      <w:pPr>
        <w:pStyle w:val="ListBody"/>
        <w:ind w:left="490" w:hanging="331"/>
      </w:pPr>
      <w:r>
        <w:rPr>
          <w:b/>
        </w:rPr>
        <w:t xml:space="preserve">• </w:t>
      </w:r>
      <w:r>
        <w:t>Server-side pagination.</w:t>
      </w:r>
    </w:p>
    <w:p>
      <w:pPr>
        <w:pStyle w:val="ListBody"/>
        <w:ind w:left="490" w:hanging="331"/>
      </w:pPr>
      <w:r>
        <w:rPr>
          <w:b/>
        </w:rPr>
        <w:t xml:space="preserve">• </w:t>
      </w:r>
      <w:r>
        <w:t>Server-side sorting.</w:t>
      </w:r>
    </w:p>
    <w:p>
      <w:pPr>
        <w:pStyle w:val="ListBody"/>
        <w:ind w:left="490" w:hanging="331"/>
      </w:pPr>
      <w:r>
        <w:rPr>
          <w:b/>
        </w:rPr>
        <w:t xml:space="preserve">• </w:t>
      </w:r>
      <w:r>
        <w:t>Server-side filters.</w:t>
      </w:r>
    </w:p>
    <w:p>
      <w:pPr>
        <w:pStyle w:val="ListBody"/>
        <w:ind w:left="490" w:hanging="331"/>
      </w:pPr>
      <w:r>
        <w:rPr>
          <w:b/>
        </w:rPr>
        <w:t xml:space="preserve">• </w:t>
      </w:r>
      <w:r>
        <w:t>Virtualized rows.</w:t>
      </w:r>
    </w:p>
    <w:p>
      <w:pPr>
        <w:pStyle w:val="ListBody"/>
        <w:ind w:left="490" w:hanging="331"/>
      </w:pPr>
      <w:r>
        <w:rPr>
          <w:b/>
        </w:rPr>
        <w:t xml:space="preserve">• </w:t>
      </w:r>
      <w:r>
        <w:t>Column selector.</w:t>
      </w:r>
    </w:p>
    <w:p>
      <w:pPr>
        <w:pStyle w:val="ListBody"/>
        <w:ind w:left="490" w:hanging="331"/>
      </w:pPr>
      <w:r>
        <w:rPr>
          <w:b/>
        </w:rPr>
        <w:t xml:space="preserve">• </w:t>
      </w:r>
      <w:r>
        <w:t>Saved filters.</w:t>
      </w:r>
    </w:p>
    <w:p>
      <w:pPr>
        <w:pStyle w:val="ListBody"/>
        <w:ind w:left="490" w:hanging="331"/>
      </w:pPr>
      <w:r>
        <w:rPr>
          <w:b/>
        </w:rPr>
        <w:t xml:space="preserve">• </w:t>
      </w:r>
      <w:r>
        <w:t>Watchlist actions.</w:t>
      </w:r>
    </w:p>
    <w:p>
      <w:pPr>
        <w:pStyle w:val="ListBody"/>
        <w:ind w:left="490" w:hanging="331"/>
      </w:pPr>
      <w:r>
        <w:rPr>
          <w:b/>
        </w:rPr>
        <w:t xml:space="preserve">• </w:t>
      </w:r>
      <w:r>
        <w:t>Export where legally permitted.</w:t>
      </w:r>
    </w:p>
    <w:p>
      <w:pPr/>
      <w:r>
        <w:t>Default:</w:t>
      </w:r>
    </w:p>
    <w:p>
      <w:pPr/>
      <w:r>
        <w:t>50 rows per request</w:t>
        <w:br/>
        <w:t>200 rows maximum per request</w:t>
      </w:r>
    </w:p>
    <w:p>
      <w:pPr>
        <w:spacing w:after="0"/>
      </w:pPr>
      <w:r/>
    </w:p>
    <w:p>
      <w:pPr>
        <w:pStyle w:val="Heading1"/>
        <w:pBdr>
          <w:bottom w:val="single" w:sz="4" w:space="5" w:color="7A9AAA"/>
        </w:pBdr>
        <w:keepNext/>
      </w:pPr>
      <w:r>
        <w:t>82. Multi-Horizon Signal Matrix</w:t>
      </w:r>
    </w:p>
    <w:p>
      <w:pPr/>
      <w:r>
        <w:t>Display:</w:t>
      </w:r>
    </w:p>
    <w:p>
      <w:pPr>
        <w:pStyle w:val="ListBody"/>
        <w:ind w:left="490" w:hanging="331"/>
      </w:pPr>
      <w:r>
        <w:rPr>
          <w:b/>
        </w:rPr>
        <w:t xml:space="preserve">• </w:t>
      </w:r>
      <w:r>
        <w:t>Symbol.</w:t>
      </w:r>
    </w:p>
    <w:p>
      <w:pPr>
        <w:pStyle w:val="ListBody"/>
        <w:ind w:left="490" w:hanging="331"/>
      </w:pPr>
      <w:r>
        <w:rPr>
          <w:b/>
        </w:rPr>
        <w:t xml:space="preserve">• </w:t>
      </w:r>
      <w:r>
        <w:t>Company.</w:t>
      </w:r>
    </w:p>
    <w:p>
      <w:pPr>
        <w:pStyle w:val="ListBody"/>
        <w:ind w:left="490" w:hanging="331"/>
      </w:pPr>
      <w:r>
        <w:rPr>
          <w:b/>
        </w:rPr>
        <w:t xml:space="preserve">• </w:t>
      </w:r>
      <w:r>
        <w:t>Candidate Score.</w:t>
      </w:r>
    </w:p>
    <w:p>
      <w:pPr>
        <w:pStyle w:val="ListBody"/>
        <w:ind w:left="490" w:hanging="331"/>
      </w:pPr>
      <w:r>
        <w:rPr>
          <w:b/>
        </w:rPr>
        <w:t xml:space="preserve">• </w:t>
      </w:r>
      <w:r>
        <w:t>Research Score.</w:t>
      </w:r>
    </w:p>
    <w:p>
      <w:pPr>
        <w:pStyle w:val="ListBody"/>
        <w:ind w:left="490" w:hanging="331"/>
      </w:pPr>
      <w:r>
        <w:rPr>
          <w:b/>
        </w:rPr>
        <w:t xml:space="preserve">• </w:t>
      </w:r>
      <w:r>
        <w:t>Daily state.</w:t>
      </w:r>
    </w:p>
    <w:p>
      <w:pPr>
        <w:pStyle w:val="ListBody"/>
        <w:ind w:left="490" w:hanging="331"/>
      </w:pPr>
      <w:r>
        <w:rPr>
          <w:b/>
        </w:rPr>
        <w:t xml:space="preserve">• </w:t>
      </w:r>
      <w:r>
        <w:t>Weekly state.</w:t>
      </w:r>
    </w:p>
    <w:p>
      <w:pPr>
        <w:pStyle w:val="ListBody"/>
        <w:ind w:left="490" w:hanging="331"/>
      </w:pPr>
      <w:r>
        <w:rPr>
          <w:b/>
        </w:rPr>
        <w:t xml:space="preserve">• </w:t>
      </w:r>
      <w:r>
        <w:t>Monthly state.</w:t>
      </w:r>
    </w:p>
    <w:p>
      <w:pPr>
        <w:pStyle w:val="ListBody"/>
        <w:ind w:left="490" w:hanging="331"/>
      </w:pPr>
      <w:r>
        <w:rPr>
          <w:b/>
        </w:rPr>
        <w:t xml:space="preserve">• </w:t>
      </w:r>
      <w:r>
        <w:t>Medium state.</w:t>
      </w:r>
    </w:p>
    <w:p>
      <w:pPr>
        <w:pStyle w:val="ListBody"/>
        <w:ind w:left="490" w:hanging="331"/>
      </w:pPr>
      <w:r>
        <w:rPr>
          <w:b/>
        </w:rPr>
        <w:t xml:space="preserve">• </w:t>
      </w:r>
      <w:r>
        <w:t>Long state.</w:t>
      </w:r>
    </w:p>
    <w:p>
      <w:pPr>
        <w:pStyle w:val="ListBody"/>
        <w:ind w:left="490" w:hanging="331"/>
      </w:pPr>
      <w:r>
        <w:rPr>
          <w:b/>
        </w:rPr>
        <w:t xml:space="preserve">• </w:t>
      </w:r>
      <w:r>
        <w:t>Alignment score.</w:t>
      </w:r>
    </w:p>
    <w:p>
      <w:pPr>
        <w:pStyle w:val="ListBody"/>
        <w:ind w:left="490" w:hanging="331"/>
      </w:pPr>
      <w:r>
        <w:rPr>
          <w:b/>
        </w:rPr>
        <w:t xml:space="preserve">• </w:t>
      </w:r>
      <w:r>
        <w:t>Confidence.</w:t>
      </w:r>
    </w:p>
    <w:p>
      <w:pPr>
        <w:pStyle w:val="ListBody"/>
        <w:ind w:left="490" w:hanging="331"/>
      </w:pPr>
      <w:r>
        <w:rPr>
          <w:b/>
        </w:rPr>
        <w:t xml:space="preserve">• </w:t>
      </w:r>
      <w:r>
        <w:t>Sector rank.</w:t>
      </w:r>
    </w:p>
    <w:p>
      <w:pPr>
        <w:pStyle w:val="ListBody"/>
        <w:ind w:left="490" w:hanging="331"/>
      </w:pPr>
      <w:r>
        <w:rPr>
          <w:b/>
        </w:rPr>
        <w:t xml:space="preserve">• </w:t>
      </w:r>
      <w:r>
        <w:t>Valuation state.</w:t>
      </w:r>
    </w:p>
    <w:p>
      <w:pPr>
        <w:pStyle w:val="ListBody"/>
        <w:ind w:left="490" w:hanging="331"/>
      </w:pPr>
      <w:r>
        <w:rPr>
          <w:b/>
        </w:rPr>
        <w:t xml:space="preserve">• </w:t>
      </w:r>
      <w:r>
        <w:t>Hard-gate status.</w:t>
      </w:r>
    </w:p>
    <w:p>
      <w:pPr>
        <w:pStyle w:val="ListBody"/>
        <w:ind w:left="490" w:hanging="331"/>
      </w:pPr>
      <w:r>
        <w:rPr>
          <w:b/>
        </w:rPr>
        <w:t xml:space="preserve">• </w:t>
      </w:r>
      <w:r>
        <w:t>Liquidity.</w:t>
      </w:r>
    </w:p>
    <w:p>
      <w:pPr>
        <w:pStyle w:val="ListBody"/>
        <w:ind w:left="490" w:hanging="331"/>
      </w:pPr>
      <w:r>
        <w:rPr>
          <w:b/>
        </w:rPr>
        <w:t xml:space="preserve">• </w:t>
      </w:r>
      <w:r>
        <w:t>Last signal change.</w:t>
      </w:r>
    </w:p>
    <w:p>
      <w:pPr>
        <w:pStyle w:val="ListBody"/>
        <w:ind w:left="490" w:hanging="331"/>
      </w:pPr>
      <w:r>
        <w:rPr>
          <w:b/>
        </w:rPr>
        <w:t xml:space="preserve">• </w:t>
      </w:r>
      <w:r>
        <w:t>Suggested action.</w:t>
      </w:r>
    </w:p>
    <w:p>
      <w:pPr/>
      <w:r>
        <w:t>Filters:</w:t>
      </w:r>
    </w:p>
    <w:p>
      <w:pPr>
        <w:pStyle w:val="ListBody"/>
        <w:ind w:left="490" w:hanging="331"/>
      </w:pPr>
      <w:r>
        <w:rPr>
          <w:b/>
        </w:rPr>
        <w:t xml:space="preserve">• </w:t>
      </w:r>
      <w:r>
        <w:t>Horizon.</w:t>
      </w:r>
    </w:p>
    <w:p>
      <w:pPr>
        <w:pStyle w:val="ListBody"/>
        <w:ind w:left="490" w:hanging="331"/>
      </w:pPr>
      <w:r>
        <w:rPr>
          <w:b/>
        </w:rPr>
        <w:t xml:space="preserve">• </w:t>
      </w:r>
      <w:r>
        <w:t>Signal.</w:t>
      </w:r>
    </w:p>
    <w:p>
      <w:pPr>
        <w:pStyle w:val="ListBody"/>
        <w:ind w:left="490" w:hanging="331"/>
      </w:pPr>
      <w:r>
        <w:rPr>
          <w:b/>
        </w:rPr>
        <w:t xml:space="preserve">• </w:t>
      </w:r>
      <w:r>
        <w:t>Sector.</w:t>
      </w:r>
    </w:p>
    <w:p>
      <w:pPr>
        <w:pStyle w:val="ListBody"/>
        <w:ind w:left="490" w:hanging="331"/>
      </w:pPr>
      <w:r>
        <w:rPr>
          <w:b/>
        </w:rPr>
        <w:t xml:space="preserve">• </w:t>
      </w:r>
      <w:r>
        <w:t>Market-cap category.</w:t>
      </w:r>
    </w:p>
    <w:p>
      <w:pPr>
        <w:pStyle w:val="ListBody"/>
        <w:ind w:left="490" w:hanging="331"/>
      </w:pPr>
      <w:r>
        <w:rPr>
          <w:b/>
        </w:rPr>
        <w:t xml:space="preserve">• </w:t>
      </w:r>
      <w:r>
        <w:t>Minimum score.</w:t>
      </w:r>
    </w:p>
    <w:p>
      <w:pPr>
        <w:pStyle w:val="ListBody"/>
        <w:ind w:left="490" w:hanging="331"/>
      </w:pPr>
      <w:r>
        <w:rPr>
          <w:b/>
        </w:rPr>
        <w:t xml:space="preserve">• </w:t>
      </w:r>
      <w:r>
        <w:t>Minimum confidence.</w:t>
      </w:r>
    </w:p>
    <w:p>
      <w:pPr>
        <w:pStyle w:val="ListBody"/>
        <w:ind w:left="490" w:hanging="331"/>
      </w:pPr>
      <w:r>
        <w:rPr>
          <w:b/>
        </w:rPr>
        <w:t xml:space="preserve">• </w:t>
      </w:r>
      <w:r>
        <w:t>Maximum rank.</w:t>
      </w:r>
    </w:p>
    <w:p>
      <w:pPr>
        <w:pStyle w:val="ListBody"/>
        <w:ind w:left="490" w:hanging="331"/>
      </w:pPr>
      <w:r>
        <w:rPr>
          <w:b/>
        </w:rPr>
        <w:t xml:space="preserve">• </w:t>
      </w:r>
      <w:r>
        <w:t>Liquidity.</w:t>
      </w:r>
    </w:p>
    <w:p>
      <w:pPr>
        <w:pStyle w:val="ListBody"/>
        <w:ind w:left="490" w:hanging="331"/>
      </w:pPr>
      <w:r>
        <w:rPr>
          <w:b/>
        </w:rPr>
        <w:t xml:space="preserve">• </w:t>
      </w:r>
      <w:r>
        <w:t>Governance state.</w:t>
      </w:r>
    </w:p>
    <w:p>
      <w:pPr>
        <w:pStyle w:val="ListBody"/>
        <w:ind w:left="490" w:hanging="331"/>
      </w:pPr>
      <w:r>
        <w:rPr>
          <w:b/>
        </w:rPr>
        <w:t xml:space="preserve">• </w:t>
      </w:r>
      <w:r>
        <w:t>Data Confidence.</w:t>
      </w:r>
    </w:p>
    <w:p>
      <w:pPr>
        <w:pStyle w:val="ListBody"/>
        <w:ind w:left="490" w:hanging="331"/>
      </w:pPr>
      <w:r>
        <w:rPr>
          <w:b/>
        </w:rPr>
        <w:t xml:space="preserve">• </w:t>
      </w:r>
      <w:r>
        <w:t>F&amp;O eligibility.</w:t>
      </w:r>
    </w:p>
    <w:p>
      <w:pPr>
        <w:pStyle w:val="ListBody"/>
        <w:ind w:left="490" w:hanging="331"/>
      </w:pPr>
      <w:r>
        <w:rPr>
          <w:b/>
        </w:rPr>
        <w:t xml:space="preserve">• </w:t>
      </w:r>
      <w:r>
        <w:t>Portfolio holding.</w:t>
      </w:r>
    </w:p>
    <w:p>
      <w:pPr>
        <w:pStyle w:val="ListBody"/>
        <w:ind w:left="490" w:hanging="331"/>
      </w:pPr>
      <w:r>
        <w:rPr>
          <w:b/>
        </w:rPr>
        <w:t xml:space="preserve">• </w:t>
      </w:r>
      <w:r>
        <w:t>New signals only.</w:t>
      </w:r>
    </w:p>
    <w:p>
      <w:pPr>
        <w:pStyle w:val="ListBody"/>
        <w:ind w:left="490" w:hanging="331"/>
      </w:pPr>
      <w:r>
        <w:rPr>
          <w:b/>
        </w:rPr>
        <w:t xml:space="preserve">• </w:t>
      </w:r>
      <w:r>
        <w:t>Confirmed versus preview.</w:t>
      </w:r>
    </w:p>
    <w:p>
      <w:pPr>
        <w:pStyle w:val="ListBody"/>
        <w:ind w:left="490" w:hanging="331"/>
      </w:pPr>
      <w:r>
        <w:rPr>
          <w:b/>
        </w:rPr>
        <w:t xml:space="preserve">• </w:t>
      </w:r>
      <w:r>
        <w:t>Result date.</w:t>
      </w:r>
    </w:p>
    <w:p>
      <w:pPr>
        <w:pStyle w:val="ListBody"/>
        <w:ind w:left="490" w:hanging="331"/>
      </w:pPr>
      <w:r>
        <w:rPr>
          <w:b/>
        </w:rPr>
        <w:t xml:space="preserve">• </w:t>
      </w:r>
      <w:r>
        <w:t>Valuation range.</w:t>
      </w:r>
    </w:p>
    <w:p>
      <w:pPr>
        <w:spacing w:after="0"/>
      </w:pPr>
      <w:r/>
    </w:p>
    <w:p>
      <w:pPr>
        <w:pStyle w:val="Heading1"/>
        <w:pBdr>
          <w:bottom w:val="single" w:sz="4" w:space="5" w:color="7A9AAA"/>
        </w:pBdr>
        <w:keepNext/>
      </w:pPr>
      <w:r>
        <w:t>83. Company dashboard</w:t>
      </w:r>
    </w:p>
    <w:p>
      <w:pPr/>
      <w:r>
        <w:t>Tabs:</w:t>
      </w:r>
    </w:p>
    <w:p>
      <w:pPr>
        <w:pStyle w:val="ListBody"/>
        <w:ind w:left="490" w:hanging="331"/>
      </w:pPr>
      <w:r>
        <w:rPr>
          <w:b/>
        </w:rPr>
        <w:t xml:space="preserve">1. </w:t>
      </w:r>
      <w:r>
        <w:t>Summary.</w:t>
      </w:r>
    </w:p>
    <w:p>
      <w:pPr>
        <w:pStyle w:val="ListBody"/>
        <w:ind w:left="490" w:hanging="331"/>
      </w:pPr>
      <w:r>
        <w:rPr>
          <w:b/>
        </w:rPr>
        <w:t xml:space="preserve">2. </w:t>
      </w:r>
      <w:r>
        <w:t>Multi-Horizon Signals.</w:t>
      </w:r>
    </w:p>
    <w:p>
      <w:pPr>
        <w:pStyle w:val="ListBody"/>
        <w:ind w:left="490" w:hanging="331"/>
      </w:pPr>
      <w:r>
        <w:rPr>
          <w:b/>
        </w:rPr>
        <w:t xml:space="preserve">3. </w:t>
      </w:r>
      <w:r>
        <w:t>Financials.</w:t>
      </w:r>
    </w:p>
    <w:p>
      <w:pPr>
        <w:pStyle w:val="ListBody"/>
        <w:ind w:left="490" w:hanging="331"/>
      </w:pPr>
      <w:r>
        <w:rPr>
          <w:b/>
        </w:rPr>
        <w:t xml:space="preserve">4. </w:t>
      </w:r>
      <w:r>
        <w:t>Sector Metrics.</w:t>
      </w:r>
    </w:p>
    <w:p>
      <w:pPr>
        <w:pStyle w:val="ListBody"/>
        <w:ind w:left="490" w:hanging="331"/>
      </w:pPr>
      <w:r>
        <w:rPr>
          <w:b/>
        </w:rPr>
        <w:t xml:space="preserve">5. </w:t>
      </w:r>
      <w:r>
        <w:t>Cash Flow.</w:t>
      </w:r>
    </w:p>
    <w:p>
      <w:pPr>
        <w:pStyle w:val="ListBody"/>
        <w:ind w:left="490" w:hanging="331"/>
      </w:pPr>
      <w:r>
        <w:rPr>
          <w:b/>
        </w:rPr>
        <w:t xml:space="preserve">6. </w:t>
      </w:r>
      <w:r>
        <w:t>Balance Sheet.</w:t>
      </w:r>
    </w:p>
    <w:p>
      <w:pPr>
        <w:pStyle w:val="ListBody"/>
        <w:ind w:left="490" w:hanging="331"/>
      </w:pPr>
      <w:r>
        <w:rPr>
          <w:b/>
        </w:rPr>
        <w:t xml:space="preserve">7. </w:t>
      </w:r>
      <w:r>
        <w:t>Valuation.</w:t>
      </w:r>
    </w:p>
    <w:p>
      <w:pPr>
        <w:pStyle w:val="ListBody"/>
        <w:ind w:left="490" w:hanging="331"/>
      </w:pPr>
      <w:r>
        <w:rPr>
          <w:b/>
        </w:rPr>
        <w:t xml:space="preserve">8. </w:t>
      </w:r>
      <w:r>
        <w:t>Governance.</w:t>
      </w:r>
    </w:p>
    <w:p>
      <w:pPr>
        <w:pStyle w:val="ListBody"/>
        <w:ind w:left="490" w:hanging="331"/>
      </w:pPr>
      <w:r>
        <w:rPr>
          <w:b/>
        </w:rPr>
        <w:t xml:space="preserve">9. </w:t>
      </w:r>
      <w:r>
        <w:t>Shareholding.</w:t>
      </w:r>
    </w:p>
    <w:p>
      <w:pPr>
        <w:pStyle w:val="ListBody"/>
        <w:ind w:left="490" w:hanging="331"/>
      </w:pPr>
      <w:r>
        <w:rPr>
          <w:b/>
        </w:rPr>
        <w:t xml:space="preserve">10. </w:t>
      </w:r>
      <w:r>
        <w:t>Technicals.</w:t>
      </w:r>
    </w:p>
    <w:p>
      <w:pPr>
        <w:pStyle w:val="ListBody"/>
        <w:ind w:left="490" w:hanging="331"/>
      </w:pPr>
      <w:r>
        <w:rPr>
          <w:b/>
        </w:rPr>
        <w:t xml:space="preserve">11. </w:t>
      </w:r>
      <w:r>
        <w:t>Forecasts.</w:t>
      </w:r>
    </w:p>
    <w:p>
      <w:pPr>
        <w:pStyle w:val="ListBody"/>
        <w:ind w:left="490" w:hanging="331"/>
      </w:pPr>
      <w:r>
        <w:rPr>
          <w:b/>
        </w:rPr>
        <w:t xml:space="preserve">12. </w:t>
      </w:r>
      <w:r>
        <w:t>Scenarios.</w:t>
      </w:r>
    </w:p>
    <w:p>
      <w:pPr>
        <w:pStyle w:val="ListBody"/>
        <w:ind w:left="490" w:hanging="331"/>
      </w:pPr>
      <w:r>
        <w:rPr>
          <w:b/>
        </w:rPr>
        <w:t xml:space="preserve">13. </w:t>
      </w:r>
      <w:r>
        <w:t>Catalysts.</w:t>
      </w:r>
    </w:p>
    <w:p>
      <w:pPr>
        <w:pStyle w:val="ListBody"/>
        <w:ind w:left="490" w:hanging="331"/>
      </w:pPr>
      <w:r>
        <w:rPr>
          <w:b/>
        </w:rPr>
        <w:t xml:space="preserve">14. </w:t>
      </w:r>
      <w:r>
        <w:t>Risks.</w:t>
      </w:r>
    </w:p>
    <w:p>
      <w:pPr>
        <w:pStyle w:val="ListBody"/>
        <w:ind w:left="490" w:hanging="331"/>
      </w:pPr>
      <w:r>
        <w:rPr>
          <w:b/>
        </w:rPr>
        <w:t xml:space="preserve">15. </w:t>
      </w:r>
      <w:r>
        <w:t>Evidence Ledger.</w:t>
      </w:r>
    </w:p>
    <w:p>
      <w:pPr>
        <w:pStyle w:val="ListBody"/>
        <w:ind w:left="490" w:hanging="331"/>
      </w:pPr>
      <w:r>
        <w:rPr>
          <w:b/>
        </w:rPr>
        <w:t xml:space="preserve">16. </w:t>
      </w:r>
      <w:r>
        <w:t>Signal History.</w:t>
      </w:r>
    </w:p>
    <w:p>
      <w:pPr>
        <w:pStyle w:val="ListBody"/>
        <w:ind w:left="490" w:hanging="331"/>
      </w:pPr>
      <w:r>
        <w:rPr>
          <w:b/>
        </w:rPr>
        <w:t xml:space="preserve">17. </w:t>
      </w:r>
      <w:r>
        <w:t>Position History.</w:t>
      </w:r>
    </w:p>
    <w:p>
      <w:pPr>
        <w:pStyle w:val="ListBody"/>
        <w:ind w:left="490" w:hanging="331"/>
      </w:pPr>
      <w:r>
        <w:rPr>
          <w:b/>
        </w:rPr>
        <w:t xml:space="preserve">18. </w:t>
      </w:r>
      <w:r>
        <w:t>Documents.</w:t>
      </w:r>
    </w:p>
    <w:p>
      <w:pPr>
        <w:pStyle w:val="ListBody"/>
        <w:ind w:left="490" w:hanging="331"/>
      </w:pPr>
      <w:r>
        <w:rPr>
          <w:b/>
        </w:rPr>
        <w:t xml:space="preserve">19. </w:t>
      </w:r>
      <w:r>
        <w:t>Audit Trail.</w:t>
      </w:r>
    </w:p>
    <w:p>
      <w:pPr>
        <w:pStyle w:val="Heading2"/>
        <w:keepNext/>
      </w:pPr>
      <w:r>
        <w:t>Signal card</w:t>
      </w:r>
    </w:p>
    <w:p>
      <w:pPr/>
      <w:r>
        <w:t>Each horizon card displays:</w:t>
      </w:r>
    </w:p>
    <w:p>
      <w:pPr>
        <w:pStyle w:val="ListBody"/>
        <w:ind w:left="490" w:hanging="331"/>
      </w:pPr>
      <w:r>
        <w:rPr>
          <w:b/>
        </w:rPr>
        <w:t xml:space="preserve">• </w:t>
      </w:r>
      <w:r>
        <w:t>Current state.</w:t>
      </w:r>
    </w:p>
    <w:p>
      <w:pPr>
        <w:pStyle w:val="ListBody"/>
        <w:ind w:left="490" w:hanging="331"/>
      </w:pPr>
      <w:r>
        <w:rPr>
          <w:b/>
        </w:rPr>
        <w:t xml:space="preserve">• </w:t>
      </w:r>
      <w:r>
        <w:t>Previous state.</w:t>
      </w:r>
    </w:p>
    <w:p>
      <w:pPr>
        <w:pStyle w:val="ListBody"/>
        <w:ind w:left="490" w:hanging="331"/>
      </w:pPr>
      <w:r>
        <w:rPr>
          <w:b/>
        </w:rPr>
        <w:t xml:space="preserve">• </w:t>
      </w:r>
      <w:r>
        <w:t>Score.</w:t>
      </w:r>
    </w:p>
    <w:p>
      <w:pPr>
        <w:pStyle w:val="ListBody"/>
        <w:ind w:left="490" w:hanging="331"/>
      </w:pPr>
      <w:r>
        <w:rPr>
          <w:b/>
        </w:rPr>
        <w:t xml:space="preserve">• </w:t>
      </w:r>
      <w:r>
        <w:t>Confidence.</w:t>
      </w:r>
    </w:p>
    <w:p>
      <w:pPr>
        <w:pStyle w:val="ListBody"/>
        <w:ind w:left="490" w:hanging="331"/>
      </w:pPr>
      <w:r>
        <w:rPr>
          <w:b/>
        </w:rPr>
        <w:t xml:space="preserve">• </w:t>
      </w:r>
      <w:r>
        <w:t>Confirmation date.</w:t>
      </w:r>
    </w:p>
    <w:p>
      <w:pPr>
        <w:pStyle w:val="ListBody"/>
        <w:ind w:left="490" w:hanging="331"/>
      </w:pPr>
      <w:r>
        <w:rPr>
          <w:b/>
        </w:rPr>
        <w:t xml:space="preserve">• </w:t>
      </w:r>
      <w:r>
        <w:t>Validity.</w:t>
      </w:r>
    </w:p>
    <w:p>
      <w:pPr>
        <w:pStyle w:val="ListBody"/>
        <w:ind w:left="490" w:hanging="331"/>
      </w:pPr>
      <w:r>
        <w:rPr>
          <w:b/>
        </w:rPr>
        <w:t xml:space="preserve">• </w:t>
      </w:r>
      <w:r>
        <w:t>Entry range.</w:t>
      </w:r>
    </w:p>
    <w:p>
      <w:pPr>
        <w:pStyle w:val="ListBody"/>
        <w:ind w:left="490" w:hanging="331"/>
      </w:pPr>
      <w:r>
        <w:rPr>
          <w:b/>
        </w:rPr>
        <w:t xml:space="preserve">• </w:t>
      </w:r>
      <w:r>
        <w:t>Stop or invalidation.</w:t>
      </w:r>
    </w:p>
    <w:p>
      <w:pPr>
        <w:pStyle w:val="ListBody"/>
        <w:ind w:left="490" w:hanging="331"/>
      </w:pPr>
      <w:r>
        <w:rPr>
          <w:b/>
        </w:rPr>
        <w:t xml:space="preserve">• </w:t>
      </w:r>
      <w:r>
        <w:t>Positive contributors.</w:t>
      </w:r>
    </w:p>
    <w:p>
      <w:pPr>
        <w:pStyle w:val="ListBody"/>
        <w:ind w:left="490" w:hanging="331"/>
      </w:pPr>
      <w:r>
        <w:rPr>
          <w:b/>
        </w:rPr>
        <w:t xml:space="preserve">• </w:t>
      </w:r>
      <w:r>
        <w:t>Negative contributors.</w:t>
      </w:r>
    </w:p>
    <w:p>
      <w:pPr>
        <w:pStyle w:val="ListBody"/>
        <w:ind w:left="490" w:hanging="331"/>
      </w:pPr>
      <w:r>
        <w:rPr>
          <w:b/>
        </w:rPr>
        <w:t xml:space="preserve">• </w:t>
      </w:r>
      <w:r>
        <w:t>Regime.</w:t>
      </w:r>
    </w:p>
    <w:p>
      <w:pPr>
        <w:pStyle w:val="ListBody"/>
        <w:ind w:left="490" w:hanging="331"/>
      </w:pPr>
      <w:r>
        <w:rPr>
          <w:b/>
        </w:rPr>
        <w:t xml:space="preserve">• </w:t>
      </w:r>
      <w:r>
        <w:t>Next review.</w:t>
      </w:r>
    </w:p>
    <w:p>
      <w:pPr>
        <w:pStyle w:val="ListBody"/>
        <w:ind w:left="490" w:hanging="331"/>
      </w:pPr>
      <w:r>
        <w:rPr>
          <w:b/>
        </w:rPr>
        <w:t xml:space="preserve">• </w:t>
      </w:r>
      <w:r>
        <w:t>Model version.</w:t>
      </w:r>
    </w:p>
    <w:p>
      <w:pPr>
        <w:spacing w:after="0"/>
      </w:pPr>
      <w:r/>
    </w:p>
    <w:p>
      <w:pPr>
        <w:pStyle w:val="Heading1"/>
        <w:pBdr>
          <w:bottom w:val="single" w:sz="4" w:space="5" w:color="7A9AAA"/>
        </w:pBdr>
        <w:keepNext/>
      </w:pPr>
      <w:r>
        <w:t>84. Alerts</w:t>
      </w:r>
    </w:p>
    <w:p>
      <w:pPr/>
      <w:r>
        <w:t>Alert categories:</w:t>
      </w:r>
    </w:p>
    <w:p>
      <w:pPr>
        <w:pStyle w:val="ListBody"/>
        <w:ind w:left="490" w:hanging="331"/>
      </w:pPr>
      <w:r>
        <w:rPr>
          <w:b/>
        </w:rPr>
        <w:t xml:space="preserve">• </w:t>
      </w:r>
      <w:r>
        <w:t>Signal preview.</w:t>
      </w:r>
    </w:p>
    <w:p>
      <w:pPr>
        <w:pStyle w:val="ListBody"/>
        <w:ind w:left="490" w:hanging="331"/>
      </w:pPr>
      <w:r>
        <w:rPr>
          <w:b/>
        </w:rPr>
        <w:t xml:space="preserve">• </w:t>
      </w:r>
      <w:r>
        <w:t>Signal confirmed.</w:t>
      </w:r>
    </w:p>
    <w:p>
      <w:pPr>
        <w:pStyle w:val="ListBody"/>
        <w:ind w:left="490" w:hanging="331"/>
      </w:pPr>
      <w:r>
        <w:rPr>
          <w:b/>
        </w:rPr>
        <w:t xml:space="preserve">• </w:t>
      </w:r>
      <w:r>
        <w:t>Signal expired.</w:t>
      </w:r>
    </w:p>
    <w:p>
      <w:pPr>
        <w:pStyle w:val="ListBody"/>
        <w:ind w:left="490" w:hanging="331"/>
      </w:pPr>
      <w:r>
        <w:rPr>
          <w:b/>
        </w:rPr>
        <w:t xml:space="preserve">• </w:t>
      </w:r>
      <w:r>
        <w:t>Entry reached.</w:t>
      </w:r>
    </w:p>
    <w:p>
      <w:pPr>
        <w:pStyle w:val="ListBody"/>
        <w:ind w:left="490" w:hanging="331"/>
      </w:pPr>
      <w:r>
        <w:rPr>
          <w:b/>
        </w:rPr>
        <w:t xml:space="preserve">• </w:t>
      </w:r>
      <w:r>
        <w:t>Stop reached.</w:t>
      </w:r>
    </w:p>
    <w:p>
      <w:pPr>
        <w:pStyle w:val="ListBody"/>
        <w:ind w:left="490" w:hanging="331"/>
      </w:pPr>
      <w:r>
        <w:rPr>
          <w:b/>
        </w:rPr>
        <w:t xml:space="preserve">• </w:t>
      </w:r>
      <w:r>
        <w:t>Exit.</w:t>
      </w:r>
    </w:p>
    <w:p>
      <w:pPr>
        <w:pStyle w:val="ListBody"/>
        <w:ind w:left="490" w:hanging="331"/>
      </w:pPr>
      <w:r>
        <w:rPr>
          <w:b/>
        </w:rPr>
        <w:t xml:space="preserve">• </w:t>
      </w:r>
      <w:r>
        <w:t>Horizon conflict.</w:t>
      </w:r>
    </w:p>
    <w:p>
      <w:pPr>
        <w:pStyle w:val="ListBody"/>
        <w:ind w:left="490" w:hanging="331"/>
      </w:pPr>
      <w:r>
        <w:rPr>
          <w:b/>
        </w:rPr>
        <w:t xml:space="preserve">• </w:t>
      </w:r>
      <w:r>
        <w:t>Hard gate.</w:t>
      </w:r>
    </w:p>
    <w:p>
      <w:pPr>
        <w:pStyle w:val="ListBody"/>
        <w:ind w:left="490" w:hanging="331"/>
      </w:pPr>
      <w:r>
        <w:rPr>
          <w:b/>
        </w:rPr>
        <w:t xml:space="preserve">• </w:t>
      </w:r>
      <w:r>
        <w:t>Auditor event.</w:t>
      </w:r>
    </w:p>
    <w:p>
      <w:pPr>
        <w:pStyle w:val="ListBody"/>
        <w:ind w:left="490" w:hanging="331"/>
      </w:pPr>
      <w:r>
        <w:rPr>
          <w:b/>
        </w:rPr>
        <w:t xml:space="preserve">• </w:t>
      </w:r>
      <w:r>
        <w:t>Default.</w:t>
      </w:r>
    </w:p>
    <w:p>
      <w:pPr>
        <w:pStyle w:val="ListBody"/>
        <w:ind w:left="490" w:hanging="331"/>
      </w:pPr>
      <w:r>
        <w:rPr>
          <w:b/>
        </w:rPr>
        <w:t xml:space="preserve">• </w:t>
      </w:r>
      <w:r>
        <w:t>Rating change.</w:t>
      </w:r>
    </w:p>
    <w:p>
      <w:pPr>
        <w:pStyle w:val="ListBody"/>
        <w:ind w:left="490" w:hanging="331"/>
      </w:pPr>
      <w:r>
        <w:rPr>
          <w:b/>
        </w:rPr>
        <w:t xml:space="preserve">• </w:t>
      </w:r>
      <w:r>
        <w:t>Promoter pledge.</w:t>
      </w:r>
    </w:p>
    <w:p>
      <w:pPr>
        <w:pStyle w:val="ListBody"/>
        <w:ind w:left="490" w:hanging="331"/>
      </w:pPr>
      <w:r>
        <w:rPr>
          <w:b/>
        </w:rPr>
        <w:t xml:space="preserve">• </w:t>
      </w:r>
      <w:r>
        <w:t>Corporate action.</w:t>
      </w:r>
    </w:p>
    <w:p>
      <w:pPr>
        <w:pStyle w:val="ListBody"/>
        <w:ind w:left="490" w:hanging="331"/>
      </w:pPr>
      <w:r>
        <w:rPr>
          <w:b/>
        </w:rPr>
        <w:t xml:space="preserve">• </w:t>
      </w:r>
      <w:r>
        <w:t>Financial result.</w:t>
      </w:r>
    </w:p>
    <w:p>
      <w:pPr>
        <w:pStyle w:val="ListBody"/>
        <w:ind w:left="490" w:hanging="331"/>
      </w:pPr>
      <w:r>
        <w:rPr>
          <w:b/>
        </w:rPr>
        <w:t xml:space="preserve">• </w:t>
      </w:r>
      <w:r>
        <w:t>Score upgrade.</w:t>
      </w:r>
    </w:p>
    <w:p>
      <w:pPr>
        <w:pStyle w:val="ListBody"/>
        <w:ind w:left="490" w:hanging="331"/>
      </w:pPr>
      <w:r>
        <w:rPr>
          <w:b/>
        </w:rPr>
        <w:t xml:space="preserve">• </w:t>
      </w:r>
      <w:r>
        <w:t>Score downgrade.</w:t>
      </w:r>
    </w:p>
    <w:p>
      <w:pPr>
        <w:pStyle w:val="ListBody"/>
        <w:ind w:left="490" w:hanging="331"/>
      </w:pPr>
      <w:r>
        <w:rPr>
          <w:b/>
        </w:rPr>
        <w:t xml:space="preserve">• </w:t>
      </w:r>
      <w:r>
        <w:t>Broker failure.</w:t>
      </w:r>
    </w:p>
    <w:p>
      <w:pPr>
        <w:pStyle w:val="ListBody"/>
        <w:ind w:left="490" w:hanging="331"/>
      </w:pPr>
      <w:r>
        <w:rPr>
          <w:b/>
        </w:rPr>
        <w:t xml:space="preserve">• </w:t>
      </w:r>
      <w:r>
        <w:t>Feed stale.</w:t>
      </w:r>
    </w:p>
    <w:p>
      <w:pPr>
        <w:pStyle w:val="ListBody"/>
        <w:ind w:left="490" w:hanging="331"/>
      </w:pPr>
      <w:r>
        <w:rPr>
          <w:b/>
        </w:rPr>
        <w:t xml:space="preserve">• </w:t>
      </w:r>
      <w:r>
        <w:t>Data conflict.</w:t>
      </w:r>
    </w:p>
    <w:p>
      <w:pPr>
        <w:pStyle w:val="ListBody"/>
        <w:ind w:left="490" w:hanging="331"/>
      </w:pPr>
      <w:r>
        <w:rPr>
          <w:b/>
        </w:rPr>
        <w:t xml:space="preserve">• </w:t>
      </w:r>
      <w:r>
        <w:t>Portfolio limit.</w:t>
      </w:r>
    </w:p>
    <w:p>
      <w:pPr>
        <w:pStyle w:val="ListBody"/>
        <w:ind w:left="490" w:hanging="331"/>
      </w:pPr>
      <w:r>
        <w:rPr>
          <w:b/>
        </w:rPr>
        <w:t xml:space="preserve">• </w:t>
      </w:r>
      <w:r>
        <w:t>Drawdown limit.</w:t>
      </w:r>
    </w:p>
    <w:p>
      <w:pPr>
        <w:pStyle w:val="ListBody"/>
        <w:ind w:left="490" w:hanging="331"/>
      </w:pPr>
      <w:r>
        <w:rPr>
          <w:b/>
        </w:rPr>
        <w:t xml:space="preserve">• </w:t>
      </w:r>
      <w:r>
        <w:t>Low disk.</w:t>
      </w:r>
    </w:p>
    <w:p>
      <w:pPr>
        <w:pStyle w:val="ListBody"/>
        <w:ind w:left="490" w:hanging="331"/>
      </w:pPr>
      <w:r>
        <w:rPr>
          <w:b/>
        </w:rPr>
        <w:t xml:space="preserve">• </w:t>
      </w:r>
      <w:r>
        <w:t>Low memory.</w:t>
      </w:r>
    </w:p>
    <w:p>
      <w:pPr>
        <w:pStyle w:val="ListBody"/>
        <w:ind w:left="490" w:hanging="331"/>
      </w:pPr>
      <w:r>
        <w:rPr>
          <w:b/>
        </w:rPr>
        <w:t xml:space="preserve">• </w:t>
      </w:r>
      <w:r>
        <w:t>Model drift.</w:t>
      </w:r>
    </w:p>
    <w:p>
      <w:pPr/>
      <w:r>
        <w:t>Every alert must include:</w:t>
      </w:r>
    </w:p>
    <w:p>
      <w:pPr>
        <w:pStyle w:val="ListBody"/>
        <w:ind w:left="490" w:hanging="331"/>
      </w:pPr>
      <w:r>
        <w:rPr>
          <w:b/>
        </w:rPr>
        <w:t xml:space="preserve">• </w:t>
      </w:r>
      <w:r>
        <w:t>Company.</w:t>
      </w:r>
    </w:p>
    <w:p>
      <w:pPr>
        <w:pStyle w:val="ListBody"/>
        <w:ind w:left="490" w:hanging="331"/>
      </w:pPr>
      <w:r>
        <w:rPr>
          <w:b/>
        </w:rPr>
        <w:t xml:space="preserve">• </w:t>
      </w:r>
      <w:r>
        <w:t>Event.</w:t>
      </w:r>
    </w:p>
    <w:p>
      <w:pPr>
        <w:pStyle w:val="ListBody"/>
        <w:ind w:left="490" w:hanging="331"/>
      </w:pPr>
      <w:r>
        <w:rPr>
          <w:b/>
        </w:rPr>
        <w:t xml:space="preserve">• </w:t>
      </w:r>
      <w:r>
        <w:t>Horizon.</w:t>
      </w:r>
    </w:p>
    <w:p>
      <w:pPr>
        <w:pStyle w:val="ListBody"/>
        <w:ind w:left="490" w:hanging="331"/>
      </w:pPr>
      <w:r>
        <w:rPr>
          <w:b/>
        </w:rPr>
        <w:t xml:space="preserve">• </w:t>
      </w:r>
      <w:r>
        <w:t>Previous state.</w:t>
      </w:r>
    </w:p>
    <w:p>
      <w:pPr>
        <w:pStyle w:val="ListBody"/>
        <w:ind w:left="490" w:hanging="331"/>
      </w:pPr>
      <w:r>
        <w:rPr>
          <w:b/>
        </w:rPr>
        <w:t xml:space="preserve">• </w:t>
      </w:r>
      <w:r>
        <w:t>New state.</w:t>
      </w:r>
    </w:p>
    <w:p>
      <w:pPr>
        <w:pStyle w:val="ListBody"/>
        <w:ind w:left="490" w:hanging="331"/>
      </w:pPr>
      <w:r>
        <w:rPr>
          <w:b/>
        </w:rPr>
        <w:t xml:space="preserve">• </w:t>
      </w:r>
      <w:r>
        <w:t>Price.</w:t>
      </w:r>
    </w:p>
    <w:p>
      <w:pPr>
        <w:pStyle w:val="ListBody"/>
        <w:ind w:left="490" w:hanging="331"/>
      </w:pPr>
      <w:r>
        <w:rPr>
          <w:b/>
        </w:rPr>
        <w:t xml:space="preserve">• </w:t>
      </w:r>
      <w:r>
        <w:t>Timestamp.</w:t>
      </w:r>
    </w:p>
    <w:p>
      <w:pPr>
        <w:pStyle w:val="ListBody"/>
        <w:ind w:left="490" w:hanging="331"/>
      </w:pPr>
      <w:r>
        <w:rPr>
          <w:b/>
        </w:rPr>
        <w:t xml:space="preserve">• </w:t>
      </w:r>
      <w:r>
        <w:t>Confidence.</w:t>
      </w:r>
    </w:p>
    <w:p>
      <w:pPr>
        <w:pStyle w:val="ListBody"/>
        <w:ind w:left="490" w:hanging="331"/>
      </w:pPr>
      <w:r>
        <w:rPr>
          <w:b/>
        </w:rPr>
        <w:t xml:space="preserve">• </w:t>
      </w:r>
      <w:r>
        <w:t>Required action.</w:t>
      </w:r>
    </w:p>
    <w:p>
      <w:pPr>
        <w:pStyle w:val="ListBody"/>
        <w:ind w:left="490" w:hanging="331"/>
      </w:pPr>
      <w:r>
        <w:rPr>
          <w:b/>
        </w:rPr>
        <w:t xml:space="preserve">• </w:t>
      </w:r>
      <w:r>
        <w:t>Source.</w:t>
      </w:r>
    </w:p>
    <w:p>
      <w:pPr>
        <w:pStyle w:val="ListBody"/>
        <w:ind w:left="490" w:hanging="331"/>
      </w:pPr>
      <w:r>
        <w:rPr>
          <w:b/>
        </w:rPr>
        <w:t xml:space="preserve">• </w:t>
      </w:r>
      <w:r>
        <w:t>Deduplication key.</w:t>
      </w:r>
    </w:p>
    <w:p>
      <w:pPr>
        <w:spacing w:after="0"/>
      </w:pPr>
      <w:r/>
    </w:p>
    <w:p>
      <w:pPr>
        <w:pStyle w:val="Heading1"/>
        <w:pBdr>
          <w:bottom w:val="single" w:sz="4" w:space="5" w:color="7A9AAA"/>
        </w:pBdr>
        <w:keepNext/>
      </w:pPr>
      <w:r>
        <w:t>85. Settings architecture</w:t>
      </w:r>
    </w:p>
    <w:p>
      <w:pPr>
        <w:pStyle w:val="Heading2"/>
        <w:keepNext/>
      </w:pPr>
      <w:r>
        <w:t>85.1 General</w:t>
      </w:r>
    </w:p>
    <w:p>
      <w:pPr>
        <w:pStyle w:val="ListBody"/>
        <w:ind w:left="490" w:hanging="331"/>
      </w:pPr>
      <w:r>
        <w:rPr>
          <w:b/>
        </w:rPr>
        <w:t xml:space="preserve">• </w:t>
      </w:r>
      <w:r>
        <w:t>Time zone.</w:t>
      </w:r>
    </w:p>
    <w:p>
      <w:pPr>
        <w:pStyle w:val="ListBody"/>
        <w:ind w:left="490" w:hanging="331"/>
      </w:pPr>
      <w:r>
        <w:rPr>
          <w:b/>
        </w:rPr>
        <w:t xml:space="preserve">• </w:t>
      </w:r>
      <w:r>
        <w:t>Benchmark.</w:t>
      </w:r>
    </w:p>
    <w:p>
      <w:pPr>
        <w:pStyle w:val="ListBody"/>
        <w:ind w:left="490" w:hanging="331"/>
      </w:pPr>
      <w:r>
        <w:rPr>
          <w:b/>
        </w:rPr>
        <w:t xml:space="preserve">• </w:t>
      </w:r>
      <w:r>
        <w:t>Default universe.</w:t>
      </w:r>
    </w:p>
    <w:p>
      <w:pPr>
        <w:pStyle w:val="ListBody"/>
        <w:ind w:left="490" w:hanging="331"/>
      </w:pPr>
      <w:r>
        <w:rPr>
          <w:b/>
        </w:rPr>
        <w:t xml:space="preserve">• </w:t>
      </w:r>
      <w:r>
        <w:t>Include SME.</w:t>
      </w:r>
    </w:p>
    <w:p>
      <w:pPr>
        <w:pStyle w:val="ListBody"/>
        <w:ind w:left="490" w:hanging="331"/>
      </w:pPr>
      <w:r>
        <w:rPr>
          <w:b/>
        </w:rPr>
        <w:t xml:space="preserve">• </w:t>
      </w:r>
      <w:r>
        <w:t>Include new listings.</w:t>
      </w:r>
    </w:p>
    <w:p>
      <w:pPr>
        <w:pStyle w:val="ListBody"/>
        <w:ind w:left="490" w:hanging="331"/>
      </w:pPr>
      <w:r>
        <w:rPr>
          <w:b/>
        </w:rPr>
        <w:t xml:space="preserve">• </w:t>
      </w:r>
      <w:r>
        <w:t>Include F&amp;O.</w:t>
      </w:r>
    </w:p>
    <w:p>
      <w:pPr>
        <w:pStyle w:val="ListBody"/>
        <w:ind w:left="490" w:hanging="331"/>
      </w:pPr>
      <w:r>
        <w:rPr>
          <w:b/>
        </w:rPr>
        <w:t xml:space="preserve">• </w:t>
      </w:r>
      <w:r>
        <w:t>Display precision.</w:t>
      </w:r>
    </w:p>
    <w:p>
      <w:pPr>
        <w:pStyle w:val="ListBody"/>
        <w:ind w:left="490" w:hanging="331"/>
      </w:pPr>
      <w:r>
        <w:rPr>
          <w:b/>
        </w:rPr>
        <w:t xml:space="preserve">• </w:t>
      </w:r>
      <w:r>
        <w:t>Base currency.</w:t>
      </w:r>
    </w:p>
    <w:p>
      <w:pPr>
        <w:pStyle w:val="ListBody"/>
        <w:ind w:left="490" w:hanging="331"/>
      </w:pPr>
      <w:r>
        <w:rPr>
          <w:b/>
        </w:rPr>
        <w:t xml:space="preserve">• </w:t>
      </w:r>
      <w:r>
        <w:t>Trading calendar.</w:t>
      </w:r>
    </w:p>
    <w:p>
      <w:pPr>
        <w:pStyle w:val="Heading2"/>
        <w:keepNext/>
      </w:pPr>
      <w:r>
        <w:t>85.2 Scoring</w:t>
      </w:r>
    </w:p>
    <w:p>
      <w:pPr>
        <w:pStyle w:val="ListBody"/>
        <w:ind w:left="490" w:hanging="331"/>
      </w:pPr>
      <w:r>
        <w:rPr>
          <w:b/>
        </w:rPr>
        <w:t xml:space="preserve">• </w:t>
      </w:r>
      <w:r>
        <w:t>Component weights.</w:t>
      </w:r>
    </w:p>
    <w:p>
      <w:pPr>
        <w:pStyle w:val="ListBody"/>
        <w:ind w:left="490" w:hanging="331"/>
      </w:pPr>
      <w:r>
        <w:rPr>
          <w:b/>
        </w:rPr>
        <w:t xml:space="preserve">• </w:t>
      </w:r>
      <w:r>
        <w:t>Minimum Data Confidence.</w:t>
      </w:r>
    </w:p>
    <w:p>
      <w:pPr>
        <w:pStyle w:val="ListBody"/>
        <w:ind w:left="490" w:hanging="331"/>
      </w:pPr>
      <w:r>
        <w:rPr>
          <w:b/>
        </w:rPr>
        <w:t xml:space="preserve">• </w:t>
      </w:r>
      <w:r>
        <w:t>Missing-data rules.</w:t>
      </w:r>
    </w:p>
    <w:p>
      <w:pPr>
        <w:pStyle w:val="ListBody"/>
        <w:ind w:left="490" w:hanging="331"/>
      </w:pPr>
      <w:r>
        <w:rPr>
          <w:b/>
        </w:rPr>
        <w:t xml:space="preserve">• </w:t>
      </w:r>
      <w:r>
        <w:t>Sector normalization.</w:t>
      </w:r>
    </w:p>
    <w:p>
      <w:pPr>
        <w:pStyle w:val="ListBody"/>
        <w:ind w:left="490" w:hanging="331"/>
      </w:pPr>
      <w:r>
        <w:rPr>
          <w:b/>
        </w:rPr>
        <w:t xml:space="preserve">• </w:t>
      </w:r>
      <w:r>
        <w:t>Size normalization.</w:t>
      </w:r>
    </w:p>
    <w:p>
      <w:pPr>
        <w:pStyle w:val="ListBody"/>
        <w:ind w:left="490" w:hanging="331"/>
      </w:pPr>
      <w:r>
        <w:rPr>
          <w:b/>
        </w:rPr>
        <w:t xml:space="preserve">• </w:t>
      </w:r>
      <w:r>
        <w:t>Hard-gate caps.</w:t>
      </w:r>
    </w:p>
    <w:p>
      <w:pPr>
        <w:pStyle w:val="ListBody"/>
        <w:ind w:left="490" w:hanging="331"/>
      </w:pPr>
      <w:r>
        <w:rPr>
          <w:b/>
        </w:rPr>
        <w:t xml:space="preserve">• </w:t>
      </w:r>
      <w:r>
        <w:t>Feature versions.</w:t>
      </w:r>
    </w:p>
    <w:p>
      <w:pPr/>
      <w:r>
        <w:t>Production profiles must be locked and versioned. Experiments must use separate profiles.</w:t>
      </w:r>
    </w:p>
    <w:p>
      <w:pPr>
        <w:pStyle w:val="Heading2"/>
        <w:keepNext/>
      </w:pPr>
      <w:r>
        <w:t>85.3 Horizon settings</w:t>
      </w:r>
    </w:p>
    <w:p>
      <w:pPr/>
      <w:r>
        <w:t>For each horizon:</w:t>
      </w:r>
    </w:p>
    <w:p>
      <w:pPr>
        <w:pStyle w:val="ListBody"/>
        <w:ind w:left="490" w:hanging="331"/>
      </w:pPr>
      <w:r>
        <w:rPr>
          <w:b/>
        </w:rPr>
        <w:t xml:space="preserve">• </w:t>
      </w:r>
      <w:r>
        <w:t>Enabled.</w:t>
      </w:r>
    </w:p>
    <w:p>
      <w:pPr>
        <w:pStyle w:val="ListBody"/>
        <w:ind w:left="490" w:hanging="331"/>
      </w:pPr>
      <w:r>
        <w:rPr>
          <w:b/>
        </w:rPr>
        <w:t xml:space="preserve">• </w:t>
      </w:r>
      <w:r>
        <w:t>Entry threshold.</w:t>
      </w:r>
    </w:p>
    <w:p>
      <w:pPr>
        <w:pStyle w:val="ListBody"/>
        <w:ind w:left="490" w:hanging="331"/>
      </w:pPr>
      <w:r>
        <w:rPr>
          <w:b/>
        </w:rPr>
        <w:t xml:space="preserve">• </w:t>
      </w:r>
      <w:r>
        <w:t>Exit threshold.</w:t>
      </w:r>
    </w:p>
    <w:p>
      <w:pPr>
        <w:pStyle w:val="ListBody"/>
        <w:ind w:left="490" w:hanging="331"/>
      </w:pPr>
      <w:r>
        <w:rPr>
          <w:b/>
        </w:rPr>
        <w:t xml:space="preserve">• </w:t>
      </w:r>
      <w:r>
        <w:t>Confidence threshold.</w:t>
      </w:r>
    </w:p>
    <w:p>
      <w:pPr>
        <w:pStyle w:val="ListBody"/>
        <w:ind w:left="490" w:hanging="331"/>
      </w:pPr>
      <w:r>
        <w:rPr>
          <w:b/>
        </w:rPr>
        <w:t xml:space="preserve">• </w:t>
      </w:r>
      <w:r>
        <w:t>Cooldown.</w:t>
      </w:r>
    </w:p>
    <w:p>
      <w:pPr>
        <w:pStyle w:val="ListBody"/>
        <w:ind w:left="490" w:hanging="331"/>
      </w:pPr>
      <w:r>
        <w:rPr>
          <w:b/>
        </w:rPr>
        <w:t xml:space="preserve">• </w:t>
      </w:r>
      <w:r>
        <w:t>Expiry.</w:t>
      </w:r>
    </w:p>
    <w:p>
      <w:pPr>
        <w:pStyle w:val="ListBody"/>
        <w:ind w:left="490" w:hanging="331"/>
      </w:pPr>
      <w:r>
        <w:rPr>
          <w:b/>
        </w:rPr>
        <w:t xml:space="preserve">• </w:t>
      </w:r>
      <w:r>
        <w:t>Maximum holding period.</w:t>
      </w:r>
    </w:p>
    <w:p>
      <w:pPr>
        <w:pStyle w:val="ListBody"/>
        <w:ind w:left="490" w:hanging="331"/>
      </w:pPr>
      <w:r>
        <w:rPr>
          <w:b/>
        </w:rPr>
        <w:t xml:space="preserve">• </w:t>
      </w:r>
      <w:r>
        <w:t>Regime sensitivity.</w:t>
      </w:r>
    </w:p>
    <w:p>
      <w:pPr>
        <w:pStyle w:val="ListBody"/>
        <w:ind w:left="490" w:hanging="331"/>
      </w:pPr>
      <w:r>
        <w:rPr>
          <w:b/>
        </w:rPr>
        <w:t xml:space="preserve">• </w:t>
      </w:r>
      <w:r>
        <w:t>Liquidity requirement.</w:t>
      </w:r>
    </w:p>
    <w:p>
      <w:pPr>
        <w:pStyle w:val="ListBody"/>
        <w:ind w:left="490" w:hanging="331"/>
      </w:pPr>
      <w:r>
        <w:rPr>
          <w:b/>
        </w:rPr>
        <w:t xml:space="preserve">• </w:t>
      </w:r>
      <w:r>
        <w:t>Stop method.</w:t>
      </w:r>
    </w:p>
    <w:p>
      <w:pPr>
        <w:pStyle w:val="ListBody"/>
        <w:ind w:left="490" w:hanging="331"/>
      </w:pPr>
      <w:r>
        <w:rPr>
          <w:b/>
        </w:rPr>
        <w:t xml:space="preserve">• </w:t>
      </w:r>
      <w:r>
        <w:t>Re-entry rule.</w:t>
      </w:r>
    </w:p>
    <w:p>
      <w:pPr>
        <w:pStyle w:val="ListBody"/>
        <w:ind w:left="490" w:hanging="331"/>
      </w:pPr>
      <w:r>
        <w:rPr>
          <w:b/>
        </w:rPr>
        <w:t xml:space="preserve">• </w:t>
      </w:r>
      <w:r>
        <w:t>Maximum concurrent positions.</w:t>
      </w:r>
    </w:p>
    <w:p>
      <w:pPr>
        <w:pStyle w:val="Heading2"/>
        <w:keepNext/>
      </w:pPr>
      <w:r>
        <w:t>85.4 Data sources</w:t>
      </w:r>
    </w:p>
    <w:p>
      <w:pPr>
        <w:pStyle w:val="ListBody"/>
        <w:ind w:left="490" w:hanging="331"/>
      </w:pPr>
      <w:r>
        <w:rPr>
          <w:b/>
        </w:rPr>
        <w:t xml:space="preserve">• </w:t>
      </w:r>
      <w:r>
        <w:t>Primary statutory source.</w:t>
      </w:r>
    </w:p>
    <w:p>
      <w:pPr>
        <w:pStyle w:val="ListBody"/>
        <w:ind w:left="490" w:hanging="331"/>
      </w:pPr>
      <w:r>
        <w:rPr>
          <w:b/>
        </w:rPr>
        <w:t xml:space="preserve">• </w:t>
      </w:r>
      <w:r>
        <w:t>Secondary statutory source.</w:t>
      </w:r>
    </w:p>
    <w:p>
      <w:pPr>
        <w:pStyle w:val="ListBody"/>
        <w:ind w:left="490" w:hanging="331"/>
      </w:pPr>
      <w:r>
        <w:rPr>
          <w:b/>
        </w:rPr>
        <w:t xml:space="preserve">• </w:t>
      </w:r>
      <w:r>
        <w:t>Primary price source.</w:t>
      </w:r>
    </w:p>
    <w:p>
      <w:pPr>
        <w:pStyle w:val="ListBody"/>
        <w:ind w:left="490" w:hanging="331"/>
      </w:pPr>
      <w:r>
        <w:rPr>
          <w:b/>
        </w:rPr>
        <w:t xml:space="preserve">• </w:t>
      </w:r>
      <w:r>
        <w:t>Secondary price source.</w:t>
      </w:r>
    </w:p>
    <w:p>
      <w:pPr>
        <w:pStyle w:val="ListBody"/>
        <w:ind w:left="490" w:hanging="331"/>
      </w:pPr>
      <w:r>
        <w:rPr>
          <w:b/>
        </w:rPr>
        <w:t xml:space="preserve">• </w:t>
      </w:r>
      <w:r>
        <w:t>Yahoo diagnostic toggle.</w:t>
      </w:r>
    </w:p>
    <w:p>
      <w:pPr>
        <w:pStyle w:val="ListBody"/>
        <w:ind w:left="490" w:hanging="331"/>
      </w:pPr>
      <w:r>
        <w:rPr>
          <w:b/>
        </w:rPr>
        <w:t xml:space="preserve">• </w:t>
      </w:r>
      <w:r>
        <w:t>Screener import toggle.</w:t>
      </w:r>
    </w:p>
    <w:p>
      <w:pPr>
        <w:pStyle w:val="ListBody"/>
        <w:ind w:left="490" w:hanging="331"/>
      </w:pPr>
      <w:r>
        <w:rPr>
          <w:b/>
        </w:rPr>
        <w:t xml:space="preserve">• </w:t>
      </w:r>
      <w:r>
        <w:t>Conflict tolerance.</w:t>
      </w:r>
    </w:p>
    <w:p>
      <w:pPr>
        <w:pStyle w:val="ListBody"/>
        <w:ind w:left="490" w:hanging="331"/>
      </w:pPr>
      <w:r>
        <w:rPr>
          <w:b/>
        </w:rPr>
        <w:t xml:space="preserve">• </w:t>
      </w:r>
      <w:r>
        <w:t>Staleness timeout.</w:t>
      </w:r>
    </w:p>
    <w:p>
      <w:pPr>
        <w:pStyle w:val="ListBody"/>
        <w:ind w:left="490" w:hanging="331"/>
      </w:pPr>
      <w:r>
        <w:rPr>
          <w:b/>
        </w:rPr>
        <w:t xml:space="preserve">• </w:t>
      </w:r>
      <w:r>
        <w:t>Retry limit.</w:t>
      </w:r>
    </w:p>
    <w:p>
      <w:pPr>
        <w:pStyle w:val="ListBody"/>
        <w:ind w:left="490" w:hanging="331"/>
      </w:pPr>
      <w:r>
        <w:rPr>
          <w:b/>
        </w:rPr>
        <w:t xml:space="preserve">• </w:t>
      </w:r>
      <w:r>
        <w:t>Quarantine behavior.</w:t>
      </w:r>
    </w:p>
    <w:p>
      <w:pPr>
        <w:pStyle w:val="ListBody"/>
        <w:ind w:left="490" w:hanging="331"/>
      </w:pPr>
      <w:r>
        <w:rPr>
          <w:b/>
        </w:rPr>
        <w:t xml:space="preserve">• </w:t>
      </w:r>
      <w:r>
        <w:t>Failover delay.</w:t>
      </w:r>
    </w:p>
    <w:p>
      <w:pPr>
        <w:pStyle w:val="Heading2"/>
        <w:keepNext/>
      </w:pPr>
      <w:r>
        <w:t>85.5 Portfolio</w:t>
      </w:r>
    </w:p>
    <w:p>
      <w:pPr>
        <w:pStyle w:val="ListBody"/>
        <w:ind w:left="490" w:hanging="331"/>
      </w:pPr>
      <w:r>
        <w:rPr>
          <w:b/>
        </w:rPr>
        <w:t xml:space="preserve">• </w:t>
      </w:r>
      <w:r>
        <w:t>Portfolio capital.</w:t>
      </w:r>
    </w:p>
    <w:p>
      <w:pPr>
        <w:pStyle w:val="ListBody"/>
        <w:ind w:left="490" w:hanging="331"/>
      </w:pPr>
      <w:r>
        <w:rPr>
          <w:b/>
        </w:rPr>
        <w:t xml:space="preserve">• </w:t>
      </w:r>
      <w:r>
        <w:t>Cash reserve.</w:t>
      </w:r>
    </w:p>
    <w:p>
      <w:pPr>
        <w:pStyle w:val="ListBody"/>
        <w:ind w:left="490" w:hanging="331"/>
      </w:pPr>
      <w:r>
        <w:rPr>
          <w:b/>
        </w:rPr>
        <w:t xml:space="preserve">• </w:t>
      </w:r>
      <w:r>
        <w:t>Risk per position.</w:t>
      </w:r>
    </w:p>
    <w:p>
      <w:pPr>
        <w:pStyle w:val="ListBody"/>
        <w:ind w:left="490" w:hanging="331"/>
      </w:pPr>
      <w:r>
        <w:rPr>
          <w:b/>
        </w:rPr>
        <w:t xml:space="preserve">• </w:t>
      </w:r>
      <w:r>
        <w:t>Company cap.</w:t>
      </w:r>
    </w:p>
    <w:p>
      <w:pPr>
        <w:pStyle w:val="ListBody"/>
        <w:ind w:left="490" w:hanging="331"/>
      </w:pPr>
      <w:r>
        <w:rPr>
          <w:b/>
        </w:rPr>
        <w:t xml:space="preserve">• </w:t>
      </w:r>
      <w:r>
        <w:t>Sector cap.</w:t>
      </w:r>
    </w:p>
    <w:p>
      <w:pPr>
        <w:pStyle w:val="ListBody"/>
        <w:ind w:left="490" w:hanging="331"/>
      </w:pPr>
      <w:r>
        <w:rPr>
          <w:b/>
        </w:rPr>
        <w:t xml:space="preserve">• </w:t>
      </w:r>
      <w:r>
        <w:t>Promoter-group cap.</w:t>
      </w:r>
    </w:p>
    <w:p>
      <w:pPr>
        <w:pStyle w:val="ListBody"/>
        <w:ind w:left="490" w:hanging="331"/>
      </w:pPr>
      <w:r>
        <w:rPr>
          <w:b/>
        </w:rPr>
        <w:t xml:space="preserve">• </w:t>
      </w:r>
      <w:r>
        <w:t>Small-cap cap.</w:t>
      </w:r>
    </w:p>
    <w:p>
      <w:pPr>
        <w:pStyle w:val="ListBody"/>
        <w:ind w:left="490" w:hanging="331"/>
      </w:pPr>
      <w:r>
        <w:rPr>
          <w:b/>
        </w:rPr>
        <w:t xml:space="preserve">• </w:t>
      </w:r>
      <w:r>
        <w:t>SME cap.</w:t>
      </w:r>
    </w:p>
    <w:p>
      <w:pPr>
        <w:pStyle w:val="ListBody"/>
        <w:ind w:left="490" w:hanging="331"/>
      </w:pPr>
      <w:r>
        <w:rPr>
          <w:b/>
        </w:rPr>
        <w:t xml:space="preserve">• </w:t>
      </w:r>
      <w:r>
        <w:t>Tactical cap.</w:t>
      </w:r>
    </w:p>
    <w:p>
      <w:pPr>
        <w:pStyle w:val="ListBody"/>
        <w:ind w:left="490" w:hanging="331"/>
      </w:pPr>
      <w:r>
        <w:rPr>
          <w:b/>
        </w:rPr>
        <w:t xml:space="preserve">• </w:t>
      </w:r>
      <w:r>
        <w:t>F&amp;O cap.</w:t>
      </w:r>
    </w:p>
    <w:p>
      <w:pPr>
        <w:pStyle w:val="ListBody"/>
        <w:ind w:left="490" w:hanging="331"/>
      </w:pPr>
      <w:r>
        <w:rPr>
          <w:b/>
        </w:rPr>
        <w:t xml:space="preserve">• </w:t>
      </w:r>
      <w:r>
        <w:t>Drawdown cap.</w:t>
      </w:r>
    </w:p>
    <w:p>
      <w:pPr>
        <w:pStyle w:val="ListBody"/>
        <w:ind w:left="490" w:hanging="331"/>
      </w:pPr>
      <w:r>
        <w:rPr>
          <w:b/>
        </w:rPr>
        <w:t xml:space="preserve">• </w:t>
      </w:r>
      <w:r>
        <w:t>Exit-day cap.</w:t>
      </w:r>
    </w:p>
    <w:p>
      <w:pPr>
        <w:pStyle w:val="ListBody"/>
        <w:ind w:left="490" w:hanging="331"/>
      </w:pPr>
      <w:r>
        <w:rPr>
          <w:b/>
        </w:rPr>
        <w:t xml:space="preserve">• </w:t>
      </w:r>
      <w:r>
        <w:t>Correlation cap.</w:t>
      </w:r>
    </w:p>
    <w:p>
      <w:pPr>
        <w:pStyle w:val="Heading2"/>
        <w:keepNext/>
      </w:pPr>
      <w:r>
        <w:t>85.6 Broker</w:t>
      </w:r>
    </w:p>
    <w:p>
      <w:pPr>
        <w:pStyle w:val="ListBody"/>
        <w:ind w:left="490" w:hanging="331"/>
      </w:pPr>
      <w:r>
        <w:rPr>
          <w:b/>
        </w:rPr>
        <w:t xml:space="preserve">• </w:t>
      </w:r>
      <w:r>
        <w:t>Primary broker.</w:t>
      </w:r>
    </w:p>
    <w:p>
      <w:pPr>
        <w:pStyle w:val="ListBody"/>
        <w:ind w:left="490" w:hanging="331"/>
      </w:pPr>
      <w:r>
        <w:rPr>
          <w:b/>
        </w:rPr>
        <w:t xml:space="preserve">• </w:t>
      </w:r>
      <w:r>
        <w:t>Secondary broker.</w:t>
      </w:r>
    </w:p>
    <w:p>
      <w:pPr>
        <w:pStyle w:val="ListBody"/>
        <w:ind w:left="490" w:hanging="331"/>
      </w:pPr>
      <w:r>
        <w:rPr>
          <w:b/>
        </w:rPr>
        <w:t xml:space="preserve">• </w:t>
      </w:r>
      <w:r>
        <w:t>Product type.</w:t>
      </w:r>
    </w:p>
    <w:p>
      <w:pPr>
        <w:pStyle w:val="ListBody"/>
        <w:ind w:left="490" w:hanging="331"/>
      </w:pPr>
      <w:r>
        <w:rPr>
          <w:b/>
        </w:rPr>
        <w:t xml:space="preserve">• </w:t>
      </w:r>
      <w:r>
        <w:t>Order type.</w:t>
      </w:r>
    </w:p>
    <w:p>
      <w:pPr>
        <w:pStyle w:val="ListBody"/>
        <w:ind w:left="490" w:hanging="331"/>
      </w:pPr>
      <w:r>
        <w:rPr>
          <w:b/>
        </w:rPr>
        <w:t xml:space="preserve">• </w:t>
      </w:r>
      <w:r>
        <w:t>Maximum slippage.</w:t>
      </w:r>
    </w:p>
    <w:p>
      <w:pPr>
        <w:pStyle w:val="ListBody"/>
        <w:ind w:left="490" w:hanging="331"/>
      </w:pPr>
      <w:r>
        <w:rPr>
          <w:b/>
        </w:rPr>
        <w:t xml:space="preserve">• </w:t>
      </w:r>
      <w:r>
        <w:t>Maximum order value.</w:t>
      </w:r>
    </w:p>
    <w:p>
      <w:pPr>
        <w:pStyle w:val="ListBody"/>
        <w:ind w:left="490" w:hanging="331"/>
      </w:pPr>
      <w:r>
        <w:rPr>
          <w:b/>
        </w:rPr>
        <w:t xml:space="preserve">• </w:t>
      </w:r>
      <w:r>
        <w:t>Split-order size.</w:t>
      </w:r>
    </w:p>
    <w:p>
      <w:pPr>
        <w:pStyle w:val="ListBody"/>
        <w:ind w:left="490" w:hanging="331"/>
      </w:pPr>
      <w:r>
        <w:rPr>
          <w:b/>
        </w:rPr>
        <w:t xml:space="preserve">• </w:t>
      </w:r>
      <w:r>
        <w:t>Manual approval.</w:t>
      </w:r>
    </w:p>
    <w:p>
      <w:pPr>
        <w:pStyle w:val="ListBody"/>
        <w:ind w:left="490" w:hanging="331"/>
      </w:pPr>
      <w:r>
        <w:rPr>
          <w:b/>
        </w:rPr>
        <w:t xml:space="preserve">• </w:t>
      </w:r>
      <w:r>
        <w:t>Retry policy.</w:t>
      </w:r>
    </w:p>
    <w:p>
      <w:pPr>
        <w:pStyle w:val="ListBody"/>
        <w:ind w:left="490" w:hanging="331"/>
      </w:pPr>
      <w:r>
        <w:rPr>
          <w:b/>
        </w:rPr>
        <w:t xml:space="preserve">• </w:t>
      </w:r>
      <w:r>
        <w:t>Partial-fill handling.</w:t>
      </w:r>
    </w:p>
    <w:p>
      <w:pPr>
        <w:pStyle w:val="ListBody"/>
        <w:ind w:left="490" w:hanging="331"/>
      </w:pPr>
      <w:r>
        <w:rPr>
          <w:b/>
        </w:rPr>
        <w:t xml:space="preserve">• </w:t>
      </w:r>
      <w:r>
        <w:t>Kill switch.</w:t>
      </w:r>
    </w:p>
    <w:p>
      <w:pPr>
        <w:pStyle w:val="ListBody"/>
        <w:ind w:left="490" w:hanging="331"/>
      </w:pPr>
      <w:r>
        <w:rPr>
          <w:b/>
        </w:rPr>
        <w:t xml:space="preserve">• </w:t>
      </w:r>
      <w:r>
        <w:t>End-of-day reconciliation.</w:t>
      </w:r>
    </w:p>
    <w:p>
      <w:pPr>
        <w:spacing w:after="0"/>
      </w:pPr>
      <w:r/>
    </w:p>
    <w:p>
      <w:pPr>
        <w:pStyle w:val="Heading1"/>
        <w:pBdr>
          <w:bottom w:val="single" w:sz="4" w:space="5" w:color="7A9AAA"/>
        </w:pBdr>
        <w:keepNext/>
      </w:pPr>
      <w:r>
        <w:t>86. Data and system information panels</w:t>
      </w:r>
    </w:p>
    <w:p>
      <w:pPr>
        <w:pStyle w:val="Heading2"/>
        <w:keepNext/>
      </w:pPr>
      <w:r>
        <w:t>Data-source panel</w:t>
      </w:r>
    </w:p>
    <w:p>
      <w:pPr/>
      <w:r>
        <w:t>Display:</w:t>
      </w:r>
    </w:p>
    <w:p>
      <w:pPr>
        <w:pStyle w:val="ListBody"/>
        <w:ind w:left="490" w:hanging="331"/>
      </w:pPr>
      <w:r>
        <w:rPr>
          <w:b/>
        </w:rPr>
        <w:t xml:space="preserve">• </w:t>
      </w:r>
      <w:r>
        <w:t>Provider.</w:t>
      </w:r>
    </w:p>
    <w:p>
      <w:pPr>
        <w:pStyle w:val="ListBody"/>
        <w:ind w:left="490" w:hanging="331"/>
      </w:pPr>
      <w:r>
        <w:rPr>
          <w:b/>
        </w:rPr>
        <w:t xml:space="preserve">• </w:t>
      </w:r>
      <w:r>
        <w:t>Connection status.</w:t>
      </w:r>
    </w:p>
    <w:p>
      <w:pPr>
        <w:pStyle w:val="ListBody"/>
        <w:ind w:left="490" w:hanging="331"/>
      </w:pPr>
      <w:r>
        <w:rPr>
          <w:b/>
        </w:rPr>
        <w:t xml:space="preserve">• </w:t>
      </w:r>
      <w:r>
        <w:t>License status.</w:t>
      </w:r>
    </w:p>
    <w:p>
      <w:pPr>
        <w:pStyle w:val="ListBody"/>
        <w:ind w:left="490" w:hanging="331"/>
      </w:pPr>
      <w:r>
        <w:rPr>
          <w:b/>
        </w:rPr>
        <w:t xml:space="preserve">• </w:t>
      </w:r>
      <w:r>
        <w:t>Last update.</w:t>
      </w:r>
    </w:p>
    <w:p>
      <w:pPr>
        <w:pStyle w:val="ListBody"/>
        <w:ind w:left="490" w:hanging="331"/>
      </w:pPr>
      <w:r>
        <w:rPr>
          <w:b/>
        </w:rPr>
        <w:t xml:space="preserve">• </w:t>
      </w:r>
      <w:r>
        <w:t>Last failed update.</w:t>
      </w:r>
    </w:p>
    <w:p>
      <w:pPr>
        <w:pStyle w:val="ListBody"/>
        <w:ind w:left="490" w:hanging="331"/>
      </w:pPr>
      <w:r>
        <w:rPr>
          <w:b/>
        </w:rPr>
        <w:t xml:space="preserve">• </w:t>
      </w:r>
      <w:r>
        <w:t>Records received.</w:t>
      </w:r>
    </w:p>
    <w:p>
      <w:pPr>
        <w:pStyle w:val="ListBody"/>
        <w:ind w:left="490" w:hanging="331"/>
      </w:pPr>
      <w:r>
        <w:rPr>
          <w:b/>
        </w:rPr>
        <w:t xml:space="preserve">• </w:t>
      </w:r>
      <w:r>
        <w:t>Missing records.</w:t>
      </w:r>
    </w:p>
    <w:p>
      <w:pPr>
        <w:pStyle w:val="ListBody"/>
        <w:ind w:left="490" w:hanging="331"/>
      </w:pPr>
      <w:r>
        <w:rPr>
          <w:b/>
        </w:rPr>
        <w:t xml:space="preserve">• </w:t>
      </w:r>
      <w:r>
        <w:t>Latency.</w:t>
      </w:r>
    </w:p>
    <w:p>
      <w:pPr>
        <w:pStyle w:val="ListBody"/>
        <w:ind w:left="490" w:hanging="331"/>
      </w:pPr>
      <w:r>
        <w:rPr>
          <w:b/>
        </w:rPr>
        <w:t xml:space="preserve">• </w:t>
      </w:r>
      <w:r>
        <w:t>Disagreement count.</w:t>
      </w:r>
    </w:p>
    <w:p>
      <w:pPr>
        <w:pStyle w:val="ListBody"/>
        <w:ind w:left="490" w:hanging="331"/>
      </w:pPr>
      <w:r>
        <w:rPr>
          <w:b/>
        </w:rPr>
        <w:t xml:space="preserve">• </w:t>
      </w:r>
      <w:r>
        <w:t>API quota.</w:t>
      </w:r>
    </w:p>
    <w:p>
      <w:pPr>
        <w:pStyle w:val="ListBody"/>
        <w:ind w:left="490" w:hanging="331"/>
      </w:pPr>
      <w:r>
        <w:rPr>
          <w:b/>
        </w:rPr>
        <w:t xml:space="preserve">• </w:t>
      </w:r>
      <w:r>
        <w:t>Failover status.</w:t>
      </w:r>
    </w:p>
    <w:p>
      <w:pPr>
        <w:pStyle w:val="Heading2"/>
        <w:keepNext/>
      </w:pPr>
      <w:r>
        <w:t>Pipeline panel</w:t>
      </w:r>
    </w:p>
    <w:p>
      <w:pPr/>
      <w:r>
        <w:t>Display:</w:t>
      </w:r>
    </w:p>
    <w:p>
      <w:pPr>
        <w:pStyle w:val="ListBody"/>
        <w:ind w:left="490" w:hanging="331"/>
      </w:pPr>
      <w:r>
        <w:rPr>
          <w:b/>
        </w:rPr>
        <w:t xml:space="preserve">• </w:t>
      </w:r>
      <w:r>
        <w:t>Security master.</w:t>
      </w:r>
    </w:p>
    <w:p>
      <w:pPr>
        <w:pStyle w:val="ListBody"/>
        <w:ind w:left="490" w:hanging="331"/>
      </w:pPr>
      <w:r>
        <w:rPr>
          <w:b/>
        </w:rPr>
        <w:t xml:space="preserve">• </w:t>
      </w:r>
      <w:r>
        <w:t>Market data.</w:t>
      </w:r>
    </w:p>
    <w:p>
      <w:pPr>
        <w:pStyle w:val="ListBody"/>
        <w:ind w:left="490" w:hanging="331"/>
      </w:pPr>
      <w:r>
        <w:rPr>
          <w:b/>
        </w:rPr>
        <w:t xml:space="preserve">• </w:t>
      </w:r>
      <w:r>
        <w:t>Corporate actions.</w:t>
      </w:r>
    </w:p>
    <w:p>
      <w:pPr>
        <w:pStyle w:val="ListBody"/>
        <w:ind w:left="490" w:hanging="331"/>
      </w:pPr>
      <w:r>
        <w:rPr>
          <w:b/>
        </w:rPr>
        <w:t xml:space="preserve">• </w:t>
      </w:r>
      <w:r>
        <w:t>Financial statements.</w:t>
      </w:r>
    </w:p>
    <w:p>
      <w:pPr>
        <w:pStyle w:val="ListBody"/>
        <w:ind w:left="490" w:hanging="331"/>
      </w:pPr>
      <w:r>
        <w:rPr>
          <w:b/>
        </w:rPr>
        <w:t xml:space="preserve">• </w:t>
      </w:r>
      <w:r>
        <w:t>Shareholding.</w:t>
      </w:r>
    </w:p>
    <w:p>
      <w:pPr>
        <w:pStyle w:val="ListBody"/>
        <w:ind w:left="490" w:hanging="331"/>
      </w:pPr>
      <w:r>
        <w:rPr>
          <w:b/>
        </w:rPr>
        <w:t xml:space="preserve">• </w:t>
      </w:r>
      <w:r>
        <w:t>Governance.</w:t>
      </w:r>
    </w:p>
    <w:p>
      <w:pPr>
        <w:pStyle w:val="ListBody"/>
        <w:ind w:left="490" w:hanging="331"/>
      </w:pPr>
      <w:r>
        <w:rPr>
          <w:b/>
        </w:rPr>
        <w:t xml:space="preserve">• </w:t>
      </w:r>
      <w:r>
        <w:t>Features.</w:t>
      </w:r>
    </w:p>
    <w:p>
      <w:pPr>
        <w:pStyle w:val="ListBody"/>
        <w:ind w:left="490" w:hanging="331"/>
      </w:pPr>
      <w:r>
        <w:rPr>
          <w:b/>
        </w:rPr>
        <w:t xml:space="preserve">• </w:t>
      </w:r>
      <w:r>
        <w:t>Rankings.</w:t>
      </w:r>
    </w:p>
    <w:p>
      <w:pPr>
        <w:pStyle w:val="ListBody"/>
        <w:ind w:left="490" w:hanging="331"/>
      </w:pPr>
      <w:r>
        <w:rPr>
          <w:b/>
        </w:rPr>
        <w:t xml:space="preserve">• </w:t>
      </w:r>
      <w:r>
        <w:t>Signals.</w:t>
      </w:r>
    </w:p>
    <w:p>
      <w:pPr>
        <w:pStyle w:val="ListBody"/>
        <w:ind w:left="490" w:hanging="331"/>
      </w:pPr>
      <w:r>
        <w:rPr>
          <w:b/>
        </w:rPr>
        <w:t xml:space="preserve">• </w:t>
      </w:r>
      <w:r>
        <w:t>Portfolio.</w:t>
      </w:r>
    </w:p>
    <w:p>
      <w:pPr>
        <w:pStyle w:val="ListBody"/>
        <w:ind w:left="490" w:hanging="331"/>
      </w:pPr>
      <w:r>
        <w:rPr>
          <w:b/>
        </w:rPr>
        <w:t xml:space="preserve">• </w:t>
      </w:r>
      <w:r>
        <w:t>Alerts.</w:t>
      </w:r>
    </w:p>
    <w:p>
      <w:pPr/>
      <w:r>
        <w:t>Status:</w:t>
      </w:r>
    </w:p>
    <w:p>
      <w:pPr>
        <w:pStyle w:val="ListBody"/>
        <w:ind w:left="490" w:hanging="331"/>
      </w:pPr>
      <w:r>
        <w:rPr>
          <w:b/>
        </w:rPr>
        <w:t xml:space="preserve">• </w:t>
      </w:r>
      <w:r>
        <w:t>Healthy.</w:t>
      </w:r>
    </w:p>
    <w:p>
      <w:pPr>
        <w:pStyle w:val="ListBody"/>
        <w:ind w:left="490" w:hanging="331"/>
      </w:pPr>
      <w:r>
        <w:rPr>
          <w:b/>
        </w:rPr>
        <w:t xml:space="preserve">• </w:t>
      </w:r>
      <w:r>
        <w:t>Warning.</w:t>
      </w:r>
    </w:p>
    <w:p>
      <w:pPr>
        <w:pStyle w:val="ListBody"/>
        <w:ind w:left="490" w:hanging="331"/>
      </w:pPr>
      <w:r>
        <w:rPr>
          <w:b/>
        </w:rPr>
        <w:t xml:space="preserve">• </w:t>
      </w:r>
      <w:r>
        <w:t>Failed.</w:t>
      </w:r>
    </w:p>
    <w:p>
      <w:pPr>
        <w:pStyle w:val="ListBody"/>
        <w:ind w:left="490" w:hanging="331"/>
      </w:pPr>
      <w:r>
        <w:rPr>
          <w:b/>
        </w:rPr>
        <w:t xml:space="preserve">• </w:t>
      </w:r>
      <w:r>
        <w:t>Stale.</w:t>
      </w:r>
    </w:p>
    <w:p>
      <w:pPr>
        <w:pStyle w:val="ListBody"/>
        <w:ind w:left="490" w:hanging="331"/>
      </w:pPr>
      <w:r>
        <w:rPr>
          <w:b/>
        </w:rPr>
        <w:t xml:space="preserve">• </w:t>
      </w:r>
      <w:r>
        <w:t>Quarantined.</w:t>
      </w:r>
    </w:p>
    <w:p>
      <w:pPr>
        <w:pStyle w:val="Heading2"/>
        <w:keepNext/>
      </w:pPr>
      <w:r>
        <w:t>Model panel</w:t>
      </w:r>
    </w:p>
    <w:p>
      <w:pPr/>
      <w:r>
        <w:t>Display:</w:t>
      </w:r>
    </w:p>
    <w:p>
      <w:pPr>
        <w:pStyle w:val="ListBody"/>
        <w:ind w:left="490" w:hanging="331"/>
      </w:pPr>
      <w:r>
        <w:rPr>
          <w:b/>
        </w:rPr>
        <w:t xml:space="preserve">• </w:t>
      </w:r>
      <w:r>
        <w:t>Active model version.</w:t>
      </w:r>
    </w:p>
    <w:p>
      <w:pPr>
        <w:pStyle w:val="ListBody"/>
        <w:ind w:left="490" w:hanging="331"/>
      </w:pPr>
      <w:r>
        <w:rPr>
          <w:b/>
        </w:rPr>
        <w:t xml:space="preserve">• </w:t>
      </w:r>
      <w:r>
        <w:t>Feature version.</w:t>
      </w:r>
    </w:p>
    <w:p>
      <w:pPr>
        <w:pStyle w:val="ListBody"/>
        <w:ind w:left="490" w:hanging="331"/>
      </w:pPr>
      <w:r>
        <w:rPr>
          <w:b/>
        </w:rPr>
        <w:t xml:space="preserve">• </w:t>
      </w:r>
      <w:r>
        <w:t>Horizon weights.</w:t>
      </w:r>
    </w:p>
    <w:p>
      <w:pPr>
        <w:pStyle w:val="ListBody"/>
        <w:ind w:left="490" w:hanging="331"/>
      </w:pPr>
      <w:r>
        <w:rPr>
          <w:b/>
        </w:rPr>
        <w:t xml:space="preserve">• </w:t>
      </w:r>
      <w:r>
        <w:t>Last calibration.</w:t>
      </w:r>
    </w:p>
    <w:p>
      <w:pPr>
        <w:pStyle w:val="ListBody"/>
        <w:ind w:left="490" w:hanging="331"/>
      </w:pPr>
      <w:r>
        <w:rPr>
          <w:b/>
        </w:rPr>
        <w:t xml:space="preserve">• </w:t>
      </w:r>
      <w:r>
        <w:t>Backtest period.</w:t>
      </w:r>
    </w:p>
    <w:p>
      <w:pPr>
        <w:pStyle w:val="ListBody"/>
        <w:ind w:left="490" w:hanging="331"/>
      </w:pPr>
      <w:r>
        <w:rPr>
          <w:b/>
        </w:rPr>
        <w:t xml:space="preserve">• </w:t>
      </w:r>
      <w:r>
        <w:t>Out-of-sample performance.</w:t>
      </w:r>
    </w:p>
    <w:p>
      <w:pPr>
        <w:pStyle w:val="ListBody"/>
        <w:ind w:left="490" w:hanging="331"/>
      </w:pPr>
      <w:r>
        <w:rPr>
          <w:b/>
        </w:rPr>
        <w:t xml:space="preserve">• </w:t>
      </w:r>
      <w:r>
        <w:t>Drift status.</w:t>
      </w:r>
    </w:p>
    <w:p>
      <w:pPr>
        <w:pStyle w:val="ListBody"/>
        <w:ind w:left="490" w:hanging="331"/>
      </w:pPr>
      <w:r>
        <w:rPr>
          <w:b/>
        </w:rPr>
        <w:t xml:space="preserve">• </w:t>
      </w:r>
      <w:r>
        <w:t>Pending model changes.</w:t>
      </w:r>
    </w:p>
    <w:p>
      <w:pPr>
        <w:spacing w:after="0"/>
      </w:pPr>
      <w:r/>
    </w:p>
    <w:p>
      <w:pPr>
        <w:pStyle w:val="Heading1"/>
        <w:pBdr>
          <w:bottom w:val="single" w:sz="4" w:space="5" w:color="7A9AAA"/>
        </w:pBdr>
        <w:keepNext/>
      </w:pPr>
      <w:r>
        <w:t>87. API design</w:t>
      </w:r>
    </w:p>
    <w:p>
      <w:pPr/>
      <w:r>
        <w:t>Suggested endpoints:</w:t>
      </w:r>
    </w:p>
    <w:p>
      <w:pPr/>
      <w:r>
        <w:t>GET /api/v1/dashboard/overview</w:t>
        <w:br/>
        <w:t>GET /api/v1/signals</w:t>
        <w:br/>
        <w:t>GET /api/v1/signals/{symbol}</w:t>
        <w:br/>
        <w:t>GET /api/v1/signals/{symbol}/{horizon}</w:t>
        <w:br/>
        <w:t>GET /api/v1/rankings</w:t>
        <w:br/>
        <w:t>GET /api/v1/watchlists</w:t>
        <w:br/>
        <w:t>GET /api/v1/companies/{symbol}</w:t>
        <w:br/>
        <w:t>GET /api/v1/companies/{symbol}/research</w:t>
        <w:br/>
        <w:t>GET /api/v1/companies/{symbol}/evidence</w:t>
        <w:br/>
        <w:t>GET /api/v1/companies/{symbol}/valuation</w:t>
        <w:br/>
        <w:t>GET /api/v1/portfolio</w:t>
        <w:br/>
        <w:t>GET /api/v1/portfolio/risk</w:t>
        <w:br/>
        <w:t>GET /api/v1/data-health</w:t>
        <w:br/>
        <w:t>GET /api/v1/model-health</w:t>
        <w:br/>
        <w:t>GET /api/v1/backtests</w:t>
        <w:br/>
        <w:t>POST /api/v1/watchlists</w:t>
        <w:br/>
        <w:t>POST /api/v1/alerts</w:t>
        <w:br/>
        <w:t>POST /api/v1/signals/{signal_id}/approve</w:t>
        <w:br/>
        <w:t>POST /api/v1/signals/{signal_id}/reject</w:t>
        <w:br/>
        <w:t>POST /api/v1/orders/preview</w:t>
        <w:br/>
        <w:t>POST /api/v1/orders/submit</w:t>
        <w:br/>
        <w:t>POST /api/v1/system/kill-switch</w:t>
      </w:r>
    </w:p>
    <w:p>
      <w:pPr/>
      <w:r>
        <w:t>Execution endpoints require role-based authorization.</w:t>
      </w:r>
    </w:p>
    <w:p>
      <w:pPr>
        <w:spacing w:after="0"/>
      </w:pPr>
      <w:r/>
    </w:p>
    <w:p>
      <w:pPr>
        <w:pStyle w:val="Heading1"/>
        <w:pBdr>
          <w:bottom w:val="single" w:sz="4" w:space="5" w:color="7A9AAA"/>
        </w:pBdr>
        <w:keepNext/>
      </w:pPr>
      <w:r>
        <w:t>88. Principal database tables</w:t>
      </w:r>
    </w:p>
    <w:p>
      <w:pPr/>
      <w:r>
        <w:t>companies</w:t>
        <w:br/>
        <w:t>securities</w:t>
        <w:br/>
        <w:t>listings</w:t>
        <w:br/>
        <w:t>security_identifiers</w:t>
        <w:br/>
        <w:t>identifier_history</w:t>
        <w:br/>
        <w:t>security_status_history</w:t>
        <w:br/>
        <w:t>sector_history</w:t>
        <w:br/>
        <w:t>index_membership_history</w:t>
        <w:br/>
        <w:t>corporate_actions</w:t>
        <w:br/>
        <w:t>documents</w:t>
        <w:br/>
        <w:t>document_versions</w:t>
        <w:br/>
        <w:t>financial_facts</w:t>
        <w:br/>
        <w:t>normalized_financial_facts</w:t>
        <w:br/>
        <w:t>sector_facts</w:t>
        <w:br/>
        <w:t>governance_events</w:t>
        <w:br/>
        <w:t>shareholding</w:t>
        <w:br/>
        <w:t>credit_ratings</w:t>
        <w:br/>
        <w:t>daily_prices</w:t>
        <w:br/>
        <w:t>liquidity_metrics</w:t>
        <w:br/>
        <w:t>feature_definitions</w:t>
        <w:br/>
        <w:t>feature_values</w:t>
        <w:br/>
        <w:t>candidate_scores</w:t>
        <w:br/>
        <w:t>research_scores</w:t>
        <w:br/>
        <w:t>research_confidence</w:t>
        <w:br/>
        <w:t>hard_gate_events</w:t>
        <w:br/>
        <w:t>market_regimes</w:t>
        <w:br/>
        <w:t>horizon_scores</w:t>
        <w:br/>
        <w:t>signal_events</w:t>
        <w:br/>
        <w:t>signal_state_history</w:t>
        <w:br/>
        <w:t>watchlists</w:t>
        <w:br/>
        <w:t>forecasts</w:t>
        <w:br/>
        <w:t>valuation_models</w:t>
        <w:br/>
        <w:t>scenario_models</w:t>
        <w:br/>
        <w:t>portfolios</w:t>
        <w:br/>
        <w:t>positions</w:t>
        <w:br/>
        <w:t>orders</w:t>
        <w:br/>
        <w:t>fills</w:t>
        <w:br/>
        <w:t>broker_reconciliation</w:t>
        <w:br/>
        <w:t>alerts</w:t>
        <w:br/>
        <w:t>model_registry</w:t>
        <w:br/>
        <w:t>data_licenses</w:t>
        <w:br/>
        <w:t>audit_logs</w:t>
      </w:r>
    </w:p>
    <w:p>
      <w:pPr>
        <w:spacing w:after="0"/>
      </w:pPr>
      <w:r/>
    </w:p>
    <w:p>
      <w:pPr>
        <w:pStyle w:val="Heading1"/>
        <w:pBdr>
          <w:bottom w:val="single" w:sz="4" w:space="5" w:color="7A9AAA"/>
        </w:pBdr>
        <w:keepNext/>
      </w:pPr>
      <w:r>
        <w:t>89. Implementation module structure</w:t>
      </w:r>
    </w:p>
    <w:p>
      <w:pPr/>
      <w:r>
        <w:t>indian_equity_system/</w:t>
        <w:br/>
        <w:t>├── licensing/</w:t>
        <w:br/>
        <w:t>├── connectors/</w:t>
        <w:br/>
        <w:t>│   ├── nse/</w:t>
        <w:br/>
        <w:t>│   ├── bse/</w:t>
        <w:br/>
        <w:t>│   ├── upstox/</w:t>
        <w:br/>
        <w:t>│   ├── angelone/</w:t>
        <w:br/>
        <w:t>│   ├── screener_import/</w:t>
        <w:br/>
        <w:t>│   └── yahoo_diagnostic/</w:t>
        <w:br/>
        <w:t>├── security_master/</w:t>
        <w:br/>
        <w:t>├── point_in_time/</w:t>
        <w:br/>
        <w:t>├── reconciliation/</w:t>
        <w:br/>
        <w:t>├── corporate_actions/</w:t>
        <w:br/>
        <w:t>├── financials/</w:t>
        <w:br/>
        <w:t>├── normalization/</w:t>
        <w:br/>
        <w:t>├── feature_store/</w:t>
        <w:br/>
        <w:t>├── sector_models/</w:t>
        <w:br/>
        <w:t>├── hard_gates/</w:t>
        <w:br/>
        <w:t>├── scoring/</w:t>
        <w:br/>
        <w:t>├── rankings/</w:t>
        <w:br/>
        <w:t>├── research/</w:t>
        <w:br/>
        <w:t>├── evidence/</w:t>
        <w:br/>
        <w:t>├── forecasts/</w:t>
        <w:br/>
        <w:t>├── valuation/</w:t>
        <w:br/>
        <w:t>├── regimes/</w:t>
        <w:br/>
        <w:t>├── signals/</w:t>
        <w:br/>
        <w:t>├── portfolio/</w:t>
        <w:br/>
        <w:t>├── execution/</w:t>
        <w:br/>
        <w:t>├── backtest/</w:t>
        <w:br/>
        <w:t>├── alerts/</w:t>
        <w:br/>
        <w:t>├── dashboard/</w:t>
        <w:br/>
        <w:t>├── monitoring/</w:t>
        <w:br/>
        <w:t>├── model_governance/</w:t>
        <w:br/>
        <w:t>├── compliance/</w:t>
        <w:br/>
        <w:t>├── resource_governor/</w:t>
        <w:br/>
        <w:t>└── tests/</w:t>
      </w:r>
    </w:p>
    <w:p>
      <w:pPr>
        <w:spacing w:after="0"/>
      </w:pPr>
      <w:r/>
    </w:p>
    <w:p>
      <w:pPr>
        <w:pStyle w:val="Heading1"/>
        <w:pBdr>
          <w:bottom w:val="single" w:sz="4" w:space="5" w:color="7A9AAA"/>
        </w:pBdr>
        <w:keepNext/>
      </w:pPr>
      <w:r>
        <w:t>90. Core workflow</w:t>
      </w:r>
    </w:p>
    <w:p>
      <w:pPr/>
      <w:r>
        <w:t>def run_equity_intelligence_system(as_of_timestamp, user_profile):</w:t>
        <w:br/>
        <w:t xml:space="preserve">    validate_data_licenses(as_of_timestamp)</w:t>
        <w:br/>
        <w:br/>
        <w:t xml:space="preserve">    raw_data = ingest_all_permitted_sources(as_of_timestamp)</w:t>
        <w:br/>
        <w:t xml:space="preserve">    store_immutable_raw_data(raw_data)</w:t>
        <w:br/>
        <w:br/>
        <w:t xml:space="preserve">    security_master = resolve_entities_and_securities(raw_data)</w:t>
        <w:br/>
        <w:br/>
        <w:t xml:space="preserve">    reconciliation = reconcile_sources(</w:t>
        <w:br/>
        <w:t xml:space="preserve">        raw_data,</w:t>
        <w:br/>
        <w:t xml:space="preserve">        security_master,</w:t>
        <w:br/>
        <w:t xml:space="preserve">    )</w:t>
        <w:br/>
        <w:br/>
        <w:t xml:space="preserve">    quarantine_material_conflicts(reconciliation)</w:t>
        <w:br/>
        <w:br/>
        <w:t xml:space="preserve">    corporate_actions = process_corporate_actions(</w:t>
        <w:br/>
        <w:t xml:space="preserve">        reconciliation,</w:t>
        <w:br/>
        <w:t xml:space="preserve">        security_master,</w:t>
        <w:br/>
        <w:t xml:space="preserve">    )</w:t>
        <w:br/>
        <w:br/>
        <w:t xml:space="preserve">    financials = normalize_and_reconcile_financials(</w:t>
        <w:br/>
        <w:t xml:space="preserve">        reconciliation,</w:t>
        <w:br/>
        <w:t xml:space="preserve">        preserve_reported_values=True,</w:t>
        <w:br/>
        <w:t xml:space="preserve">        separate_scopes=True,</w:t>
        <w:br/>
        <w:t xml:space="preserve">    )</w:t>
        <w:br/>
        <w:br/>
        <w:t xml:space="preserve">    universe = build_point_in_time_discovery_universe(</w:t>
        <w:br/>
        <w:t xml:space="preserve">        security_master,</w:t>
        <w:br/>
        <w:t xml:space="preserve">        as_of_timestamp,</w:t>
        <w:br/>
        <w:t xml:space="preserve">    )</w:t>
        <w:br/>
        <w:br/>
        <w:t xml:space="preserve">    eligible_universe = apply_investability_rules(</w:t>
        <w:br/>
        <w:t xml:space="preserve">        universe,</w:t>
        <w:br/>
        <w:t xml:space="preserve">        financials,</w:t>
        <w:br/>
        <w:t xml:space="preserve">        corporate_actions,</w:t>
        <w:br/>
        <w:t xml:space="preserve">        user_profile,</w:t>
        <w:br/>
        <w:t xml:space="preserve">    )</w:t>
        <w:br/>
        <w:br/>
        <w:t xml:space="preserve">    hard_gates = evaluate_hard_gates(</w:t>
        <w:br/>
        <w:t xml:space="preserve">        eligible_universe,</w:t>
        <w:br/>
        <w:t xml:space="preserve">        financials,</w:t>
        <w:br/>
        <w:t xml:space="preserve">        reconciliation,</w:t>
        <w:br/>
        <w:t xml:space="preserve">    )</w:t>
        <w:br/>
        <w:br/>
        <w:t xml:space="preserve">    sector_models = assign_sector_models(</w:t>
        <w:br/>
        <w:t xml:space="preserve">        eligible_universe,</w:t>
        <w:br/>
        <w:t xml:space="preserve">    )</w:t>
        <w:br/>
        <w:br/>
        <w:t xml:space="preserve">    features = calculate_incremental_features(</w:t>
        <w:br/>
        <w:t xml:space="preserve">        eligible_universe,</w:t>
        <w:br/>
        <w:t xml:space="preserve">        financials,</w:t>
        <w:br/>
        <w:t xml:space="preserve">        sector_models,</w:t>
        <w:br/>
        <w:t xml:space="preserve">        as_of_timestamp,</w:t>
        <w:br/>
        <w:t xml:space="preserve">    )</w:t>
        <w:br/>
        <w:br/>
        <w:t xml:space="preserve">    data_confidence = calculate_data_confidence(</w:t>
        <w:br/>
        <w:t xml:space="preserve">        reconciliation,</w:t>
        <w:br/>
        <w:t xml:space="preserve">        features,</w:t>
        <w:br/>
        <w:t xml:space="preserve">    )</w:t>
        <w:br/>
        <w:br/>
        <w:t xml:space="preserve">    candidate_scores = calculate_candidate_scores(</w:t>
        <w:br/>
        <w:t xml:space="preserve">        features,</w:t>
        <w:br/>
        <w:t xml:space="preserve">        data_confidence,</w:t>
        <w:br/>
        <w:t xml:space="preserve">        hard_gates,</w:t>
        <w:br/>
        <w:t xml:space="preserve">    )</w:t>
        <w:br/>
        <w:br/>
        <w:t xml:space="preserve">    rankings = calculate_multidimensional_rankings(</w:t>
        <w:br/>
        <w:t xml:space="preserve">        candidate_scores,</w:t>
        <w:br/>
        <w:t xml:space="preserve">    )</w:t>
        <w:br/>
        <w:br/>
        <w:t xml:space="preserve">    update_dynamic_watchlists(</w:t>
        <w:br/>
        <w:t xml:space="preserve">        rankings,</w:t>
        <w:br/>
        <w:t xml:space="preserve">        hard_gates,</w:t>
        <w:br/>
        <w:t xml:space="preserve">    )</w:t>
        <w:br/>
        <w:br/>
        <w:t xml:space="preserve">    research_queue = prioritize_deep_research(</w:t>
        <w:br/>
        <w:t xml:space="preserve">        rankings,</w:t>
        <w:br/>
        <w:t xml:space="preserve">        portfolio=user_profile.portfolio,</w:t>
        <w:br/>
        <w:t xml:space="preserve">    )</w:t>
        <w:br/>
        <w:br/>
        <w:t xml:space="preserve">    refresh_triggered_research(</w:t>
        <w:br/>
        <w:t xml:space="preserve">        research_queue,</w:t>
        <w:br/>
        <w:t xml:space="preserve">    )</w:t>
        <w:br/>
        <w:br/>
        <w:t xml:space="preserve">    research_scores = load_current_research_scores(</w:t>
        <w:br/>
        <w:t xml:space="preserve">        as_of_timestamp,</w:t>
        <w:br/>
        <w:t xml:space="preserve">    )</w:t>
        <w:br/>
        <w:br/>
        <w:t xml:space="preserve">    canonical_daily_bars = build_canonical_daily_bars(</w:t>
        <w:br/>
        <w:t xml:space="preserve">        reconciliation,</w:t>
        <w:br/>
        <w:t xml:space="preserve">    )</w:t>
        <w:br/>
        <w:br/>
        <w:t xml:space="preserve">    weekly_bars = aggregate_completed_weeks(</w:t>
        <w:br/>
        <w:t xml:space="preserve">        canonical_daily_bars,</w:t>
        <w:br/>
        <w:t xml:space="preserve">    )</w:t>
        <w:br/>
        <w:br/>
        <w:t xml:space="preserve">    monthly_bars = aggregate_completed_months(</w:t>
        <w:br/>
        <w:t xml:space="preserve">        canonical_daily_bars,</w:t>
        <w:br/>
        <w:t xml:space="preserve">    )</w:t>
        <w:br/>
        <w:br/>
        <w:t xml:space="preserve">    regimes = calculate_market_and_sector_regimes(</w:t>
        <w:br/>
        <w:t xml:space="preserve">        canonical_daily_bars,</w:t>
        <w:br/>
        <w:t xml:space="preserve">        weekly_bars,</w:t>
        <w:br/>
        <w:t xml:space="preserve">        monthly_bars,</w:t>
        <w:br/>
        <w:t xml:space="preserve">    )</w:t>
        <w:br/>
        <w:br/>
        <w:t xml:space="preserve">    horizon_scores = calculate_all_horizon_scores(</w:t>
        <w:br/>
        <w:t xml:space="preserve">        candidate_scores,</w:t>
        <w:br/>
        <w:t xml:space="preserve">        research_scores,</w:t>
        <w:br/>
        <w:t xml:space="preserve">        regimes,</w:t>
        <w:br/>
        <w:t xml:space="preserve">    )</w:t>
        <w:br/>
        <w:br/>
        <w:t xml:space="preserve">    confirmed_signals = update_signal_state_machines(</w:t>
        <w:br/>
        <w:t xml:space="preserve">        horizon_scores,</w:t>
        <w:br/>
        <w:t xml:space="preserve">        completed_bars_only=True,</w:t>
        <w:br/>
        <w:t xml:space="preserve">        hysteresis=True,</w:t>
        <w:br/>
        <w:t xml:space="preserve">        expiry=True,</w:t>
        <w:br/>
        <w:t xml:space="preserve">        cooldown=True,</w:t>
        <w:br/>
        <w:t xml:space="preserve">    )</w:t>
        <w:br/>
        <w:br/>
        <w:t xml:space="preserve">    resolved_actions = resolve_horizon_conflicts(</w:t>
        <w:br/>
        <w:t xml:space="preserve">        confirmed_signals,</w:t>
        <w:br/>
        <w:t xml:space="preserve">        hard_gates,</w:t>
        <w:br/>
        <w:t xml:space="preserve">    )</w:t>
        <w:br/>
        <w:br/>
        <w:t xml:space="preserve">    portfolio_actions = apply_portfolio_constraints(</w:t>
        <w:br/>
        <w:t xml:space="preserve">        resolved_actions,</w:t>
        <w:br/>
        <w:t xml:space="preserve">        user_profile,</w:t>
        <w:br/>
        <w:t xml:space="preserve">    )</w:t>
        <w:br/>
        <w:br/>
        <w:t xml:space="preserve">    execution_queue = prepare_execution_queue(</w:t>
        <w:br/>
        <w:t xml:space="preserve">        portfolio_actions,</w:t>
        <w:br/>
        <w:t xml:space="preserve">        mode=user_profile.system_mode,</w:t>
        <w:br/>
        <w:t xml:space="preserve">    )</w:t>
        <w:br/>
        <w:br/>
        <w:t xml:space="preserve">    update_dashboard_snapshots()</w:t>
        <w:br/>
        <w:t xml:space="preserve">    generate_alerts()</w:t>
        <w:br/>
        <w:t xml:space="preserve">    persist_point_in_time_snapshot(as_of_timestamp)</w:t>
      </w:r>
    </w:p>
    <w:p>
      <w:pPr>
        <w:spacing w:after="0"/>
      </w:pPr>
      <w:r/>
    </w:p>
    <w:p>
      <w:pPr>
        <w:pStyle w:val="Heading1"/>
        <w:pBdr>
          <w:bottom w:val="single" w:sz="4" w:space="5" w:color="7A9AAA"/>
        </w:pBdr>
        <w:keepNext/>
      </w:pPr>
      <w:r>
        <w:t>91. Backtesting requirements</w:t>
      </w:r>
    </w:p>
    <w:p>
      <w:pPr/>
      <w:r>
        <w:t>Backtests must include:</w:t>
      </w:r>
    </w:p>
    <w:p>
      <w:pPr>
        <w:pStyle w:val="ListBody"/>
        <w:ind w:left="490" w:hanging="331"/>
      </w:pPr>
      <w:r>
        <w:rPr>
          <w:b/>
        </w:rPr>
        <w:t xml:space="preserve">• </w:t>
      </w:r>
      <w:r>
        <w:t>Point-in-time filings.</w:t>
      </w:r>
    </w:p>
    <w:p>
      <w:pPr>
        <w:pStyle w:val="ListBody"/>
        <w:ind w:left="490" w:hanging="331"/>
      </w:pPr>
      <w:r>
        <w:rPr>
          <w:b/>
        </w:rPr>
        <w:t xml:space="preserve">• </w:t>
      </w:r>
      <w:r>
        <w:t>Original filing versions.</w:t>
      </w:r>
    </w:p>
    <w:p>
      <w:pPr>
        <w:pStyle w:val="ListBody"/>
        <w:ind w:left="490" w:hanging="331"/>
      </w:pPr>
      <w:r>
        <w:rPr>
          <w:b/>
        </w:rPr>
        <w:t xml:space="preserve">• </w:t>
      </w:r>
      <w:r>
        <w:t>Delisted companies.</w:t>
      </w:r>
    </w:p>
    <w:p>
      <w:pPr>
        <w:pStyle w:val="ListBody"/>
        <w:ind w:left="490" w:hanging="331"/>
      </w:pPr>
      <w:r>
        <w:rPr>
          <w:b/>
        </w:rPr>
        <w:t xml:space="preserve">• </w:t>
      </w:r>
      <w:r>
        <w:t>Suspended companies.</w:t>
      </w:r>
    </w:p>
    <w:p>
      <w:pPr>
        <w:pStyle w:val="ListBody"/>
        <w:ind w:left="490" w:hanging="331"/>
      </w:pPr>
      <w:r>
        <w:rPr>
          <w:b/>
        </w:rPr>
        <w:t xml:space="preserve">• </w:t>
      </w:r>
      <w:r>
        <w:t>Historical sector classifications.</w:t>
      </w:r>
    </w:p>
    <w:p>
      <w:pPr>
        <w:pStyle w:val="ListBody"/>
        <w:ind w:left="490" w:hanging="331"/>
      </w:pPr>
      <w:r>
        <w:rPr>
          <w:b/>
        </w:rPr>
        <w:t xml:space="preserve">• </w:t>
      </w:r>
      <w:r>
        <w:t>Historical index memberships.</w:t>
      </w:r>
    </w:p>
    <w:p>
      <w:pPr>
        <w:pStyle w:val="ListBody"/>
        <w:ind w:left="490" w:hanging="331"/>
      </w:pPr>
      <w:r>
        <w:rPr>
          <w:b/>
        </w:rPr>
        <w:t xml:space="preserve">• </w:t>
      </w:r>
      <w:r>
        <w:t>Symbol changes.</w:t>
      </w:r>
    </w:p>
    <w:p>
      <w:pPr>
        <w:pStyle w:val="ListBody"/>
        <w:ind w:left="490" w:hanging="331"/>
      </w:pPr>
      <w:r>
        <w:rPr>
          <w:b/>
        </w:rPr>
        <w:t xml:space="preserve">• </w:t>
      </w:r>
      <w:r>
        <w:t>Mergers.</w:t>
      </w:r>
    </w:p>
    <w:p>
      <w:pPr>
        <w:pStyle w:val="ListBody"/>
        <w:ind w:left="490" w:hanging="331"/>
      </w:pPr>
      <w:r>
        <w:rPr>
          <w:b/>
        </w:rPr>
        <w:t xml:space="preserve">• </w:t>
      </w:r>
      <w:r>
        <w:t>Demergers.</w:t>
      </w:r>
    </w:p>
    <w:p>
      <w:pPr>
        <w:pStyle w:val="ListBody"/>
        <w:ind w:left="490" w:hanging="331"/>
      </w:pPr>
      <w:r>
        <w:rPr>
          <w:b/>
        </w:rPr>
        <w:t xml:space="preserve">• </w:t>
      </w:r>
      <w:r>
        <w:t>Corporate actions.</w:t>
      </w:r>
    </w:p>
    <w:p>
      <w:pPr>
        <w:pStyle w:val="ListBody"/>
        <w:ind w:left="490" w:hanging="331"/>
      </w:pPr>
      <w:r>
        <w:rPr>
          <w:b/>
        </w:rPr>
        <w:t xml:space="preserve">• </w:t>
      </w:r>
      <w:r>
        <w:t>Dividends.</w:t>
      </w:r>
    </w:p>
    <w:p>
      <w:pPr>
        <w:pStyle w:val="ListBody"/>
        <w:ind w:left="490" w:hanging="331"/>
      </w:pPr>
      <w:r>
        <w:rPr>
          <w:b/>
        </w:rPr>
        <w:t xml:space="preserve">• </w:t>
      </w:r>
      <w:r>
        <w:t>IPO seasoning.</w:t>
      </w:r>
    </w:p>
    <w:p>
      <w:pPr>
        <w:pStyle w:val="ListBody"/>
        <w:ind w:left="490" w:hanging="331"/>
      </w:pPr>
      <w:r>
        <w:rPr>
          <w:b/>
        </w:rPr>
        <w:t xml:space="preserve">• </w:t>
      </w:r>
      <w:r>
        <w:t>Trading costs.</w:t>
      </w:r>
    </w:p>
    <w:p>
      <w:pPr>
        <w:pStyle w:val="ListBody"/>
        <w:ind w:left="490" w:hanging="331"/>
      </w:pPr>
      <w:r>
        <w:rPr>
          <w:b/>
        </w:rPr>
        <w:t xml:space="preserve">• </w:t>
      </w:r>
      <w:r>
        <w:t>Taxes.</w:t>
      </w:r>
    </w:p>
    <w:p>
      <w:pPr>
        <w:pStyle w:val="ListBody"/>
        <w:ind w:left="490" w:hanging="331"/>
      </w:pPr>
      <w:r>
        <w:rPr>
          <w:b/>
        </w:rPr>
        <w:t xml:space="preserve">• </w:t>
      </w:r>
      <w:r>
        <w:t>Slippage.</w:t>
      </w:r>
    </w:p>
    <w:p>
      <w:pPr>
        <w:pStyle w:val="ListBody"/>
        <w:ind w:left="490" w:hanging="331"/>
      </w:pPr>
      <w:r>
        <w:rPr>
          <w:b/>
        </w:rPr>
        <w:t xml:space="preserve">• </w:t>
      </w:r>
      <w:r>
        <w:t>Market impact.</w:t>
      </w:r>
    </w:p>
    <w:p>
      <w:pPr>
        <w:pStyle w:val="ListBody"/>
        <w:ind w:left="490" w:hanging="331"/>
      </w:pPr>
      <w:r>
        <w:rPr>
          <w:b/>
        </w:rPr>
        <w:t xml:space="preserve">• </w:t>
      </w:r>
      <w:r>
        <w:t>Execution lag.</w:t>
      </w:r>
    </w:p>
    <w:p>
      <w:pPr>
        <w:pStyle w:val="ListBody"/>
        <w:ind w:left="490" w:hanging="331"/>
      </w:pPr>
      <w:r>
        <w:rPr>
          <w:b/>
        </w:rPr>
        <w:t xml:space="preserve">• </w:t>
      </w:r>
      <w:r>
        <w:t>Liquidity constraints.</w:t>
      </w:r>
    </w:p>
    <w:p>
      <w:pPr>
        <w:pStyle w:val="ListBody"/>
        <w:ind w:left="490" w:hanging="331"/>
      </w:pPr>
      <w:r>
        <w:rPr>
          <w:b/>
        </w:rPr>
        <w:t xml:space="preserve">• </w:t>
      </w:r>
      <w:r>
        <w:t>Position limits.</w:t>
      </w:r>
    </w:p>
    <w:p>
      <w:pPr>
        <w:pStyle w:val="ListBody"/>
        <w:ind w:left="490" w:hanging="331"/>
      </w:pPr>
      <w:r>
        <w:rPr>
          <w:b/>
        </w:rPr>
        <w:t xml:space="preserve">• </w:t>
      </w:r>
      <w:r>
        <w:t>Signal expiry.</w:t>
      </w:r>
    </w:p>
    <w:p>
      <w:pPr>
        <w:pStyle w:val="ListBody"/>
        <w:ind w:left="490" w:hanging="331"/>
      </w:pPr>
      <w:r>
        <w:rPr>
          <w:b/>
        </w:rPr>
        <w:t xml:space="preserve">• </w:t>
      </w:r>
      <w:r>
        <w:t>Hard-gate history.</w:t>
      </w:r>
    </w:p>
    <w:p>
      <w:pPr>
        <w:spacing w:after="0"/>
      </w:pPr>
      <w:r/>
    </w:p>
    <w:p>
      <w:pPr>
        <w:pStyle w:val="Heading1"/>
        <w:pBdr>
          <w:bottom w:val="single" w:sz="4" w:space="5" w:color="7A9AAA"/>
        </w:pBdr>
        <w:keepNext/>
      </w:pPr>
      <w:r>
        <w:t>92. Backtest types</w:t>
      </w:r>
    </w:p>
    <w:p>
      <w:pPr>
        <w:pStyle w:val="ListBody"/>
        <w:ind w:left="490" w:hanging="331"/>
      </w:pPr>
      <w:r>
        <w:rPr>
          <w:b/>
        </w:rPr>
        <w:t xml:space="preserve">• </w:t>
      </w:r>
      <w:r>
        <w:t>Factor tests.</w:t>
      </w:r>
    </w:p>
    <w:p>
      <w:pPr>
        <w:pStyle w:val="ListBody"/>
        <w:ind w:left="490" w:hanging="331"/>
      </w:pPr>
      <w:r>
        <w:rPr>
          <w:b/>
        </w:rPr>
        <w:t xml:space="preserve">• </w:t>
      </w:r>
      <w:r>
        <w:t>Candidate Score tests.</w:t>
      </w:r>
    </w:p>
    <w:p>
      <w:pPr>
        <w:pStyle w:val="ListBody"/>
        <w:ind w:left="490" w:hanging="331"/>
      </w:pPr>
      <w:r>
        <w:rPr>
          <w:b/>
        </w:rPr>
        <w:t xml:space="preserve">• </w:t>
      </w:r>
      <w:r>
        <w:t>Daily signal tests.</w:t>
      </w:r>
    </w:p>
    <w:p>
      <w:pPr>
        <w:pStyle w:val="ListBody"/>
        <w:ind w:left="490" w:hanging="331"/>
      </w:pPr>
      <w:r>
        <w:rPr>
          <w:b/>
        </w:rPr>
        <w:t xml:space="preserve">• </w:t>
      </w:r>
      <w:r>
        <w:t>Weekly signal tests.</w:t>
      </w:r>
    </w:p>
    <w:p>
      <w:pPr>
        <w:pStyle w:val="ListBody"/>
        <w:ind w:left="490" w:hanging="331"/>
      </w:pPr>
      <w:r>
        <w:rPr>
          <w:b/>
        </w:rPr>
        <w:t xml:space="preserve">• </w:t>
      </w:r>
      <w:r>
        <w:t>Monthly signal tests.</w:t>
      </w:r>
    </w:p>
    <w:p>
      <w:pPr>
        <w:pStyle w:val="ListBody"/>
        <w:ind w:left="490" w:hanging="331"/>
      </w:pPr>
      <w:r>
        <w:rPr>
          <w:b/>
        </w:rPr>
        <w:t xml:space="preserve">• </w:t>
      </w:r>
      <w:r>
        <w:t>Medium-term simulations.</w:t>
      </w:r>
    </w:p>
    <w:p>
      <w:pPr>
        <w:pStyle w:val="ListBody"/>
        <w:ind w:left="490" w:hanging="331"/>
      </w:pPr>
      <w:r>
        <w:rPr>
          <w:b/>
        </w:rPr>
        <w:t xml:space="preserve">• </w:t>
      </w:r>
      <w:r>
        <w:t>Long-term simulations.</w:t>
      </w:r>
    </w:p>
    <w:p>
      <w:pPr>
        <w:pStyle w:val="ListBody"/>
        <w:ind w:left="490" w:hanging="331"/>
      </w:pPr>
      <w:r>
        <w:rPr>
          <w:b/>
        </w:rPr>
        <w:t xml:space="preserve">• </w:t>
      </w:r>
      <w:r>
        <w:t>Portfolio optimization.</w:t>
      </w:r>
    </w:p>
    <w:p>
      <w:pPr>
        <w:pStyle w:val="ListBody"/>
        <w:ind w:left="490" w:hanging="331"/>
      </w:pPr>
      <w:r>
        <w:rPr>
          <w:b/>
        </w:rPr>
        <w:t xml:space="preserve">• </w:t>
      </w:r>
      <w:r>
        <w:t>Broker-execution simulation.</w:t>
      </w:r>
    </w:p>
    <w:p>
      <w:pPr>
        <w:pStyle w:val="ListBody"/>
        <w:ind w:left="490" w:hanging="331"/>
      </w:pPr>
      <w:r>
        <w:rPr>
          <w:b/>
        </w:rPr>
        <w:t xml:space="preserve">• </w:t>
      </w:r>
      <w:r>
        <w:t>Stress tests.</w:t>
      </w:r>
    </w:p>
    <w:p>
      <w:pPr>
        <w:pStyle w:val="ListBody"/>
        <w:ind w:left="490" w:hanging="331"/>
      </w:pPr>
      <w:r>
        <w:rPr>
          <w:b/>
        </w:rPr>
        <w:t xml:space="preserve">• </w:t>
      </w:r>
      <w:r>
        <w:t>Regime tests.</w:t>
      </w:r>
    </w:p>
    <w:p>
      <w:pPr>
        <w:pStyle w:val="ListBody"/>
        <w:ind w:left="490" w:hanging="331"/>
      </w:pPr>
      <w:r>
        <w:rPr>
          <w:b/>
        </w:rPr>
        <w:t xml:space="preserve">• </w:t>
      </w:r>
      <w:r>
        <w:t>Capacity tests.</w:t>
      </w:r>
    </w:p>
    <w:p>
      <w:pPr>
        <w:spacing w:after="0"/>
      </w:pPr>
      <w:r/>
    </w:p>
    <w:p>
      <w:pPr>
        <w:pStyle w:val="Heading1"/>
        <w:pBdr>
          <w:bottom w:val="single" w:sz="4" w:space="5" w:color="7A9AAA"/>
        </w:pBdr>
        <w:keepNext/>
      </w:pPr>
      <w:r>
        <w:t>93. Walk-forward validation</w:t>
      </w:r>
    </w:p>
    <w:p>
      <w:pPr/>
      <w:r>
        <w:t>Example:</w:t>
      </w:r>
    </w:p>
    <w:p>
      <w:pPr/>
      <w:r>
        <w:t>Training period: 5 years</w:t>
        <w:br/>
        <w:t>Validation period: 1 year</w:t>
        <w:br/>
        <w:t>Test period: 1 year</w:t>
        <w:br/>
        <w:t>Roll forward: 1 year</w:t>
      </w:r>
    </w:p>
    <w:p>
      <w:pPr/>
      <w:r>
        <w:t>Parameters must remain frozen during each test period.</w:t>
      </w:r>
    </w:p>
    <w:p>
      <w:pPr/>
      <w:r>
        <w:t>Do not select a model using the final test period.</w:t>
      </w:r>
    </w:p>
    <w:p>
      <w:pPr>
        <w:spacing w:after="0"/>
      </w:pPr>
      <w:r/>
    </w:p>
    <w:p>
      <w:pPr>
        <w:pStyle w:val="Heading1"/>
        <w:pBdr>
          <w:bottom w:val="single" w:sz="4" w:space="5" w:color="7A9AAA"/>
        </w:pBdr>
        <w:keepNext/>
      </w:pPr>
      <w:r>
        <w:t>94. Required performance metrics</w:t>
      </w:r>
    </w:p>
    <w:p>
      <w:pPr>
        <w:pStyle w:val="Heading2"/>
        <w:keepNext/>
      </w:pPr>
      <w:r>
        <w:t>Returns</w:t>
      </w:r>
    </w:p>
    <w:p>
      <w:pPr>
        <w:pStyle w:val="ListBody"/>
        <w:ind w:left="490" w:hanging="331"/>
      </w:pPr>
      <w:r>
        <w:rPr>
          <w:b/>
        </w:rPr>
        <w:t xml:space="preserve">• </w:t>
      </w:r>
      <w:r>
        <w:t>CAGR.</w:t>
      </w:r>
    </w:p>
    <w:p>
      <w:pPr>
        <w:pStyle w:val="ListBody"/>
        <w:ind w:left="490" w:hanging="331"/>
      </w:pPr>
      <w:r>
        <w:rPr>
          <w:b/>
        </w:rPr>
        <w:t xml:space="preserve">• </w:t>
      </w:r>
      <w:r>
        <w:t>Excess return.</w:t>
      </w:r>
    </w:p>
    <w:p>
      <w:pPr>
        <w:pStyle w:val="ListBody"/>
        <w:ind w:left="490" w:hanging="331"/>
      </w:pPr>
      <w:r>
        <w:rPr>
          <w:b/>
        </w:rPr>
        <w:t xml:space="preserve">• </w:t>
      </w:r>
      <w:r>
        <w:t>Rolling returns.</w:t>
      </w:r>
    </w:p>
    <w:p>
      <w:pPr>
        <w:pStyle w:val="ListBody"/>
        <w:ind w:left="490" w:hanging="331"/>
      </w:pPr>
      <w:r>
        <w:rPr>
          <w:b/>
        </w:rPr>
        <w:t xml:space="preserve">• </w:t>
      </w:r>
      <w:r>
        <w:t>Hit rate.</w:t>
      </w:r>
    </w:p>
    <w:p>
      <w:pPr>
        <w:pStyle w:val="ListBody"/>
        <w:ind w:left="490" w:hanging="331"/>
      </w:pPr>
      <w:r>
        <w:rPr>
          <w:b/>
        </w:rPr>
        <w:t xml:space="preserve">• </w:t>
      </w:r>
      <w:r>
        <w:t>Upside capture.</w:t>
      </w:r>
    </w:p>
    <w:p>
      <w:pPr>
        <w:pStyle w:val="ListBody"/>
        <w:ind w:left="490" w:hanging="331"/>
      </w:pPr>
      <w:r>
        <w:rPr>
          <w:b/>
        </w:rPr>
        <w:t xml:space="preserve">• </w:t>
      </w:r>
      <w:r>
        <w:t>Downside capture.</w:t>
      </w:r>
    </w:p>
    <w:p>
      <w:pPr>
        <w:pStyle w:val="Heading2"/>
        <w:keepNext/>
      </w:pPr>
      <w:r>
        <w:t>Risk</w:t>
      </w:r>
    </w:p>
    <w:p>
      <w:pPr>
        <w:pStyle w:val="ListBody"/>
        <w:ind w:left="490" w:hanging="331"/>
      </w:pPr>
      <w:r>
        <w:rPr>
          <w:b/>
        </w:rPr>
        <w:t xml:space="preserve">• </w:t>
      </w:r>
      <w:r>
        <w:t>Volatility.</w:t>
      </w:r>
    </w:p>
    <w:p>
      <w:pPr>
        <w:pStyle w:val="ListBody"/>
        <w:ind w:left="490" w:hanging="331"/>
      </w:pPr>
      <w:r>
        <w:rPr>
          <w:b/>
        </w:rPr>
        <w:t xml:space="preserve">• </w:t>
      </w:r>
      <w:r>
        <w:t>Maximum drawdown.</w:t>
      </w:r>
    </w:p>
    <w:p>
      <w:pPr>
        <w:pStyle w:val="ListBody"/>
        <w:ind w:left="490" w:hanging="331"/>
      </w:pPr>
      <w:r>
        <w:rPr>
          <w:b/>
        </w:rPr>
        <w:t xml:space="preserve">• </w:t>
      </w:r>
      <w:r>
        <w:t>Drawdown duration.</w:t>
      </w:r>
    </w:p>
    <w:p>
      <w:pPr>
        <w:pStyle w:val="ListBody"/>
        <w:ind w:left="490" w:hanging="331"/>
      </w:pPr>
      <w:r>
        <w:rPr>
          <w:b/>
        </w:rPr>
        <w:t xml:space="preserve">• </w:t>
      </w:r>
      <w:r>
        <w:t>Downside deviation.</w:t>
      </w:r>
    </w:p>
    <w:p>
      <w:pPr>
        <w:pStyle w:val="ListBody"/>
        <w:ind w:left="490" w:hanging="331"/>
      </w:pPr>
      <w:r>
        <w:rPr>
          <w:b/>
        </w:rPr>
        <w:t xml:space="preserve">• </w:t>
      </w:r>
      <w:r>
        <w:t>Expected shortfall.</w:t>
      </w:r>
    </w:p>
    <w:p>
      <w:pPr>
        <w:pStyle w:val="Heading2"/>
        <w:keepNext/>
      </w:pPr>
      <w:r>
        <w:t>Risk adjusted</w:t>
      </w:r>
    </w:p>
    <w:p>
      <w:pPr>
        <w:pStyle w:val="ListBody"/>
        <w:ind w:left="490" w:hanging="331"/>
      </w:pPr>
      <w:r>
        <w:rPr>
          <w:b/>
        </w:rPr>
        <w:t xml:space="preserve">• </w:t>
      </w:r>
      <w:r>
        <w:t>Sharpe ratio.</w:t>
      </w:r>
    </w:p>
    <w:p>
      <w:pPr>
        <w:pStyle w:val="ListBody"/>
        <w:ind w:left="490" w:hanging="331"/>
      </w:pPr>
      <w:r>
        <w:rPr>
          <w:b/>
        </w:rPr>
        <w:t xml:space="preserve">• </w:t>
      </w:r>
      <w:r>
        <w:t>Sortino ratio.</w:t>
      </w:r>
    </w:p>
    <w:p>
      <w:pPr>
        <w:pStyle w:val="ListBody"/>
        <w:ind w:left="490" w:hanging="331"/>
      </w:pPr>
      <w:r>
        <w:rPr>
          <w:b/>
        </w:rPr>
        <w:t xml:space="preserve">• </w:t>
      </w:r>
      <w:r>
        <w:t>Calmar ratio.</w:t>
      </w:r>
    </w:p>
    <w:p>
      <w:pPr>
        <w:pStyle w:val="ListBody"/>
        <w:ind w:left="490" w:hanging="331"/>
      </w:pPr>
      <w:r>
        <w:rPr>
          <w:b/>
        </w:rPr>
        <w:t xml:space="preserve">• </w:t>
      </w:r>
      <w:r>
        <w:t>Information ratio.</w:t>
      </w:r>
    </w:p>
    <w:p>
      <w:pPr>
        <w:pStyle w:val="Heading2"/>
        <w:keepNext/>
      </w:pPr>
      <w:r>
        <w:t>Ranking quality</w:t>
      </w:r>
    </w:p>
    <w:p>
      <w:pPr>
        <w:pStyle w:val="ListBody"/>
        <w:ind w:left="490" w:hanging="331"/>
      </w:pPr>
      <w:r>
        <w:rPr>
          <w:b/>
        </w:rPr>
        <w:t xml:space="preserve">• </w:t>
      </w:r>
      <w:r>
        <w:t>Rank IC.</w:t>
      </w:r>
    </w:p>
    <w:p>
      <w:pPr>
        <w:pStyle w:val="ListBody"/>
        <w:ind w:left="490" w:hanging="331"/>
      </w:pPr>
      <w:r>
        <w:rPr>
          <w:b/>
        </w:rPr>
        <w:t xml:space="preserve">• </w:t>
      </w:r>
      <w:r>
        <w:t>Rank-IC stability.</w:t>
      </w:r>
    </w:p>
    <w:p>
      <w:pPr>
        <w:pStyle w:val="ListBody"/>
        <w:ind w:left="490" w:hanging="331"/>
      </w:pPr>
      <w:r>
        <w:rPr>
          <w:b/>
        </w:rPr>
        <w:t xml:space="preserve">• </w:t>
      </w:r>
      <w:r>
        <w:t>Decile spread.</w:t>
      </w:r>
    </w:p>
    <w:p>
      <w:pPr>
        <w:pStyle w:val="ListBody"/>
        <w:ind w:left="490" w:hanging="331"/>
      </w:pPr>
      <w:r>
        <w:rPr>
          <w:b/>
        </w:rPr>
        <w:t xml:space="preserve">• </w:t>
      </w:r>
      <w:r>
        <w:t>Decile monotonicity.</w:t>
      </w:r>
    </w:p>
    <w:p>
      <w:pPr>
        <w:pStyle w:val="ListBody"/>
        <w:ind w:left="490" w:hanging="331"/>
      </w:pPr>
      <w:r>
        <w:rPr>
          <w:b/>
        </w:rPr>
        <w:t xml:space="preserve">• </w:t>
      </w:r>
      <w:r>
        <w:t>Sector-neutral spread.</w:t>
      </w:r>
    </w:p>
    <w:p>
      <w:pPr>
        <w:pStyle w:val="ListBody"/>
        <w:ind w:left="490" w:hanging="331"/>
      </w:pPr>
      <w:r>
        <w:rPr>
          <w:b/>
        </w:rPr>
        <w:t xml:space="preserve">• </w:t>
      </w:r>
      <w:r>
        <w:t>Size-neutral spread.</w:t>
      </w:r>
    </w:p>
    <w:p>
      <w:pPr>
        <w:pStyle w:val="Heading2"/>
        <w:keepNext/>
      </w:pPr>
      <w:r>
        <w:t>Execution</w:t>
      </w:r>
    </w:p>
    <w:p>
      <w:pPr>
        <w:pStyle w:val="ListBody"/>
        <w:ind w:left="490" w:hanging="331"/>
      </w:pPr>
      <w:r>
        <w:rPr>
          <w:b/>
        </w:rPr>
        <w:t xml:space="preserve">• </w:t>
      </w:r>
      <w:r>
        <w:t>Turnover.</w:t>
      </w:r>
    </w:p>
    <w:p>
      <w:pPr>
        <w:pStyle w:val="ListBody"/>
        <w:ind w:left="490" w:hanging="331"/>
      </w:pPr>
      <w:r>
        <w:rPr>
          <w:b/>
        </w:rPr>
        <w:t xml:space="preserve">• </w:t>
      </w:r>
      <w:r>
        <w:t>Slippage.</w:t>
      </w:r>
    </w:p>
    <w:p>
      <w:pPr>
        <w:pStyle w:val="ListBody"/>
        <w:ind w:left="490" w:hanging="331"/>
      </w:pPr>
      <w:r>
        <w:rPr>
          <w:b/>
        </w:rPr>
        <w:t xml:space="preserve">• </w:t>
      </w:r>
      <w:r>
        <w:t>Market impact.</w:t>
      </w:r>
    </w:p>
    <w:p>
      <w:pPr>
        <w:pStyle w:val="ListBody"/>
        <w:ind w:left="490" w:hanging="331"/>
      </w:pPr>
      <w:r>
        <w:rPr>
          <w:b/>
        </w:rPr>
        <w:t xml:space="preserve">• </w:t>
      </w:r>
      <w:r>
        <w:t>Capacity.</w:t>
      </w:r>
    </w:p>
    <w:p>
      <w:pPr>
        <w:pStyle w:val="ListBody"/>
        <w:ind w:left="490" w:hanging="331"/>
      </w:pPr>
      <w:r>
        <w:rPr>
          <w:b/>
        </w:rPr>
        <w:t xml:space="preserve">• </w:t>
      </w:r>
      <w:r>
        <w:t>Exit days.</w:t>
      </w:r>
    </w:p>
    <w:p>
      <w:pPr>
        <w:pStyle w:val="ListBody"/>
        <w:ind w:left="490" w:hanging="331"/>
      </w:pPr>
      <w:r>
        <w:rPr>
          <w:b/>
        </w:rPr>
        <w:t xml:space="preserve">• </w:t>
      </w:r>
      <w:r>
        <w:t>Untradeable signals.</w:t>
      </w:r>
    </w:p>
    <w:p>
      <w:pPr>
        <w:pStyle w:val="Heading2"/>
        <w:keepNext/>
      </w:pPr>
      <w:r>
        <w:t>Reliability</w:t>
      </w:r>
    </w:p>
    <w:p>
      <w:pPr>
        <w:pStyle w:val="ListBody"/>
        <w:ind w:left="490" w:hanging="331"/>
      </w:pPr>
      <w:r>
        <w:rPr>
          <w:b/>
        </w:rPr>
        <w:t xml:space="preserve">• </w:t>
      </w:r>
      <w:r>
        <w:t>Confidence intervals.</w:t>
      </w:r>
    </w:p>
    <w:p>
      <w:pPr>
        <w:pStyle w:val="ListBody"/>
        <w:ind w:left="490" w:hanging="331"/>
      </w:pPr>
      <w:r>
        <w:rPr>
          <w:b/>
        </w:rPr>
        <w:t xml:space="preserve">• </w:t>
      </w:r>
      <w:r>
        <w:t>Bootstrap.</w:t>
      </w:r>
    </w:p>
    <w:p>
      <w:pPr>
        <w:pStyle w:val="ListBody"/>
        <w:ind w:left="490" w:hanging="331"/>
      </w:pPr>
      <w:r>
        <w:rPr>
          <w:b/>
        </w:rPr>
        <w:t xml:space="preserve">• </w:t>
      </w:r>
      <w:r>
        <w:t>Subperiod analysis.</w:t>
      </w:r>
    </w:p>
    <w:p>
      <w:pPr>
        <w:pStyle w:val="ListBody"/>
        <w:ind w:left="490" w:hanging="331"/>
      </w:pPr>
      <w:r>
        <w:rPr>
          <w:b/>
        </w:rPr>
        <w:t xml:space="preserve">• </w:t>
      </w:r>
      <w:r>
        <w:t>Parameter sensitivity.</w:t>
      </w:r>
    </w:p>
    <w:p>
      <w:pPr>
        <w:pStyle w:val="ListBody"/>
        <w:ind w:left="490" w:hanging="331"/>
      </w:pPr>
      <w:r>
        <w:rPr>
          <w:b/>
        </w:rPr>
        <w:t xml:space="preserve">• </w:t>
      </w:r>
      <w:r>
        <w:t>Deflated Sharpe.</w:t>
      </w:r>
    </w:p>
    <w:p>
      <w:pPr>
        <w:pStyle w:val="ListBody"/>
        <w:ind w:left="490" w:hanging="331"/>
      </w:pPr>
      <w:r>
        <w:rPr>
          <w:b/>
        </w:rPr>
        <w:t xml:space="preserve">• </w:t>
      </w:r>
      <w:r>
        <w:t>Probability of backtest overfitting.</w:t>
      </w:r>
    </w:p>
    <w:p>
      <w:pPr>
        <w:pStyle w:val="ListBody"/>
        <w:ind w:left="490" w:hanging="331"/>
      </w:pPr>
      <w:r>
        <w:rPr>
          <w:b/>
        </w:rPr>
        <w:t xml:space="preserve">• </w:t>
      </w:r>
      <w:r>
        <w:t>Regime performance.</w:t>
      </w:r>
    </w:p>
    <w:p>
      <w:pPr>
        <w:pStyle w:val="ListBody"/>
        <w:ind w:left="490" w:hanging="331"/>
      </w:pPr>
      <w:r>
        <w:rPr>
          <w:b/>
        </w:rPr>
        <w:t xml:space="preserve">• </w:t>
      </w:r>
      <w:r>
        <w:t>Confidence-bucket performance.</w:t>
      </w:r>
    </w:p>
    <w:p>
      <w:pPr>
        <w:pStyle w:val="ListBody"/>
        <w:ind w:left="490" w:hanging="331"/>
      </w:pPr>
      <w:r>
        <w:rPr>
          <w:b/>
        </w:rPr>
        <w:t xml:space="preserve">• </w:t>
      </w:r>
      <w:r>
        <w:t>Score-bucket performance.</w:t>
      </w:r>
    </w:p>
    <w:p>
      <w:pPr>
        <w:spacing w:after="0"/>
      </w:pPr>
      <w:r/>
    </w:p>
    <w:p>
      <w:pPr>
        <w:pStyle w:val="Heading1"/>
        <w:pBdr>
          <w:bottom w:val="single" w:sz="4" w:space="5" w:color="7A9AAA"/>
        </w:pBdr>
        <w:keepNext/>
      </w:pPr>
      <w:r>
        <w:t>95. Factor redundancy and exposure controls</w:t>
      </w:r>
    </w:p>
    <w:p>
      <w:pPr/>
      <w:r>
        <w:t>Calculate:</w:t>
      </w:r>
    </w:p>
    <w:p>
      <w:pPr>
        <w:pStyle w:val="ListBody"/>
        <w:ind w:left="490" w:hanging="331"/>
      </w:pPr>
      <w:r>
        <w:rPr>
          <w:b/>
        </w:rPr>
        <w:t xml:space="preserve">• </w:t>
      </w:r>
      <w:r>
        <w:t>Factor correlation matrix.</w:t>
      </w:r>
    </w:p>
    <w:p>
      <w:pPr>
        <w:pStyle w:val="ListBody"/>
        <w:ind w:left="490" w:hanging="331"/>
      </w:pPr>
      <w:r>
        <w:rPr>
          <w:b/>
        </w:rPr>
        <w:t xml:space="preserve">• </w:t>
      </w:r>
      <w:r>
        <w:t>Variance inflation.</w:t>
      </w:r>
    </w:p>
    <w:p>
      <w:pPr>
        <w:pStyle w:val="ListBody"/>
        <w:ind w:left="490" w:hanging="331"/>
      </w:pPr>
      <w:r>
        <w:rPr>
          <w:b/>
        </w:rPr>
        <w:t xml:space="preserve">• </w:t>
      </w:r>
      <w:r>
        <w:t>Marginal information coefficient.</w:t>
      </w:r>
    </w:p>
    <w:p>
      <w:pPr>
        <w:pStyle w:val="ListBody"/>
        <w:ind w:left="490" w:hanging="331"/>
      </w:pPr>
      <w:r>
        <w:rPr>
          <w:b/>
        </w:rPr>
        <w:t xml:space="preserve">• </w:t>
      </w:r>
      <w:r>
        <w:t>Marginal portfolio contribution.</w:t>
      </w:r>
    </w:p>
    <w:p>
      <w:pPr>
        <w:pStyle w:val="ListBody"/>
        <w:ind w:left="490" w:hanging="331"/>
      </w:pPr>
      <w:r>
        <w:rPr>
          <w:b/>
        </w:rPr>
        <w:t xml:space="preserve">• </w:t>
      </w:r>
      <w:r>
        <w:t>Sector exposure.</w:t>
      </w:r>
    </w:p>
    <w:p>
      <w:pPr>
        <w:pStyle w:val="ListBody"/>
        <w:ind w:left="490" w:hanging="331"/>
      </w:pPr>
      <w:r>
        <w:rPr>
          <w:b/>
        </w:rPr>
        <w:t xml:space="preserve">• </w:t>
      </w:r>
      <w:r>
        <w:t>Size exposure.</w:t>
      </w:r>
    </w:p>
    <w:p>
      <w:pPr>
        <w:pStyle w:val="ListBody"/>
        <w:ind w:left="490" w:hanging="331"/>
      </w:pPr>
      <w:r>
        <w:rPr>
          <w:b/>
        </w:rPr>
        <w:t xml:space="preserve">• </w:t>
      </w:r>
      <w:r>
        <w:t>Momentum exposure.</w:t>
      </w:r>
    </w:p>
    <w:p>
      <w:pPr>
        <w:pStyle w:val="ListBody"/>
        <w:ind w:left="490" w:hanging="331"/>
      </w:pPr>
      <w:r>
        <w:rPr>
          <w:b/>
        </w:rPr>
        <w:t xml:space="preserve">• </w:t>
      </w:r>
      <w:r>
        <w:t>Value exposure.</w:t>
      </w:r>
    </w:p>
    <w:p>
      <w:pPr>
        <w:pStyle w:val="ListBody"/>
        <w:ind w:left="490" w:hanging="331"/>
      </w:pPr>
      <w:r>
        <w:rPr>
          <w:b/>
        </w:rPr>
        <w:t xml:space="preserve">• </w:t>
      </w:r>
      <w:r>
        <w:t>Quality exposure.</w:t>
      </w:r>
    </w:p>
    <w:p>
      <w:pPr>
        <w:pStyle w:val="ListBody"/>
        <w:ind w:left="490" w:hanging="331"/>
      </w:pPr>
      <w:r>
        <w:rPr>
          <w:b/>
        </w:rPr>
        <w:t xml:space="preserve">• </w:t>
      </w:r>
      <w:r>
        <w:t>Liquidity exposure.</w:t>
      </w:r>
    </w:p>
    <w:p>
      <w:pPr/>
      <w:r>
        <w:t>Highly correlated factors must not receive full independent weights without justification.</w:t>
      </w:r>
    </w:p>
    <w:p>
      <w:pPr>
        <w:spacing w:after="0"/>
      </w:pPr>
      <w:r/>
    </w:p>
    <w:p>
      <w:pPr>
        <w:pStyle w:val="Heading1"/>
        <w:pBdr>
          <w:bottom w:val="single" w:sz="4" w:space="5" w:color="7A9AAA"/>
        </w:pBdr>
        <w:keepNext/>
      </w:pPr>
      <w:r>
        <w:t>96. Champion and challenger models</w:t>
      </w:r>
    </w:p>
    <w:p>
      <w:pPr/>
      <w:r>
        <w:t>Maintain:</w:t>
      </w:r>
    </w:p>
    <w:p>
      <w:pPr>
        <w:pStyle w:val="ListBody"/>
        <w:ind w:left="490" w:hanging="331"/>
      </w:pPr>
      <w:r>
        <w:rPr>
          <w:b/>
        </w:rPr>
        <w:t xml:space="preserve">• </w:t>
      </w:r>
      <w:r>
        <w:t>Production champion.</w:t>
      </w:r>
    </w:p>
    <w:p>
      <w:pPr>
        <w:pStyle w:val="ListBody"/>
        <w:ind w:left="490" w:hanging="331"/>
      </w:pPr>
      <w:r>
        <w:rPr>
          <w:b/>
        </w:rPr>
        <w:t xml:space="preserve">• </w:t>
      </w:r>
      <w:r>
        <w:t>Shadow challenger.</w:t>
      </w:r>
    </w:p>
    <w:p>
      <w:pPr>
        <w:pStyle w:val="ListBody"/>
        <w:ind w:left="490" w:hanging="331"/>
      </w:pPr>
      <w:r>
        <w:rPr>
          <w:b/>
        </w:rPr>
        <w:t xml:space="preserve">• </w:t>
      </w:r>
      <w:r>
        <w:t>Experimental model.</w:t>
      </w:r>
    </w:p>
    <w:p>
      <w:pPr/>
      <w:r>
        <w:t>A challenger must:</w:t>
      </w:r>
    </w:p>
    <w:p>
      <w:pPr>
        <w:pStyle w:val="ListBody"/>
        <w:ind w:left="490" w:hanging="331"/>
      </w:pPr>
      <w:r>
        <w:rPr>
          <w:b/>
        </w:rPr>
        <w:t xml:space="preserve">1. </w:t>
      </w:r>
      <w:r>
        <w:t>Run in shadow mode.</w:t>
      </w:r>
    </w:p>
    <w:p>
      <w:pPr>
        <w:pStyle w:val="ListBody"/>
        <w:ind w:left="490" w:hanging="331"/>
      </w:pPr>
      <w:r>
        <w:rPr>
          <w:b/>
        </w:rPr>
        <w:t xml:space="preserve">2. </w:t>
      </w:r>
      <w:r>
        <w:t>Generate no orders.</w:t>
      </w:r>
    </w:p>
    <w:p>
      <w:pPr>
        <w:pStyle w:val="ListBody"/>
        <w:ind w:left="490" w:hanging="331"/>
      </w:pPr>
      <w:r>
        <w:rPr>
          <w:b/>
        </w:rPr>
        <w:t xml:space="preserve">3. </w:t>
      </w:r>
      <w:r>
        <w:t>Be compared against the champion.</w:t>
      </w:r>
    </w:p>
    <w:p>
      <w:pPr>
        <w:pStyle w:val="ListBody"/>
        <w:ind w:left="490" w:hanging="331"/>
      </w:pPr>
      <w:r>
        <w:rPr>
          <w:b/>
        </w:rPr>
        <w:t xml:space="preserve">4. </w:t>
      </w:r>
      <w:r>
        <w:t>Pass validation.</w:t>
      </w:r>
    </w:p>
    <w:p>
      <w:pPr>
        <w:pStyle w:val="ListBody"/>
        <w:ind w:left="490" w:hanging="331"/>
      </w:pPr>
      <w:r>
        <w:rPr>
          <w:b/>
        </w:rPr>
        <w:t xml:space="preserve">5. </w:t>
      </w:r>
      <w:r>
        <w:t>Receive approval.</w:t>
      </w:r>
    </w:p>
    <w:p>
      <w:pPr>
        <w:pStyle w:val="ListBody"/>
        <w:ind w:left="490" w:hanging="331"/>
      </w:pPr>
      <w:r>
        <w:rPr>
          <w:b/>
        </w:rPr>
        <w:t xml:space="preserve">6. </w:t>
      </w:r>
      <w:r>
        <w:t>Deploy gradually.</w:t>
      </w:r>
    </w:p>
    <w:p>
      <w:pPr>
        <w:pStyle w:val="ListBody"/>
        <w:ind w:left="490" w:hanging="331"/>
      </w:pPr>
      <w:r>
        <w:rPr>
          <w:b/>
        </w:rPr>
        <w:t xml:space="preserve">7. </w:t>
      </w:r>
      <w:r>
        <w:t>Support rollback.</w:t>
      </w:r>
    </w:p>
    <w:p>
      <w:pPr>
        <w:spacing w:after="0"/>
      </w:pPr>
      <w:r/>
    </w:p>
    <w:p>
      <w:pPr>
        <w:pStyle w:val="Heading1"/>
        <w:pBdr>
          <w:bottom w:val="single" w:sz="4" w:space="5" w:color="7A9AAA"/>
        </w:pBdr>
        <w:keepNext/>
      </w:pPr>
      <w:r>
        <w:t>97. Laptop deployment target</w:t>
      </w:r>
    </w:p>
    <w:p>
      <w:pPr/>
      <w:r>
        <w:t>Target hardware:</w:t>
      </w:r>
    </w:p>
    <w:p>
      <w:pPr>
        <w:pStyle w:val="ListBody"/>
        <w:ind w:left="490" w:hanging="331"/>
      </w:pPr>
      <w:r>
        <w:rPr>
          <w:b/>
        </w:rPr>
        <w:t xml:space="preserve">• </w:t>
      </w:r>
      <w:r>
        <w:t>Intel Core i7, 13th generation.</w:t>
      </w:r>
    </w:p>
    <w:p>
      <w:pPr>
        <w:pStyle w:val="ListBody"/>
        <w:ind w:left="490" w:hanging="331"/>
      </w:pPr>
      <w:r>
        <w:rPr>
          <w:b/>
        </w:rPr>
        <w:t xml:space="preserve">• </w:t>
      </w:r>
      <w:r>
        <w:t>10 cores.</w:t>
      </w:r>
    </w:p>
    <w:p>
      <w:pPr>
        <w:pStyle w:val="ListBody"/>
        <w:ind w:left="490" w:hanging="331"/>
      </w:pPr>
      <w:r>
        <w:rPr>
          <w:b/>
        </w:rPr>
        <w:t xml:space="preserve">• </w:t>
      </w:r>
      <w:r>
        <w:t>16 logical threads.</w:t>
      </w:r>
    </w:p>
    <w:p>
      <w:pPr>
        <w:pStyle w:val="ListBody"/>
        <w:ind w:left="490" w:hanging="331"/>
      </w:pPr>
      <w:r>
        <w:rPr>
          <w:b/>
        </w:rPr>
        <w:t xml:space="preserve">• </w:t>
      </w:r>
      <w:r>
        <w:t>16–24 GB DDR5 RAM.</w:t>
      </w:r>
    </w:p>
    <w:p>
      <w:pPr>
        <w:pStyle w:val="ListBody"/>
        <w:ind w:left="490" w:hanging="331"/>
      </w:pPr>
      <w:r>
        <w:rPr>
          <w:b/>
        </w:rPr>
        <w:t xml:space="preserve">• </w:t>
      </w:r>
      <w:r>
        <w:t>RTX 4060 laptop GPU.</w:t>
      </w:r>
    </w:p>
    <w:p>
      <w:pPr>
        <w:pStyle w:val="ListBody"/>
        <w:ind w:left="490" w:hanging="331"/>
      </w:pPr>
      <w:r>
        <w:rPr>
          <w:b/>
        </w:rPr>
        <w:t xml:space="preserve">• </w:t>
      </w:r>
      <w:r>
        <w:t>8 GB VRAM.</w:t>
      </w:r>
    </w:p>
    <w:p>
      <w:pPr>
        <w:pStyle w:val="ListBody"/>
        <w:ind w:left="490" w:hanging="331"/>
      </w:pPr>
      <w:r>
        <w:rPr>
          <w:b/>
        </w:rPr>
        <w:t xml:space="preserve">• </w:t>
      </w:r>
      <w:r>
        <w:t>Approximately 400 GB SSD.</w:t>
      </w:r>
    </w:p>
    <w:p>
      <w:pPr>
        <w:pStyle w:val="ListBody"/>
        <w:ind w:left="490" w:hanging="331"/>
      </w:pPr>
      <w:r>
        <w:rPr>
          <w:b/>
        </w:rPr>
        <w:t xml:space="preserve">• </w:t>
      </w:r>
      <w:r>
        <w:t>100 Mbps internet.</w:t>
      </w:r>
    </w:p>
    <w:p>
      <w:pPr/>
      <w:r>
        <w:t>Supported workloads:</w:t>
      </w:r>
    </w:p>
    <w:p>
      <w:pPr>
        <w:pStyle w:val="ListBody"/>
        <w:ind w:left="490" w:hanging="331"/>
      </w:pPr>
      <w:r>
        <w:rPr>
          <w:b/>
        </w:rPr>
        <w:t xml:space="preserve">• </w:t>
      </w:r>
      <w:r>
        <w:t>2,000-stock EOD screening.</w:t>
      </w:r>
    </w:p>
    <w:p>
      <w:pPr>
        <w:pStyle w:val="ListBody"/>
        <w:ind w:left="490" w:hanging="331"/>
      </w:pPr>
      <w:r>
        <w:rPr>
          <w:b/>
        </w:rPr>
        <w:t xml:space="preserve">• </w:t>
      </w:r>
      <w:r>
        <w:t>Daily signals.</w:t>
      </w:r>
    </w:p>
    <w:p>
      <w:pPr>
        <w:pStyle w:val="ListBody"/>
        <w:ind w:left="490" w:hanging="331"/>
      </w:pPr>
      <w:r>
        <w:rPr>
          <w:b/>
        </w:rPr>
        <w:t xml:space="preserve">• </w:t>
      </w:r>
      <w:r>
        <w:t>Weekly signals.</w:t>
      </w:r>
    </w:p>
    <w:p>
      <w:pPr>
        <w:pStyle w:val="ListBody"/>
        <w:ind w:left="490" w:hanging="331"/>
      </w:pPr>
      <w:r>
        <w:rPr>
          <w:b/>
        </w:rPr>
        <w:t xml:space="preserve">• </w:t>
      </w:r>
      <w:r>
        <w:t>Monthly signals.</w:t>
      </w:r>
    </w:p>
    <w:p>
      <w:pPr>
        <w:pStyle w:val="ListBody"/>
        <w:ind w:left="490" w:hanging="331"/>
      </w:pPr>
      <w:r>
        <w:rPr>
          <w:b/>
        </w:rPr>
        <w:t xml:space="preserve">• </w:t>
      </w:r>
      <w:r>
        <w:t>Medium- and long-term research.</w:t>
      </w:r>
    </w:p>
    <w:p>
      <w:pPr>
        <w:pStyle w:val="ListBody"/>
        <w:ind w:left="490" w:hanging="331"/>
      </w:pPr>
      <w:r>
        <w:rPr>
          <w:b/>
        </w:rPr>
        <w:t xml:space="preserve">• </w:t>
      </w:r>
      <w:r>
        <w:t>Portfolio monitoring.</w:t>
      </w:r>
    </w:p>
    <w:p>
      <w:pPr>
        <w:pStyle w:val="ListBody"/>
        <w:ind w:left="490" w:hanging="331"/>
      </w:pPr>
      <w:r>
        <w:rPr>
          <w:b/>
        </w:rPr>
        <w:t xml:space="preserve">• </w:t>
      </w:r>
      <w:r>
        <w:t>Broker integration.</w:t>
      </w:r>
    </w:p>
    <w:p>
      <w:pPr>
        <w:pStyle w:val="ListBody"/>
        <w:ind w:left="490" w:hanging="331"/>
      </w:pPr>
      <w:r>
        <w:rPr>
          <w:b/>
        </w:rPr>
        <w:t xml:space="preserve">• </w:t>
      </w:r>
      <w:r>
        <w:t>Full daily-history backtesting.</w:t>
      </w:r>
    </w:p>
    <w:p>
      <w:pPr>
        <w:pStyle w:val="ListBody"/>
        <w:ind w:left="490" w:hanging="331"/>
      </w:pPr>
      <w:r>
        <w:rPr>
          <w:b/>
        </w:rPr>
        <w:t xml:space="preserve">• </w:t>
      </w:r>
      <w:r>
        <w:t>Limited intraday backtesting.</w:t>
      </w:r>
    </w:p>
    <w:p>
      <w:pPr>
        <w:pStyle w:val="ListBody"/>
        <w:ind w:left="490" w:hanging="331"/>
      </w:pPr>
      <w:r>
        <w:rPr>
          <w:b/>
        </w:rPr>
        <w:t xml:space="preserve">• </w:t>
      </w:r>
      <w:r>
        <w:t>Controlled document AI.</w:t>
      </w:r>
    </w:p>
    <w:p>
      <w:pPr/>
      <w:r>
        <w:t>Restricted workloads:</w:t>
      </w:r>
    </w:p>
    <w:p>
      <w:pPr>
        <w:pStyle w:val="ListBody"/>
        <w:ind w:left="490" w:hanging="331"/>
      </w:pPr>
      <w:r>
        <w:rPr>
          <w:b/>
        </w:rPr>
        <w:t xml:space="preserve">• </w:t>
      </w:r>
      <w:r>
        <w:t>Full-market tick storage.</w:t>
      </w:r>
    </w:p>
    <w:p>
      <w:pPr>
        <w:pStyle w:val="ListBody"/>
        <w:ind w:left="490" w:hanging="331"/>
      </w:pPr>
      <w:r>
        <w:rPr>
          <w:b/>
        </w:rPr>
        <w:t xml:space="preserve">• </w:t>
      </w:r>
      <w:r>
        <w:t>Full-depth streaming for 2,000 stocks.</w:t>
      </w:r>
    </w:p>
    <w:p>
      <w:pPr>
        <w:pStyle w:val="ListBody"/>
        <w:ind w:left="490" w:hanging="331"/>
      </w:pPr>
      <w:r>
        <w:rPr>
          <w:b/>
        </w:rPr>
        <w:t xml:space="preserve">• </w:t>
      </w:r>
      <w:r>
        <w:t>Large-scale local LLM serving.</w:t>
      </w:r>
    </w:p>
    <w:p>
      <w:pPr>
        <w:pStyle w:val="ListBody"/>
        <w:ind w:left="490" w:hanging="331"/>
      </w:pPr>
      <w:r>
        <w:rPr>
          <w:b/>
        </w:rPr>
        <w:t xml:space="preserve">• </w:t>
      </w:r>
      <w:r>
        <w:t>Unlimited one-minute history.</w:t>
      </w:r>
    </w:p>
    <w:p>
      <w:pPr>
        <w:pStyle w:val="ListBody"/>
        <w:ind w:left="490" w:hanging="331"/>
      </w:pPr>
      <w:r>
        <w:rPr>
          <w:b/>
        </w:rPr>
        <w:t xml:space="preserve">• </w:t>
      </w:r>
      <w:r>
        <w:t>Commercial high-concurrency deployment.</w:t>
      </w:r>
    </w:p>
    <w:p>
      <w:pPr>
        <w:pStyle w:val="ListBody"/>
        <w:ind w:left="490" w:hanging="331"/>
      </w:pPr>
      <w:r>
        <w:rPr>
          <w:b/>
        </w:rPr>
        <w:t xml:space="preserve">• </w:t>
      </w:r>
      <w:r>
        <w:t>Large hyperparameter searches.</w:t>
      </w:r>
    </w:p>
    <w:p>
      <w:pPr>
        <w:spacing w:after="0"/>
      </w:pPr>
      <w:r/>
    </w:p>
    <w:p>
      <w:pPr>
        <w:pStyle w:val="Heading1"/>
        <w:pBdr>
          <w:bottom w:val="single" w:sz="4" w:space="5" w:color="7A9AAA"/>
        </w:pBdr>
        <w:keepNext/>
      </w:pPr>
      <w:r>
        <w:t>98. Laptop-optimized architecture</w:t>
      </w:r>
    </w:p>
    <w:p>
      <w:pPr/>
      <w:r>
        <w:t>Use a modular monolith.</w:t>
      </w:r>
    </w:p>
    <w:p>
      <w:pPr/>
      <w:r>
        <w:t>Windows or Linux</w:t>
        <w:br/>
        <w:t>│</w:t>
        <w:br/>
        <w:t>├── FastAPI application</w:t>
        <w:br/>
        <w:t>├── Single scheduler</w:t>
        <w:br/>
        <w:t>├── PostgreSQL</w:t>
        <w:br/>
        <w:t>├── Parquet data lake</w:t>
        <w:br/>
        <w:t>├── DuckDB analytical engine</w:t>
        <w:br/>
        <w:t>├── Polars processing</w:t>
        <w:br/>
        <w:t>├── Controlled GPU worker</w:t>
        <w:br/>
        <w:t>└── React frontend</w:t>
      </w:r>
    </w:p>
    <w:p>
      <w:pPr/>
      <w:r>
        <w:t>Avoid initially:</w:t>
      </w:r>
    </w:p>
    <w:p>
      <w:pPr>
        <w:pStyle w:val="ListBody"/>
        <w:ind w:left="490" w:hanging="331"/>
      </w:pPr>
      <w:r>
        <w:rPr>
          <w:b/>
        </w:rPr>
        <w:t xml:space="preserve">• </w:t>
      </w:r>
      <w:r>
        <w:t>Kubernetes.</w:t>
      </w:r>
    </w:p>
    <w:p>
      <w:pPr>
        <w:pStyle w:val="ListBody"/>
        <w:ind w:left="490" w:hanging="331"/>
      </w:pPr>
      <w:r>
        <w:rPr>
          <w:b/>
        </w:rPr>
        <w:t xml:space="preserve">• </w:t>
      </w:r>
      <w:r>
        <w:t>Kafka.</w:t>
      </w:r>
    </w:p>
    <w:p>
      <w:pPr>
        <w:pStyle w:val="ListBody"/>
        <w:ind w:left="490" w:hanging="331"/>
      </w:pPr>
      <w:r>
        <w:rPr>
          <w:b/>
        </w:rPr>
        <w:t xml:space="preserve">• </w:t>
      </w:r>
      <w:r>
        <w:t>Spark.</w:t>
      </w:r>
    </w:p>
    <w:p>
      <w:pPr>
        <w:pStyle w:val="ListBody"/>
        <w:ind w:left="490" w:hanging="331"/>
      </w:pPr>
      <w:r>
        <w:rPr>
          <w:b/>
        </w:rPr>
        <w:t xml:space="preserve">• </w:t>
      </w:r>
      <w:r>
        <w:t>Elasticsearch.</w:t>
      </w:r>
    </w:p>
    <w:p>
      <w:pPr>
        <w:pStyle w:val="ListBody"/>
        <w:ind w:left="490" w:hanging="331"/>
      </w:pPr>
      <w:r>
        <w:rPr>
          <w:b/>
        </w:rPr>
        <w:t xml:space="preserve">• </w:t>
      </w:r>
      <w:r>
        <w:t>Distributed storage.</w:t>
      </w:r>
    </w:p>
    <w:p>
      <w:pPr>
        <w:pStyle w:val="ListBody"/>
        <w:ind w:left="490" w:hanging="331"/>
      </w:pPr>
      <w:r>
        <w:rPr>
          <w:b/>
        </w:rPr>
        <w:t xml:space="preserve">• </w:t>
      </w:r>
      <w:r>
        <w:t>Multiple API containers.</w:t>
      </w:r>
    </w:p>
    <w:p>
      <w:pPr>
        <w:pStyle w:val="ListBody"/>
        <w:ind w:left="490" w:hanging="331"/>
      </w:pPr>
      <w:r>
        <w:rPr>
          <w:b/>
        </w:rPr>
        <w:t xml:space="preserve">• </w:t>
      </w:r>
      <w:r>
        <w:t>Continuous large local LLM service.</w:t>
      </w:r>
    </w:p>
    <w:p>
      <w:pPr>
        <w:spacing w:after="0"/>
      </w:pPr>
      <w:r/>
    </w:p>
    <w:p>
      <w:pPr>
        <w:pStyle w:val="Heading1"/>
        <w:pBdr>
          <w:bottom w:val="single" w:sz="4" w:space="5" w:color="7A9AAA"/>
        </w:pBdr>
        <w:keepNext/>
      </w:pPr>
      <w:r>
        <w:t>99. Resource modes</w:t>
      </w:r>
    </w:p>
    <w:p>
      <w:pPr>
        <w:pStyle w:val="Heading2"/>
        <w:keepNext/>
      </w:pPr>
      <w:r>
        <w:t>Market Hours Mode</w:t>
      </w:r>
    </w:p>
    <w:p>
      <w:pPr>
        <w:pStyle w:val="ListBody"/>
        <w:ind w:left="490" w:hanging="331"/>
      </w:pPr>
      <w:r>
        <w:rPr>
          <w:b/>
        </w:rPr>
        <w:t xml:space="preserve">• </w:t>
      </w:r>
      <w:r>
        <w:t>Broker and risk highest priority.</w:t>
      </w:r>
    </w:p>
    <w:p>
      <w:pPr>
        <w:pStyle w:val="ListBody"/>
        <w:ind w:left="490" w:hanging="331"/>
      </w:pPr>
      <w:r>
        <w:rPr>
          <w:b/>
        </w:rPr>
        <w:t xml:space="preserve">• </w:t>
      </w:r>
      <w:r>
        <w:t>2 CPU workers.</w:t>
      </w:r>
    </w:p>
    <w:p>
      <w:pPr>
        <w:pStyle w:val="ListBody"/>
        <w:ind w:left="490" w:hanging="331"/>
      </w:pPr>
      <w:r>
        <w:rPr>
          <w:b/>
        </w:rPr>
        <w:t xml:space="preserve">• </w:t>
      </w:r>
      <w:r>
        <w:t>GPU paused.</w:t>
      </w:r>
    </w:p>
    <w:p>
      <w:pPr>
        <w:pStyle w:val="ListBody"/>
        <w:ind w:left="490" w:hanging="331"/>
      </w:pPr>
      <w:r>
        <w:rPr>
          <w:b/>
        </w:rPr>
        <w:t xml:space="preserve">• </w:t>
      </w:r>
      <w:r>
        <w:t>Backtests paused.</w:t>
      </w:r>
    </w:p>
    <w:p>
      <w:pPr>
        <w:pStyle w:val="ListBody"/>
        <w:ind w:left="490" w:hanging="331"/>
      </w:pPr>
      <w:r>
        <w:rPr>
          <w:b/>
        </w:rPr>
        <w:t xml:space="preserve">• </w:t>
      </w:r>
      <w:r>
        <w:t>Live universe limited.</w:t>
      </w:r>
    </w:p>
    <w:p>
      <w:pPr>
        <w:pStyle w:val="Heading2"/>
        <w:keepNext/>
      </w:pPr>
      <w:r>
        <w:t>End-of-Day Mode</w:t>
      </w:r>
    </w:p>
    <w:p>
      <w:pPr>
        <w:pStyle w:val="ListBody"/>
        <w:ind w:left="490" w:hanging="331"/>
      </w:pPr>
      <w:r>
        <w:rPr>
          <w:b/>
        </w:rPr>
        <w:t xml:space="preserve">• </w:t>
      </w:r>
      <w:r>
        <w:t>4 workers on 16 GB.</w:t>
      </w:r>
    </w:p>
    <w:p>
      <w:pPr>
        <w:pStyle w:val="ListBody"/>
        <w:ind w:left="490" w:hanging="331"/>
      </w:pPr>
      <w:r>
        <w:rPr>
          <w:b/>
        </w:rPr>
        <w:t xml:space="preserve">• </w:t>
      </w:r>
      <w:r>
        <w:t>6 workers on 24 GB.</w:t>
      </w:r>
    </w:p>
    <w:p>
      <w:pPr>
        <w:pStyle w:val="ListBody"/>
        <w:ind w:left="490" w:hanging="331"/>
      </w:pPr>
      <w:r>
        <w:rPr>
          <w:b/>
        </w:rPr>
        <w:t xml:space="preserve">• </w:t>
      </w:r>
      <w:r>
        <w:t>Daily signals.</w:t>
      </w:r>
    </w:p>
    <w:p>
      <w:pPr>
        <w:pStyle w:val="ListBody"/>
        <w:ind w:left="490" w:hanging="331"/>
      </w:pPr>
      <w:r>
        <w:rPr>
          <w:b/>
        </w:rPr>
        <w:t xml:space="preserve">• </w:t>
      </w:r>
      <w:r>
        <w:t>Rankings.</w:t>
      </w:r>
    </w:p>
    <w:p>
      <w:pPr>
        <w:pStyle w:val="ListBody"/>
        <w:ind w:left="490" w:hanging="331"/>
      </w:pPr>
      <w:r>
        <w:rPr>
          <w:b/>
        </w:rPr>
        <w:t xml:space="preserve">• </w:t>
      </w:r>
      <w:r>
        <w:t>Weekly and monthly aggregation.</w:t>
      </w:r>
    </w:p>
    <w:p>
      <w:pPr>
        <w:pStyle w:val="Heading2"/>
        <w:keepNext/>
      </w:pPr>
      <w:r>
        <w:t>Research Mode</w:t>
      </w:r>
    </w:p>
    <w:p>
      <w:pPr>
        <w:pStyle w:val="ListBody"/>
        <w:ind w:left="490" w:hanging="331"/>
      </w:pPr>
      <w:r>
        <w:rPr>
          <w:b/>
        </w:rPr>
        <w:t xml:space="preserve">• </w:t>
      </w:r>
      <w:r>
        <w:t>2–3 document workers.</w:t>
      </w:r>
    </w:p>
    <w:p>
      <w:pPr>
        <w:pStyle w:val="ListBody"/>
        <w:ind w:left="490" w:hanging="331"/>
      </w:pPr>
      <w:r>
        <w:rPr>
          <w:b/>
        </w:rPr>
        <w:t xml:space="preserve">• </w:t>
      </w:r>
      <w:r>
        <w:t>One GPU job.</w:t>
      </w:r>
    </w:p>
    <w:p>
      <w:pPr>
        <w:pStyle w:val="ListBody"/>
        <w:ind w:left="490" w:hanging="331"/>
      </w:pPr>
      <w:r>
        <w:rPr>
          <w:b/>
        </w:rPr>
        <w:t xml:space="preserve">• </w:t>
      </w:r>
      <w:r>
        <w:t>No heavy backtest.</w:t>
      </w:r>
    </w:p>
    <w:p>
      <w:pPr>
        <w:pStyle w:val="Heading2"/>
        <w:keepNext/>
      </w:pPr>
      <w:r>
        <w:t>Backtest Mode</w:t>
      </w:r>
    </w:p>
    <w:p>
      <w:pPr>
        <w:pStyle w:val="ListBody"/>
        <w:ind w:left="490" w:hanging="331"/>
      </w:pPr>
      <w:r>
        <w:rPr>
          <w:b/>
        </w:rPr>
        <w:t xml:space="preserve">• </w:t>
      </w:r>
      <w:r>
        <w:t>4 workers on 16 GB.</w:t>
      </w:r>
    </w:p>
    <w:p>
      <w:pPr>
        <w:pStyle w:val="ListBody"/>
        <w:ind w:left="490" w:hanging="331"/>
      </w:pPr>
      <w:r>
        <w:rPr>
          <w:b/>
        </w:rPr>
        <w:t xml:space="preserve">• </w:t>
      </w:r>
      <w:r>
        <w:t>6 workers on 24 GB.</w:t>
      </w:r>
    </w:p>
    <w:p>
      <w:pPr>
        <w:pStyle w:val="ListBody"/>
        <w:ind w:left="490" w:hanging="331"/>
      </w:pPr>
      <w:r>
        <w:rPr>
          <w:b/>
        </w:rPr>
        <w:t xml:space="preserve">• </w:t>
      </w:r>
      <w:r>
        <w:t>Dashboard read-only.</w:t>
      </w:r>
    </w:p>
    <w:p>
      <w:pPr>
        <w:pStyle w:val="ListBody"/>
        <w:ind w:left="490" w:hanging="331"/>
      </w:pPr>
      <w:r>
        <w:rPr>
          <w:b/>
        </w:rPr>
        <w:t xml:space="preserve">• </w:t>
      </w:r>
      <w:r>
        <w:t>AI paused.</w:t>
      </w:r>
    </w:p>
    <w:p>
      <w:pPr>
        <w:pStyle w:val="ListBody"/>
        <w:ind w:left="490" w:hanging="331"/>
      </w:pPr>
      <w:r>
        <w:rPr>
          <w:b/>
        </w:rPr>
        <w:t xml:space="preserve">• </w:t>
      </w:r>
      <w:r>
        <w:t>Checkpoints enabled.</w:t>
      </w:r>
    </w:p>
    <w:p>
      <w:pPr>
        <w:spacing w:after="0"/>
      </w:pPr>
      <w:r/>
    </w:p>
    <w:p>
      <w:pPr>
        <w:pStyle w:val="Heading1"/>
        <w:pBdr>
          <w:bottom w:val="single" w:sz="4" w:space="5" w:color="7A9AAA"/>
        </w:pBdr>
        <w:keepNext/>
      </w:pPr>
      <w:r>
        <w:t>100. WSL profiles</w:t>
      </w:r>
    </w:p>
    <w:p>
      <w:pPr>
        <w:pStyle w:val="Heading2"/>
        <w:keepNext/>
      </w:pPr>
      <w:r>
        <w:t>16 GB profile</w:t>
      </w:r>
    </w:p>
    <w:p>
      <w:pPr/>
      <w:r>
        <w:t>[wsl2]</w:t>
        <w:br/>
        <w:t>memory=10GB</w:t>
        <w:br/>
        <w:t>processors=10</w:t>
        <w:br/>
        <w:t>swap=4GB</w:t>
        <w:br/>
        <w:t>localhostForwarding=true</w:t>
      </w:r>
    </w:p>
    <w:p>
      <w:pPr>
        <w:pStyle w:val="Heading2"/>
        <w:keepNext/>
      </w:pPr>
      <w:r>
        <w:t>24 GB profile</w:t>
      </w:r>
    </w:p>
    <w:p>
      <w:pPr/>
      <w:r>
        <w:t>[wsl2]</w:t>
        <w:br/>
        <w:t>memory=16GB</w:t>
        <w:br/>
        <w:t>processors=12</w:t>
        <w:br/>
        <w:t>swap=6GB</w:t>
        <w:br/>
        <w:t>localhostForwarding=true</w:t>
      </w:r>
    </w:p>
    <w:p>
      <w:pPr/>
      <w:r>
        <w:t>Leave sufficient RAM for:</w:t>
      </w:r>
    </w:p>
    <w:p>
      <w:pPr>
        <w:pStyle w:val="ListBody"/>
        <w:ind w:left="490" w:hanging="331"/>
      </w:pPr>
      <w:r>
        <w:rPr>
          <w:b/>
        </w:rPr>
        <w:t xml:space="preserve">• </w:t>
      </w:r>
      <w:r>
        <w:t>Windows.</w:t>
      </w:r>
    </w:p>
    <w:p>
      <w:pPr>
        <w:pStyle w:val="ListBody"/>
        <w:ind w:left="490" w:hanging="331"/>
      </w:pPr>
      <w:r>
        <w:rPr>
          <w:b/>
        </w:rPr>
        <w:t xml:space="preserve">• </w:t>
      </w:r>
      <w:r>
        <w:t>Browser.</w:t>
      </w:r>
    </w:p>
    <w:p>
      <w:pPr>
        <w:pStyle w:val="ListBody"/>
        <w:ind w:left="490" w:hanging="331"/>
      </w:pPr>
      <w:r>
        <w:rPr>
          <w:b/>
        </w:rPr>
        <w:t xml:space="preserve">• </w:t>
      </w:r>
      <w:r>
        <w:t>GPU driver.</w:t>
      </w:r>
    </w:p>
    <w:p>
      <w:pPr>
        <w:pStyle w:val="ListBody"/>
        <w:ind w:left="490" w:hanging="331"/>
      </w:pPr>
      <w:r>
        <w:rPr>
          <w:b/>
        </w:rPr>
        <w:t xml:space="preserve">• </w:t>
      </w:r>
      <w:r>
        <w:t>Development tools.</w:t>
      </w:r>
    </w:p>
    <w:p>
      <w:pPr>
        <w:pStyle w:val="ListBody"/>
        <w:ind w:left="490" w:hanging="331"/>
      </w:pPr>
      <w:r>
        <w:rPr>
          <w:b/>
        </w:rPr>
        <w:t xml:space="preserve">• </w:t>
      </w:r>
      <w:r>
        <w:t>File cache.</w:t>
      </w:r>
    </w:p>
    <w:p>
      <w:pPr>
        <w:spacing w:after="0"/>
      </w:pPr>
      <w:r/>
    </w:p>
    <w:p>
      <w:pPr>
        <w:pStyle w:val="Heading1"/>
        <w:pBdr>
          <w:bottom w:val="single" w:sz="4" w:space="5" w:color="7A9AAA"/>
        </w:pBdr>
        <w:keepNext/>
      </w:pPr>
      <w:r>
        <w:t>101. PostgreSQL starting profiles</w:t>
      </w:r>
    </w:p>
    <w:p>
      <w:pPr>
        <w:pStyle w:val="Heading2"/>
        <w:keepNext/>
      </w:pPr>
      <w:r>
        <w:t>16 GB</w:t>
      </w:r>
    </w:p>
    <w:p>
      <w:pPr/>
      <w:r>
        <w:t>shared_buffers = 1536MB</w:t>
        <w:br/>
        <w:t>effective_cache_size = 6GB</w:t>
        <w:br/>
        <w:t>work_mem = 16MB</w:t>
        <w:br/>
        <w:t>maintenance_work_mem = 512MB</w:t>
        <w:br/>
        <w:t>max_connections = 20</w:t>
        <w:br/>
        <w:t>max_parallel_workers = 4</w:t>
        <w:br/>
        <w:t>max_parallel_workers_per_gather = 2</w:t>
        <w:br/>
        <w:t>wal_compression = on</w:t>
      </w:r>
    </w:p>
    <w:p>
      <w:pPr>
        <w:pStyle w:val="Heading2"/>
        <w:keepNext/>
      </w:pPr>
      <w:r>
        <w:t>24 GB</w:t>
      </w:r>
    </w:p>
    <w:p>
      <w:pPr/>
      <w:r>
        <w:t>shared_buffers = 2560MB</w:t>
        <w:br/>
        <w:t>effective_cache_size = 10GB</w:t>
        <w:br/>
        <w:t>work_mem = 24MB</w:t>
        <w:br/>
        <w:t>maintenance_work_mem = 768MB</w:t>
        <w:br/>
        <w:t>max_connections = 25</w:t>
        <w:br/>
        <w:t>max_parallel_workers = 6</w:t>
        <w:br/>
        <w:t>max_parallel_workers_per_gather = 3</w:t>
        <w:br/>
        <w:t>wal_compression = on</w:t>
      </w:r>
    </w:p>
    <w:p>
      <w:pPr/>
      <w:r>
        <w:t>These values require benchmarking.</w:t>
      </w:r>
    </w:p>
    <w:p>
      <w:pPr/>
      <w:r>
        <w:t>PostgreSQL stores:</w:t>
      </w:r>
    </w:p>
    <w:p>
      <w:pPr>
        <w:pStyle w:val="ListBody"/>
        <w:ind w:left="490" w:hanging="331"/>
      </w:pPr>
      <w:r>
        <w:rPr>
          <w:b/>
        </w:rPr>
        <w:t xml:space="preserve">• </w:t>
      </w:r>
      <w:r>
        <w:t>Security master.</w:t>
      </w:r>
    </w:p>
    <w:p>
      <w:pPr>
        <w:pStyle w:val="ListBody"/>
        <w:ind w:left="490" w:hanging="331"/>
      </w:pPr>
      <w:r>
        <w:rPr>
          <w:b/>
        </w:rPr>
        <w:t xml:space="preserve">• </w:t>
      </w:r>
      <w:r>
        <w:t>Current facts.</w:t>
      </w:r>
    </w:p>
    <w:p>
      <w:pPr>
        <w:pStyle w:val="ListBody"/>
        <w:ind w:left="490" w:hanging="331"/>
      </w:pPr>
      <w:r>
        <w:rPr>
          <w:b/>
        </w:rPr>
        <w:t xml:space="preserve">• </w:t>
      </w:r>
      <w:r>
        <w:t>Current scores.</w:t>
      </w:r>
    </w:p>
    <w:p>
      <w:pPr>
        <w:pStyle w:val="ListBody"/>
        <w:ind w:left="490" w:hanging="331"/>
      </w:pPr>
      <w:r>
        <w:rPr>
          <w:b/>
        </w:rPr>
        <w:t xml:space="preserve">• </w:t>
      </w:r>
      <w:r>
        <w:t>Signals.</w:t>
      </w:r>
    </w:p>
    <w:p>
      <w:pPr>
        <w:pStyle w:val="ListBody"/>
        <w:ind w:left="490" w:hanging="331"/>
      </w:pPr>
      <w:r>
        <w:rPr>
          <w:b/>
        </w:rPr>
        <w:t xml:space="preserve">• </w:t>
      </w:r>
      <w:r>
        <w:t>Positions.</w:t>
      </w:r>
    </w:p>
    <w:p>
      <w:pPr>
        <w:pStyle w:val="ListBody"/>
        <w:ind w:left="490" w:hanging="331"/>
      </w:pPr>
      <w:r>
        <w:rPr>
          <w:b/>
        </w:rPr>
        <w:t xml:space="preserve">• </w:t>
      </w:r>
      <w:r>
        <w:t>Orders.</w:t>
      </w:r>
    </w:p>
    <w:p>
      <w:pPr>
        <w:pStyle w:val="ListBody"/>
        <w:ind w:left="490" w:hanging="331"/>
      </w:pPr>
      <w:r>
        <w:rPr>
          <w:b/>
        </w:rPr>
        <w:t xml:space="preserve">• </w:t>
      </w:r>
      <w:r>
        <w:t>Alerts.</w:t>
      </w:r>
    </w:p>
    <w:p>
      <w:pPr>
        <w:pStyle w:val="ListBody"/>
        <w:ind w:left="490" w:hanging="331"/>
      </w:pPr>
      <w:r>
        <w:rPr>
          <w:b/>
        </w:rPr>
        <w:t xml:space="preserve">• </w:t>
      </w:r>
      <w:r>
        <w:t>Audit logs.</w:t>
      </w:r>
    </w:p>
    <w:p>
      <w:pPr/>
      <w:r>
        <w:t>It should not store every intermediate backtest array.</w:t>
      </w:r>
    </w:p>
    <w:p>
      <w:pPr>
        <w:spacing w:after="0"/>
      </w:pPr>
      <w:r/>
    </w:p>
    <w:p>
      <w:pPr>
        <w:pStyle w:val="Heading1"/>
        <w:pBdr>
          <w:bottom w:val="single" w:sz="4" w:space="5" w:color="7A9AAA"/>
        </w:pBdr>
        <w:keepNext/>
      </w:pPr>
      <w:r>
        <w:t>102. DuckDB profiles</w:t>
      </w:r>
    </w:p>
    <w:p>
      <w:pPr>
        <w:pStyle w:val="Heading2"/>
        <w:keepNext/>
      </w:pPr>
      <w:r>
        <w:t>16 GB</w:t>
      </w:r>
    </w:p>
    <w:p>
      <w:pPr/>
      <w:r>
        <w:t>SET threads = 4;</w:t>
        <w:br/>
        <w:t>SET memory_limit = '5GB';</w:t>
        <w:br/>
        <w:t>SET temp_directory = '/data/temp/duckdb';</w:t>
        <w:br/>
        <w:t>SET max_temp_directory_size = '30GB';</w:t>
      </w:r>
    </w:p>
    <w:p>
      <w:pPr>
        <w:pStyle w:val="Heading2"/>
        <w:keepNext/>
      </w:pPr>
      <w:r>
        <w:t>24 GB</w:t>
      </w:r>
    </w:p>
    <w:p>
      <w:pPr/>
      <w:r>
        <w:t>SET threads = 6;</w:t>
        <w:br/>
        <w:t>SET memory_limit = '9GB';</w:t>
        <w:br/>
        <w:t>SET temp_directory = '/data/temp/duckdb';</w:t>
        <w:br/>
        <w:t>SET max_temp_directory_size = '50GB';</w:t>
      </w:r>
    </w:p>
    <w:p>
      <w:pPr/>
      <w:r>
        <w:t>Rules:</w:t>
      </w:r>
    </w:p>
    <w:p>
      <w:pPr>
        <w:pStyle w:val="ListBody"/>
        <w:ind w:left="490" w:hanging="331"/>
      </w:pPr>
      <w:r>
        <w:rPr>
          <w:b/>
        </w:rPr>
        <w:t xml:space="preserve">• </w:t>
      </w:r>
      <w:r>
        <w:t>Read Parquet directly.</w:t>
      </w:r>
    </w:p>
    <w:p>
      <w:pPr>
        <w:pStyle w:val="ListBody"/>
        <w:ind w:left="490" w:hanging="331"/>
      </w:pPr>
      <w:r>
        <w:rPr>
          <w:b/>
        </w:rPr>
        <w:t xml:space="preserve">• </w:t>
      </w:r>
      <w:r>
        <w:t>Select only required columns.</w:t>
      </w:r>
    </w:p>
    <w:p>
      <w:pPr>
        <w:pStyle w:val="ListBody"/>
        <w:ind w:left="490" w:hanging="331"/>
      </w:pPr>
      <w:r>
        <w:rPr>
          <w:b/>
        </w:rPr>
        <w:t xml:space="preserve">• </w:t>
      </w:r>
      <w:r>
        <w:t>Filter dates before joins.</w:t>
      </w:r>
    </w:p>
    <w:p>
      <w:pPr>
        <w:pStyle w:val="ListBody"/>
        <w:ind w:left="490" w:hanging="331"/>
      </w:pPr>
      <w:r>
        <w:rPr>
          <w:b/>
        </w:rPr>
        <w:t xml:space="preserve">• </w:t>
      </w:r>
      <w:r>
        <w:t>Filter universe before indicator calculation.</w:t>
      </w:r>
    </w:p>
    <w:p>
      <w:pPr>
        <w:pStyle w:val="ListBody"/>
        <w:ind w:left="490" w:hanging="331"/>
      </w:pPr>
      <w:r>
        <w:rPr>
          <w:b/>
        </w:rPr>
        <w:t xml:space="preserve">• </w:t>
      </w:r>
      <w:r>
        <w:t>Partition backtests.</w:t>
      </w:r>
    </w:p>
    <w:p>
      <w:pPr>
        <w:pStyle w:val="ListBody"/>
        <w:ind w:left="490" w:hanging="331"/>
      </w:pPr>
      <w:r>
        <w:rPr>
          <w:b/>
        </w:rPr>
        <w:t xml:space="preserve">• </w:t>
      </w:r>
      <w:r>
        <w:t>Materialize reusable features.</w:t>
      </w:r>
    </w:p>
    <w:p>
      <w:pPr>
        <w:pStyle w:val="ListBody"/>
        <w:ind w:left="490" w:hanging="331"/>
      </w:pPr>
      <w:r>
        <w:rPr>
          <w:b/>
        </w:rPr>
        <w:t xml:space="preserve">• </w:t>
      </w:r>
      <w:r>
        <w:t>Delete validated temporary files.</w:t>
      </w:r>
    </w:p>
    <w:p>
      <w:pPr>
        <w:pStyle w:val="ListBody"/>
        <w:ind w:left="490" w:hanging="331"/>
      </w:pPr>
      <w:r>
        <w:rPr>
          <w:b/>
        </w:rPr>
        <w:t xml:space="preserve">• </w:t>
      </w:r>
      <w:r>
        <w:t>Stop jobs when SSD safety thresholds are breached.</w:t>
      </w:r>
    </w:p>
    <w:p>
      <w:pPr>
        <w:spacing w:after="0"/>
      </w:pPr>
      <w:r/>
    </w:p>
    <w:p>
      <w:pPr>
        <w:pStyle w:val="Heading1"/>
        <w:pBdr>
          <w:bottom w:val="single" w:sz="4" w:space="5" w:color="7A9AAA"/>
        </w:pBdr>
        <w:keepNext/>
      </w:pPr>
      <w:r>
        <w:t>103. Polars processing rules</w:t>
      </w:r>
    </w:p>
    <w:p>
      <w:pPr/>
      <w:r>
        <w:t>Use lazy scans.</w:t>
      </w:r>
    </w:p>
    <w:p>
      <w:pPr/>
      <w:r>
        <w:t>result = (</w:t>
        <w:br/>
        <w:t xml:space="preserve">    pl.scan_parquet("data/prices/year=*/part-*.parquet")</w:t>
        <w:br/>
        <w:t xml:space="preserve">    .filter(</w:t>
        <w:br/>
        <w:t xml:space="preserve">        (pl.col("date") &gt;= start_date)</w:t>
        <w:br/>
        <w:t xml:space="preserve">        &amp; (pl.col("date") &lt;= end_date)</w:t>
        <w:br/>
        <w:t xml:space="preserve">        &amp; pl.col("security_id").is_in(universe_ids)</w:t>
        <w:br/>
        <w:t xml:space="preserve">    )</w:t>
        <w:br/>
        <w:t xml:space="preserve">    .select(</w:t>
        <w:br/>
        <w:t xml:space="preserve">        "security_id",</w:t>
        <w:br/>
        <w:t xml:space="preserve">        "date",</w:t>
        <w:br/>
        <w:t xml:space="preserve">        "open",</w:t>
        <w:br/>
        <w:t xml:space="preserve">        "high",</w:t>
        <w:br/>
        <w:t xml:space="preserve">        "low",</w:t>
        <w:br/>
        <w:t xml:space="preserve">        "close",</w:t>
        <w:br/>
        <w:t xml:space="preserve">        "volume",</w:t>
        <w:br/>
        <w:t xml:space="preserve">    )</w:t>
        <w:br/>
        <w:t xml:space="preserve">    .collect(engine="streaming")</w:t>
        <w:br/>
        <w:t>)</w:t>
      </w:r>
    </w:p>
    <w:p>
      <w:pPr/>
      <w:r>
        <w:t>Rules:</w:t>
      </w:r>
    </w:p>
    <w:p>
      <w:pPr>
        <w:pStyle w:val="ListBody"/>
        <w:ind w:left="490" w:hanging="331"/>
      </w:pPr>
      <w:r>
        <w:rPr>
          <w:b/>
        </w:rPr>
        <w:t xml:space="preserve">• </w:t>
      </w:r>
      <w:r>
        <w:t>Use lazy execution.</w:t>
      </w:r>
    </w:p>
    <w:p>
      <w:pPr>
        <w:pStyle w:val="ListBody"/>
        <w:ind w:left="490" w:hanging="331"/>
      </w:pPr>
      <w:r>
        <w:rPr>
          <w:b/>
        </w:rPr>
        <w:t xml:space="preserve">• </w:t>
      </w:r>
      <w:r>
        <w:t>Push filters into scans.</w:t>
      </w:r>
    </w:p>
    <w:p>
      <w:pPr>
        <w:pStyle w:val="ListBody"/>
        <w:ind w:left="490" w:hanging="331"/>
      </w:pPr>
      <w:r>
        <w:rPr>
          <w:b/>
        </w:rPr>
        <w:t xml:space="preserve">• </w:t>
      </w:r>
      <w:r>
        <w:t>Avoid unnecessary pandas conversion.</w:t>
      </w:r>
    </w:p>
    <w:p>
      <w:pPr>
        <w:pStyle w:val="ListBody"/>
        <w:ind w:left="490" w:hanging="331"/>
      </w:pPr>
      <w:r>
        <w:rPr>
          <w:b/>
        </w:rPr>
        <w:t xml:space="preserve">• </w:t>
      </w:r>
      <w:r>
        <w:t>Use integer security IDs.</w:t>
      </w:r>
    </w:p>
    <w:p>
      <w:pPr>
        <w:pStyle w:val="ListBody"/>
        <w:ind w:left="490" w:hanging="331"/>
      </w:pPr>
      <w:r>
        <w:rPr>
          <w:b/>
        </w:rPr>
        <w:t xml:space="preserve">• </w:t>
      </w:r>
      <w:r>
        <w:t>Use Float32 for non-critical technical features.</w:t>
      </w:r>
    </w:p>
    <w:p>
      <w:pPr>
        <w:pStyle w:val="ListBody"/>
        <w:ind w:left="490" w:hanging="331"/>
      </w:pPr>
      <w:r>
        <w:rPr>
          <w:b/>
        </w:rPr>
        <w:t xml:space="preserve">• </w:t>
      </w:r>
      <w:r>
        <w:t>Use Float64 or Decimal for financial and valuation calculations.</w:t>
      </w:r>
    </w:p>
    <w:p>
      <w:pPr>
        <w:pStyle w:val="ListBody"/>
        <w:ind w:left="490" w:hanging="331"/>
      </w:pPr>
      <w:r>
        <w:rPr>
          <w:b/>
        </w:rPr>
        <w:t xml:space="preserve">• </w:t>
      </w:r>
      <w:r>
        <w:t>Cache unchanged historical features.</w:t>
      </w:r>
    </w:p>
    <w:p>
      <w:pPr>
        <w:spacing w:after="0"/>
      </w:pPr>
      <w:r/>
    </w:p>
    <w:p>
      <w:pPr>
        <w:pStyle w:val="Heading1"/>
        <w:pBdr>
          <w:bottom w:val="single" w:sz="4" w:space="5" w:color="7A9AAA"/>
        </w:pBdr>
        <w:keepNext/>
      </w:pPr>
      <w:r>
        <w:t>104. CPU and worker limits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blHeader w:val="true"/>
        </w:trPr>
        <w:tc>
          <w:tcPr>
            <w:tcW w:type="dxa" w:w="3331"/>
            <w:vAlign w:val="center"/>
            <w:tcMar>
              <w:top w:w="55" w:type="dxa"/>
              <w:start w:w="65" w:type="dxa"/>
              <w:bottom w:w="55" w:type="dxa"/>
              <w:end w:w="65" w:type="dxa"/>
            </w:tcMar>
            <w:shd w:fill="D9E8EF"/>
          </w:tcPr>
          <w:p>
            <w:pPr>
              <w:spacing w:after="0"/>
            </w:pPr>
            <w:r>
              <w:rPr>
                <w:rFonts w:ascii="Cambria" w:hAnsi="Cambria"/>
                <w:b/>
                <w:color w:val="163243"/>
                <w:sz w:val="18"/>
              </w:rPr>
              <w:t>Workload</w:t>
            </w:r>
          </w:p>
        </w:tc>
        <w:tc>
          <w:tcPr>
            <w:tcW w:type="dxa" w:w="3331"/>
            <w:vAlign w:val="center"/>
            <w:tcMar>
              <w:top w:w="55" w:type="dxa"/>
              <w:start w:w="65" w:type="dxa"/>
              <w:bottom w:w="55" w:type="dxa"/>
              <w:end w:w="65" w:type="dxa"/>
            </w:tcMar>
            <w:shd w:fill="D9E8EF"/>
          </w:tcPr>
          <w:p>
            <w:pPr>
              <w:spacing w:after="0"/>
            </w:pPr>
            <w:r>
              <w:rPr>
                <w:rFonts w:ascii="Cambria" w:hAnsi="Cambria"/>
                <w:b/>
                <w:color w:val="163243"/>
                <w:sz w:val="18"/>
              </w:rPr>
              <w:t>16 GB</w:t>
            </w:r>
          </w:p>
        </w:tc>
        <w:tc>
          <w:tcPr>
            <w:tcW w:type="dxa" w:w="3331"/>
            <w:vAlign w:val="center"/>
            <w:tcMar>
              <w:top w:w="55" w:type="dxa"/>
              <w:start w:w="65" w:type="dxa"/>
              <w:bottom w:w="55" w:type="dxa"/>
              <w:end w:w="65" w:type="dxa"/>
            </w:tcMar>
            <w:shd w:fill="D9E8EF"/>
          </w:tcPr>
          <w:p>
            <w:pPr>
              <w:spacing w:after="0"/>
            </w:pPr>
            <w:r>
              <w:rPr>
                <w:rFonts w:ascii="Cambria" w:hAnsi="Cambria"/>
                <w:b/>
                <w:color w:val="163243"/>
                <w:sz w:val="18"/>
              </w:rPr>
              <w:t>24 GB</w:t>
            </w:r>
          </w:p>
        </w:tc>
      </w:tr>
      <w:tr>
        <w:trPr>
          <w:cantSplit/>
        </w:trPr>
        <w:tc>
          <w:tcPr>
            <w:tcW w:type="dxa" w:w="3331"/>
            <w:vAlign w:val="center"/>
            <w:tcMar>
              <w:top w:w="55" w:type="dxa"/>
              <w:start w:w="65" w:type="dxa"/>
              <w:bottom w:w="55" w:type="dxa"/>
              <w:end w:w="65" w:type="dxa"/>
            </w:tcMar>
          </w:tcPr>
          <w:p>
            <w:pPr>
              <w:spacing w:after="0"/>
            </w:pPr>
            <w:r>
              <w:rPr>
                <w:rFonts w:ascii="Cambria" w:hAnsi="Cambria"/>
                <w:sz w:val="18"/>
              </w:rPr>
              <w:t>DuckDB threads</w:t>
            </w:r>
          </w:p>
        </w:tc>
        <w:tc>
          <w:tcPr>
            <w:tcW w:type="dxa" w:w="3331"/>
            <w:vAlign w:val="center"/>
            <w:tcMar>
              <w:top w:w="55" w:type="dxa"/>
              <w:start w:w="65" w:type="dxa"/>
              <w:bottom w:w="55" w:type="dxa"/>
              <w:end w:w="65" w:type="dxa"/>
            </w:tcMar>
          </w:tcPr>
          <w:p>
            <w:pPr>
              <w:spacing w:after="0"/>
            </w:pPr>
            <w:r>
              <w:rPr>
                <w:rFonts w:ascii="Cambria" w:hAnsi="Cambria"/>
                <w:sz w:val="18"/>
              </w:rPr>
              <w:t>4</w:t>
            </w:r>
          </w:p>
        </w:tc>
        <w:tc>
          <w:tcPr>
            <w:tcW w:type="dxa" w:w="3331"/>
            <w:vAlign w:val="center"/>
            <w:tcMar>
              <w:top w:w="55" w:type="dxa"/>
              <w:start w:w="65" w:type="dxa"/>
              <w:bottom w:w="55" w:type="dxa"/>
              <w:end w:w="65" w:type="dxa"/>
            </w:tcMar>
          </w:tcPr>
          <w:p>
            <w:pPr>
              <w:spacing w:after="0"/>
            </w:pPr>
            <w:r>
              <w:rPr>
                <w:rFonts w:ascii="Cambria" w:hAnsi="Cambria"/>
                <w:sz w:val="18"/>
              </w:rPr>
              <w:t>6</w:t>
            </w:r>
          </w:p>
        </w:tc>
      </w:tr>
      <w:tr>
        <w:trPr>
          <w:cantSplit/>
        </w:trPr>
        <w:tc>
          <w:tcPr>
            <w:tcW w:type="dxa" w:w="3331"/>
            <w:vAlign w:val="center"/>
            <w:tcMar>
              <w:top w:w="55" w:type="dxa"/>
              <w:start w:w="65" w:type="dxa"/>
              <w:bottom w:w="55" w:type="dxa"/>
              <w:end w:w="65" w:type="dxa"/>
            </w:tcMar>
            <w:shd w:fill="F8FAFB"/>
          </w:tcPr>
          <w:p>
            <w:pPr>
              <w:spacing w:after="0"/>
            </w:pPr>
            <w:r>
              <w:rPr>
                <w:rFonts w:ascii="Cambria" w:hAnsi="Cambria"/>
                <w:sz w:val="18"/>
              </w:rPr>
              <w:t>Polars threads</w:t>
            </w:r>
          </w:p>
        </w:tc>
        <w:tc>
          <w:tcPr>
            <w:tcW w:type="dxa" w:w="3331"/>
            <w:vAlign w:val="center"/>
            <w:tcMar>
              <w:top w:w="55" w:type="dxa"/>
              <w:start w:w="65" w:type="dxa"/>
              <w:bottom w:w="55" w:type="dxa"/>
              <w:end w:w="65" w:type="dxa"/>
            </w:tcMar>
            <w:shd w:fill="F8FAFB"/>
          </w:tcPr>
          <w:p>
            <w:pPr>
              <w:spacing w:after="0"/>
            </w:pPr>
            <w:r>
              <w:rPr>
                <w:rFonts w:ascii="Cambria" w:hAnsi="Cambria"/>
                <w:sz w:val="18"/>
              </w:rPr>
              <w:t>4–6</w:t>
            </w:r>
          </w:p>
        </w:tc>
        <w:tc>
          <w:tcPr>
            <w:tcW w:type="dxa" w:w="3331"/>
            <w:vAlign w:val="center"/>
            <w:tcMar>
              <w:top w:w="55" w:type="dxa"/>
              <w:start w:w="65" w:type="dxa"/>
              <w:bottom w:w="55" w:type="dxa"/>
              <w:end w:w="65" w:type="dxa"/>
            </w:tcMar>
            <w:shd w:fill="F8FAFB"/>
          </w:tcPr>
          <w:p>
            <w:pPr>
              <w:spacing w:after="0"/>
            </w:pPr>
            <w:r>
              <w:rPr>
                <w:rFonts w:ascii="Cambria" w:hAnsi="Cambria"/>
                <w:sz w:val="18"/>
              </w:rPr>
              <w:t>6–8</w:t>
            </w:r>
          </w:p>
        </w:tc>
      </w:tr>
      <w:tr>
        <w:trPr>
          <w:cantSplit/>
        </w:trPr>
        <w:tc>
          <w:tcPr>
            <w:tcW w:type="dxa" w:w="3331"/>
            <w:vAlign w:val="center"/>
            <w:tcMar>
              <w:top w:w="55" w:type="dxa"/>
              <w:start w:w="65" w:type="dxa"/>
              <w:bottom w:w="55" w:type="dxa"/>
              <w:end w:w="65" w:type="dxa"/>
            </w:tcMar>
          </w:tcPr>
          <w:p>
            <w:pPr>
              <w:spacing w:after="0"/>
            </w:pPr>
            <w:r>
              <w:rPr>
                <w:rFonts w:ascii="Cambria" w:hAnsi="Cambria"/>
                <w:sz w:val="18"/>
              </w:rPr>
              <w:t>CPU process workers</w:t>
            </w:r>
          </w:p>
        </w:tc>
        <w:tc>
          <w:tcPr>
            <w:tcW w:type="dxa" w:w="3331"/>
            <w:vAlign w:val="center"/>
            <w:tcMar>
              <w:top w:w="55" w:type="dxa"/>
              <w:start w:w="65" w:type="dxa"/>
              <w:bottom w:w="55" w:type="dxa"/>
              <w:end w:w="65" w:type="dxa"/>
            </w:tcMar>
          </w:tcPr>
          <w:p>
            <w:pPr>
              <w:spacing w:after="0"/>
            </w:pPr>
            <w:r>
              <w:rPr>
                <w:rFonts w:ascii="Cambria" w:hAnsi="Cambria"/>
                <w:sz w:val="18"/>
              </w:rPr>
              <w:t>4</w:t>
            </w:r>
          </w:p>
        </w:tc>
        <w:tc>
          <w:tcPr>
            <w:tcW w:type="dxa" w:w="3331"/>
            <w:vAlign w:val="center"/>
            <w:tcMar>
              <w:top w:w="55" w:type="dxa"/>
              <w:start w:w="65" w:type="dxa"/>
              <w:bottom w:w="55" w:type="dxa"/>
              <w:end w:w="65" w:type="dxa"/>
            </w:tcMar>
          </w:tcPr>
          <w:p>
            <w:pPr>
              <w:spacing w:after="0"/>
            </w:pPr>
            <w:r>
              <w:rPr>
                <w:rFonts w:ascii="Cambria" w:hAnsi="Cambria"/>
                <w:sz w:val="18"/>
              </w:rPr>
              <w:t>6</w:t>
            </w:r>
          </w:p>
        </w:tc>
      </w:tr>
      <w:tr>
        <w:trPr>
          <w:cantSplit/>
        </w:trPr>
        <w:tc>
          <w:tcPr>
            <w:tcW w:type="dxa" w:w="3331"/>
            <w:vAlign w:val="center"/>
            <w:tcMar>
              <w:top w:w="55" w:type="dxa"/>
              <w:start w:w="65" w:type="dxa"/>
              <w:bottom w:w="55" w:type="dxa"/>
              <w:end w:w="65" w:type="dxa"/>
            </w:tcMar>
            <w:shd w:fill="F8FAFB"/>
          </w:tcPr>
          <w:p>
            <w:pPr>
              <w:spacing w:after="0"/>
            </w:pPr>
            <w:r>
              <w:rPr>
                <w:rFonts w:ascii="Cambria" w:hAnsi="Cambria"/>
                <w:sz w:val="18"/>
              </w:rPr>
              <w:t>PDF parsers</w:t>
            </w:r>
          </w:p>
        </w:tc>
        <w:tc>
          <w:tcPr>
            <w:tcW w:type="dxa" w:w="3331"/>
            <w:vAlign w:val="center"/>
            <w:tcMar>
              <w:top w:w="55" w:type="dxa"/>
              <w:start w:w="65" w:type="dxa"/>
              <w:bottom w:w="55" w:type="dxa"/>
              <w:end w:w="65" w:type="dxa"/>
            </w:tcMar>
            <w:shd w:fill="F8FAFB"/>
          </w:tcPr>
          <w:p>
            <w:pPr>
              <w:spacing w:after="0"/>
            </w:pPr>
            <w:r>
              <w:rPr>
                <w:rFonts w:ascii="Cambria" w:hAnsi="Cambria"/>
                <w:sz w:val="18"/>
              </w:rPr>
              <w:t>2</w:t>
            </w:r>
          </w:p>
        </w:tc>
        <w:tc>
          <w:tcPr>
            <w:tcW w:type="dxa" w:w="3331"/>
            <w:vAlign w:val="center"/>
            <w:tcMar>
              <w:top w:w="55" w:type="dxa"/>
              <w:start w:w="65" w:type="dxa"/>
              <w:bottom w:w="55" w:type="dxa"/>
              <w:end w:w="65" w:type="dxa"/>
            </w:tcMar>
            <w:shd w:fill="F8FAFB"/>
          </w:tcPr>
          <w:p>
            <w:pPr>
              <w:spacing w:after="0"/>
            </w:pPr>
            <w:r>
              <w:rPr>
                <w:rFonts w:ascii="Cambria" w:hAnsi="Cambria"/>
                <w:sz w:val="18"/>
              </w:rPr>
              <w:t>3</w:t>
            </w:r>
          </w:p>
        </w:tc>
      </w:tr>
      <w:tr>
        <w:trPr>
          <w:cantSplit/>
        </w:trPr>
        <w:tc>
          <w:tcPr>
            <w:tcW w:type="dxa" w:w="3331"/>
            <w:vAlign w:val="center"/>
            <w:tcMar>
              <w:top w:w="55" w:type="dxa"/>
              <w:start w:w="65" w:type="dxa"/>
              <w:bottom w:w="55" w:type="dxa"/>
              <w:end w:w="65" w:type="dxa"/>
            </w:tcMar>
          </w:tcPr>
          <w:p>
            <w:pPr>
              <w:spacing w:after="0"/>
            </w:pPr>
            <w:r>
              <w:rPr>
                <w:rFonts w:ascii="Cambria" w:hAnsi="Cambria"/>
                <w:sz w:val="18"/>
              </w:rPr>
              <w:t>API workers</w:t>
            </w:r>
          </w:p>
        </w:tc>
        <w:tc>
          <w:tcPr>
            <w:tcW w:type="dxa" w:w="3331"/>
            <w:vAlign w:val="center"/>
            <w:tcMar>
              <w:top w:w="55" w:type="dxa"/>
              <w:start w:w="65" w:type="dxa"/>
              <w:bottom w:w="55" w:type="dxa"/>
              <w:end w:w="65" w:type="dxa"/>
            </w:tcMar>
          </w:tcPr>
          <w:p>
            <w:pPr>
              <w:spacing w:after="0"/>
            </w:pPr>
            <w:r>
              <w:rPr>
                <w:rFonts w:ascii="Cambria" w:hAnsi="Cambria"/>
                <w:sz w:val="18"/>
              </w:rPr>
              <w:t>1</w:t>
            </w:r>
          </w:p>
        </w:tc>
        <w:tc>
          <w:tcPr>
            <w:tcW w:type="dxa" w:w="3331"/>
            <w:vAlign w:val="center"/>
            <w:tcMar>
              <w:top w:w="55" w:type="dxa"/>
              <w:start w:w="65" w:type="dxa"/>
              <w:bottom w:w="55" w:type="dxa"/>
              <w:end w:w="65" w:type="dxa"/>
            </w:tcMar>
          </w:tcPr>
          <w:p>
            <w:pPr>
              <w:spacing w:after="0"/>
            </w:pPr>
            <w:r>
              <w:rPr>
                <w:rFonts w:ascii="Cambria" w:hAnsi="Cambria"/>
                <w:sz w:val="18"/>
              </w:rPr>
              <w:t>2</w:t>
            </w:r>
          </w:p>
        </w:tc>
      </w:tr>
      <w:tr>
        <w:trPr>
          <w:cantSplit/>
        </w:trPr>
        <w:tc>
          <w:tcPr>
            <w:tcW w:type="dxa" w:w="3331"/>
            <w:vAlign w:val="center"/>
            <w:tcMar>
              <w:top w:w="55" w:type="dxa"/>
              <w:start w:w="65" w:type="dxa"/>
              <w:bottom w:w="55" w:type="dxa"/>
              <w:end w:w="65" w:type="dxa"/>
            </w:tcMar>
            <w:shd w:fill="F8FAFB"/>
          </w:tcPr>
          <w:p>
            <w:pPr>
              <w:spacing w:after="0"/>
            </w:pPr>
            <w:r>
              <w:rPr>
                <w:rFonts w:ascii="Cambria" w:hAnsi="Cambria"/>
                <w:sz w:val="18"/>
              </w:rPr>
              <w:t>Async network tasks</w:t>
            </w:r>
          </w:p>
        </w:tc>
        <w:tc>
          <w:tcPr>
            <w:tcW w:type="dxa" w:w="3331"/>
            <w:vAlign w:val="center"/>
            <w:tcMar>
              <w:top w:w="55" w:type="dxa"/>
              <w:start w:w="65" w:type="dxa"/>
              <w:bottom w:w="55" w:type="dxa"/>
              <w:end w:w="65" w:type="dxa"/>
            </w:tcMar>
            <w:shd w:fill="F8FAFB"/>
          </w:tcPr>
          <w:p>
            <w:pPr>
              <w:spacing w:after="0"/>
            </w:pPr>
            <w:r>
              <w:rPr>
                <w:rFonts w:ascii="Cambria" w:hAnsi="Cambria"/>
                <w:sz w:val="18"/>
              </w:rPr>
              <w:t>8–16</w:t>
            </w:r>
          </w:p>
        </w:tc>
        <w:tc>
          <w:tcPr>
            <w:tcW w:type="dxa" w:w="3331"/>
            <w:vAlign w:val="center"/>
            <w:tcMar>
              <w:top w:w="55" w:type="dxa"/>
              <w:start w:w="65" w:type="dxa"/>
              <w:bottom w:w="55" w:type="dxa"/>
              <w:end w:w="65" w:type="dxa"/>
            </w:tcMar>
            <w:shd w:fill="F8FAFB"/>
          </w:tcPr>
          <w:p>
            <w:pPr>
              <w:spacing w:after="0"/>
            </w:pPr>
            <w:r>
              <w:rPr>
                <w:rFonts w:ascii="Cambria" w:hAnsi="Cambria"/>
                <w:sz w:val="18"/>
              </w:rPr>
              <w:t>16–24</w:t>
            </w:r>
          </w:p>
        </w:tc>
      </w:tr>
    </w:tbl>
    <w:p>
      <w:pPr>
        <w:spacing w:after="20"/>
      </w:pPr>
    </w:p>
    <w:p>
      <w:pPr/>
      <w:r>
        <w:t>Do not transfer multi-gigabyte DataFrames between worker processes.</w:t>
      </w:r>
    </w:p>
    <w:p>
      <w:pPr/>
      <w:r>
        <w:t>Workers should receive:</w:t>
      </w:r>
    </w:p>
    <w:p>
      <w:pPr>
        <w:pStyle w:val="ListBody"/>
        <w:ind w:left="490" w:hanging="331"/>
      </w:pPr>
      <w:r>
        <w:rPr>
          <w:b/>
        </w:rPr>
        <w:t xml:space="preserve">• </w:t>
      </w:r>
      <w:r>
        <w:t>File paths.</w:t>
      </w:r>
    </w:p>
    <w:p>
      <w:pPr>
        <w:pStyle w:val="ListBody"/>
        <w:ind w:left="490" w:hanging="331"/>
      </w:pPr>
      <w:r>
        <w:rPr>
          <w:b/>
        </w:rPr>
        <w:t xml:space="preserve">• </w:t>
      </w:r>
      <w:r>
        <w:t>Security-ID ranges.</w:t>
      </w:r>
    </w:p>
    <w:p>
      <w:pPr>
        <w:pStyle w:val="ListBody"/>
        <w:ind w:left="490" w:hanging="331"/>
      </w:pPr>
      <w:r>
        <w:rPr>
          <w:b/>
        </w:rPr>
        <w:t xml:space="preserve">• </w:t>
      </w:r>
      <w:r>
        <w:t>Date ranges.</w:t>
      </w:r>
    </w:p>
    <w:p>
      <w:pPr>
        <w:pStyle w:val="ListBody"/>
        <w:ind w:left="490" w:hanging="331"/>
      </w:pPr>
      <w:r>
        <w:rPr>
          <w:b/>
        </w:rPr>
        <w:t xml:space="preserve">• </w:t>
      </w:r>
      <w:r>
        <w:t>Small configuration objects.</w:t>
      </w:r>
    </w:p>
    <w:p>
      <w:pPr>
        <w:spacing w:after="0"/>
      </w:pPr>
      <w:r/>
    </w:p>
    <w:p>
      <w:pPr>
        <w:pStyle w:val="Heading1"/>
        <w:pBdr>
          <w:bottom w:val="single" w:sz="4" w:space="5" w:color="7A9AAA"/>
        </w:pBdr>
        <w:keepNext/>
      </w:pPr>
      <w:r>
        <w:t>105. GPU usage</w:t>
      </w:r>
    </w:p>
    <w:p>
      <w:pPr/>
      <w:r>
        <w:t>Appropriate GPU work:</w:t>
      </w:r>
    </w:p>
    <w:p>
      <w:pPr>
        <w:pStyle w:val="ListBody"/>
        <w:ind w:left="490" w:hanging="331"/>
      </w:pPr>
      <w:r>
        <w:rPr>
          <w:b/>
        </w:rPr>
        <w:t xml:space="preserve">• </w:t>
      </w:r>
      <w:r>
        <w:t>Text embeddings.</w:t>
      </w:r>
    </w:p>
    <w:p>
      <w:pPr>
        <w:pStyle w:val="ListBody"/>
        <w:ind w:left="490" w:hanging="331"/>
      </w:pPr>
      <w:r>
        <w:rPr>
          <w:b/>
        </w:rPr>
        <w:t xml:space="preserve">• </w:t>
      </w:r>
      <w:r>
        <w:t>Document classification.</w:t>
      </w:r>
    </w:p>
    <w:p>
      <w:pPr>
        <w:pStyle w:val="ListBody"/>
        <w:ind w:left="490" w:hanging="331"/>
      </w:pPr>
      <w:r>
        <w:rPr>
          <w:b/>
        </w:rPr>
        <w:t xml:space="preserve">• </w:t>
      </w:r>
      <w:r>
        <w:t>Entity extraction.</w:t>
      </w:r>
    </w:p>
    <w:p>
      <w:pPr>
        <w:pStyle w:val="ListBody"/>
        <w:ind w:left="490" w:hanging="331"/>
      </w:pPr>
      <w:r>
        <w:rPr>
          <w:b/>
        </w:rPr>
        <w:t xml:space="preserve">• </w:t>
      </w:r>
      <w:r>
        <w:t>Small neural inference.</w:t>
      </w:r>
    </w:p>
    <w:p>
      <w:pPr>
        <w:pStyle w:val="ListBody"/>
        <w:ind w:left="490" w:hanging="331"/>
      </w:pPr>
      <w:r>
        <w:rPr>
          <w:b/>
        </w:rPr>
        <w:t xml:space="preserve">• </w:t>
      </w:r>
      <w:r>
        <w:t>ONNX inference.</w:t>
      </w:r>
    </w:p>
    <w:p>
      <w:pPr>
        <w:pStyle w:val="ListBody"/>
        <w:ind w:left="490" w:hanging="331"/>
      </w:pPr>
      <w:r>
        <w:rPr>
          <w:b/>
        </w:rPr>
        <w:t xml:space="preserve">• </w:t>
      </w:r>
      <w:r>
        <w:t>Batched similarity.</w:t>
      </w:r>
    </w:p>
    <w:p>
      <w:pPr/>
      <w:r>
        <w:t>CPU work:</w:t>
      </w:r>
    </w:p>
    <w:p>
      <w:pPr>
        <w:pStyle w:val="ListBody"/>
        <w:ind w:left="490" w:hanging="331"/>
      </w:pPr>
      <w:r>
        <w:rPr>
          <w:b/>
        </w:rPr>
        <w:t xml:space="preserve">• </w:t>
      </w:r>
      <w:r>
        <w:t>SQL.</w:t>
      </w:r>
    </w:p>
    <w:p>
      <w:pPr>
        <w:pStyle w:val="ListBody"/>
        <w:ind w:left="490" w:hanging="331"/>
      </w:pPr>
      <w:r>
        <w:rPr>
          <w:b/>
        </w:rPr>
        <w:t xml:space="preserve">• </w:t>
      </w:r>
      <w:r>
        <w:t>Rankings.</w:t>
      </w:r>
    </w:p>
    <w:p>
      <w:pPr>
        <w:pStyle w:val="ListBody"/>
        <w:ind w:left="490" w:hanging="331"/>
      </w:pPr>
      <w:r>
        <w:rPr>
          <w:b/>
        </w:rPr>
        <w:t xml:space="preserve">• </w:t>
      </w:r>
      <w:r>
        <w:t>Accounting calculations.</w:t>
      </w:r>
    </w:p>
    <w:p>
      <w:pPr>
        <w:pStyle w:val="ListBody"/>
        <w:ind w:left="490" w:hanging="331"/>
      </w:pPr>
      <w:r>
        <w:rPr>
          <w:b/>
        </w:rPr>
        <w:t xml:space="preserve">• </w:t>
      </w:r>
      <w:r>
        <w:t>Moving averages.</w:t>
      </w:r>
    </w:p>
    <w:p>
      <w:pPr>
        <w:pStyle w:val="ListBody"/>
        <w:ind w:left="490" w:hanging="331"/>
      </w:pPr>
      <w:r>
        <w:rPr>
          <w:b/>
        </w:rPr>
        <w:t xml:space="preserve">• </w:t>
      </w:r>
      <w:r>
        <w:t>ATR.</w:t>
      </w:r>
    </w:p>
    <w:p>
      <w:pPr>
        <w:pStyle w:val="ListBody"/>
        <w:ind w:left="490" w:hanging="331"/>
      </w:pPr>
      <w:r>
        <w:rPr>
          <w:b/>
        </w:rPr>
        <w:t xml:space="preserve">• </w:t>
      </w:r>
      <w:r>
        <w:t>RSI.</w:t>
      </w:r>
    </w:p>
    <w:p>
      <w:pPr>
        <w:pStyle w:val="ListBody"/>
        <w:ind w:left="490" w:hanging="331"/>
      </w:pPr>
      <w:r>
        <w:rPr>
          <w:b/>
        </w:rPr>
        <w:t xml:space="preserve">• </w:t>
      </w:r>
      <w:r>
        <w:t>Hard gates.</w:t>
      </w:r>
    </w:p>
    <w:p>
      <w:pPr>
        <w:pStyle w:val="ListBody"/>
        <w:ind w:left="490" w:hanging="331"/>
      </w:pPr>
      <w:r>
        <w:rPr>
          <w:b/>
        </w:rPr>
        <w:t xml:space="preserve">• </w:t>
      </w:r>
      <w:r>
        <w:t>Exact valuation arithmetic.</w:t>
      </w:r>
    </w:p>
    <w:p>
      <w:pPr/>
      <w:r>
        <w:t>Recommended VRAM allocation:</w:t>
      </w:r>
    </w:p>
    <w:p>
      <w:pPr/>
      <w:r>
        <w:t>Model and runtime: 5.5–6 GB</w:t>
        <w:br/>
        <w:t>Driver and display reserve: 1.5–2 GB</w:t>
      </w:r>
    </w:p>
    <w:p>
      <w:pPr/>
      <w:r>
        <w:t>Only one substantial GPU job should run at a time.</w:t>
      </w:r>
    </w:p>
    <w:p>
      <w:pPr/>
      <w:r>
        <w:t>A large local language model must not be a mandatory system dependency.</w:t>
      </w:r>
    </w:p>
    <w:p>
      <w:pPr>
        <w:spacing w:after="0"/>
      </w:pPr>
      <w:r/>
    </w:p>
    <w:p>
      <w:pPr>
        <w:pStyle w:val="Heading1"/>
        <w:pBdr>
          <w:bottom w:val="single" w:sz="4" w:space="5" w:color="7A9AAA"/>
        </w:pBdr>
        <w:keepNext/>
      </w:pPr>
      <w:r>
        <w:t>106. SSD allocation</w:t>
      </w:r>
    </w:p>
    <w:p>
      <w:pPr/>
      <w:r>
        <w:t>Suggested maximum budgets: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blHeader w:val="true"/>
        </w:trPr>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Category</w:t>
            </w:r>
          </w:p>
        </w:tc>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Budget</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PostgreSQL</w:t>
            </w:r>
          </w:p>
        </w:tc>
        <w:tc>
          <w:tcPr>
            <w:tcW w:type="dxa" w:w="4997"/>
            <w:vAlign w:val="center"/>
            <w:tcMar>
              <w:top w:w="55" w:type="dxa"/>
              <w:start w:w="65" w:type="dxa"/>
              <w:bottom w:w="55" w:type="dxa"/>
              <w:end w:w="65" w:type="dxa"/>
            </w:tcMar>
          </w:tcPr>
          <w:p>
            <w:pPr>
              <w:spacing w:after="0"/>
            </w:pPr>
            <w:r>
              <w:rPr>
                <w:rFonts w:ascii="Cambria" w:hAnsi="Cambria"/>
                <w:sz w:val="18"/>
              </w:rPr>
              <w:t>20 GB</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EOD Parquet</w:t>
            </w:r>
          </w:p>
        </w:tc>
        <w:tc>
          <w:tcPr>
            <w:tcW w:type="dxa" w:w="4997"/>
            <w:vAlign w:val="center"/>
            <w:tcMar>
              <w:top w:w="55" w:type="dxa"/>
              <w:start w:w="65" w:type="dxa"/>
              <w:bottom w:w="55" w:type="dxa"/>
              <w:end w:w="65" w:type="dxa"/>
            </w:tcMar>
            <w:shd w:fill="F8FAFB"/>
          </w:tcPr>
          <w:p>
            <w:pPr>
              <w:spacing w:after="0"/>
            </w:pPr>
            <w:r>
              <w:rPr>
                <w:rFonts w:ascii="Cambria" w:hAnsi="Cambria"/>
                <w:sz w:val="18"/>
              </w:rPr>
              <w:t>15 GB</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Fundamentals and features</w:t>
            </w:r>
          </w:p>
        </w:tc>
        <w:tc>
          <w:tcPr>
            <w:tcW w:type="dxa" w:w="4997"/>
            <w:vAlign w:val="center"/>
            <w:tcMar>
              <w:top w:w="55" w:type="dxa"/>
              <w:start w:w="65" w:type="dxa"/>
              <w:bottom w:w="55" w:type="dxa"/>
              <w:end w:w="65" w:type="dxa"/>
            </w:tcMar>
          </w:tcPr>
          <w:p>
            <w:pPr>
              <w:spacing w:after="0"/>
            </w:pPr>
            <w:r>
              <w:rPr>
                <w:rFonts w:ascii="Cambria" w:hAnsi="Cambria"/>
                <w:sz w:val="18"/>
              </w:rPr>
              <w:t>30 GB</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Backtest snapshots</w:t>
            </w:r>
          </w:p>
        </w:tc>
        <w:tc>
          <w:tcPr>
            <w:tcW w:type="dxa" w:w="4997"/>
            <w:vAlign w:val="center"/>
            <w:tcMar>
              <w:top w:w="55" w:type="dxa"/>
              <w:start w:w="65" w:type="dxa"/>
              <w:bottom w:w="55" w:type="dxa"/>
              <w:end w:w="65" w:type="dxa"/>
            </w:tcMar>
            <w:shd w:fill="F8FAFB"/>
          </w:tcPr>
          <w:p>
            <w:pPr>
              <w:spacing w:after="0"/>
            </w:pPr>
            <w:r>
              <w:rPr>
                <w:rFonts w:ascii="Cambria" w:hAnsi="Cambria"/>
                <w:sz w:val="18"/>
              </w:rPr>
              <w:t>25 GB</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Documents</w:t>
            </w:r>
          </w:p>
        </w:tc>
        <w:tc>
          <w:tcPr>
            <w:tcW w:type="dxa" w:w="4997"/>
            <w:vAlign w:val="center"/>
            <w:tcMar>
              <w:top w:w="55" w:type="dxa"/>
              <w:start w:w="65" w:type="dxa"/>
              <w:bottom w:w="55" w:type="dxa"/>
              <w:end w:w="65" w:type="dxa"/>
            </w:tcMar>
          </w:tcPr>
          <w:p>
            <w:pPr>
              <w:spacing w:after="0"/>
            </w:pPr>
            <w:r>
              <w:rPr>
                <w:rFonts w:ascii="Cambria" w:hAnsi="Cambria"/>
                <w:sz w:val="18"/>
              </w:rPr>
              <w:t>80 GB</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Restricted intraday</w:t>
            </w:r>
          </w:p>
        </w:tc>
        <w:tc>
          <w:tcPr>
            <w:tcW w:type="dxa" w:w="4997"/>
            <w:vAlign w:val="center"/>
            <w:tcMar>
              <w:top w:w="55" w:type="dxa"/>
              <w:start w:w="65" w:type="dxa"/>
              <w:bottom w:w="55" w:type="dxa"/>
              <w:end w:w="65" w:type="dxa"/>
            </w:tcMar>
            <w:shd w:fill="F8FAFB"/>
          </w:tcPr>
          <w:p>
            <w:pPr>
              <w:spacing w:after="0"/>
            </w:pPr>
            <w:r>
              <w:rPr>
                <w:rFonts w:ascii="Cambria" w:hAnsi="Cambria"/>
                <w:sz w:val="18"/>
              </w:rPr>
              <w:t>70 GB</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Models and embeddings</w:t>
            </w:r>
          </w:p>
        </w:tc>
        <w:tc>
          <w:tcPr>
            <w:tcW w:type="dxa" w:w="4997"/>
            <w:vAlign w:val="center"/>
            <w:tcMar>
              <w:top w:w="55" w:type="dxa"/>
              <w:start w:w="65" w:type="dxa"/>
              <w:bottom w:w="55" w:type="dxa"/>
              <w:end w:w="65" w:type="dxa"/>
            </w:tcMar>
          </w:tcPr>
          <w:p>
            <w:pPr>
              <w:spacing w:after="0"/>
            </w:pPr>
            <w:r>
              <w:rPr>
                <w:rFonts w:ascii="Cambria" w:hAnsi="Cambria"/>
                <w:sz w:val="18"/>
              </w:rPr>
              <w:t>25 GB</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Backups</w:t>
            </w:r>
          </w:p>
        </w:tc>
        <w:tc>
          <w:tcPr>
            <w:tcW w:type="dxa" w:w="4997"/>
            <w:vAlign w:val="center"/>
            <w:tcMar>
              <w:top w:w="55" w:type="dxa"/>
              <w:start w:w="65" w:type="dxa"/>
              <w:bottom w:w="55" w:type="dxa"/>
              <w:end w:w="65" w:type="dxa"/>
            </w:tcMar>
            <w:shd w:fill="F8FAFB"/>
          </w:tcPr>
          <w:p>
            <w:pPr>
              <w:spacing w:after="0"/>
            </w:pPr>
            <w:r>
              <w:rPr>
                <w:rFonts w:ascii="Cambria" w:hAnsi="Cambria"/>
                <w:sz w:val="18"/>
              </w:rPr>
              <w:t>35 GB</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Temporary</w:t>
            </w:r>
          </w:p>
        </w:tc>
        <w:tc>
          <w:tcPr>
            <w:tcW w:type="dxa" w:w="4997"/>
            <w:vAlign w:val="center"/>
            <w:tcMar>
              <w:top w:w="55" w:type="dxa"/>
              <w:start w:w="65" w:type="dxa"/>
              <w:bottom w:w="55" w:type="dxa"/>
              <w:end w:w="65" w:type="dxa"/>
            </w:tcMar>
          </w:tcPr>
          <w:p>
            <w:pPr>
              <w:spacing w:after="0"/>
            </w:pPr>
            <w:r>
              <w:rPr>
                <w:rFonts w:ascii="Cambria" w:hAnsi="Cambria"/>
                <w:sz w:val="18"/>
              </w:rPr>
              <w:t>40 GB</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Required free space</w:t>
            </w:r>
          </w:p>
        </w:tc>
        <w:tc>
          <w:tcPr>
            <w:tcW w:type="dxa" w:w="4997"/>
            <w:vAlign w:val="center"/>
            <w:tcMar>
              <w:top w:w="55" w:type="dxa"/>
              <w:start w:w="65" w:type="dxa"/>
              <w:bottom w:w="55" w:type="dxa"/>
              <w:end w:w="65" w:type="dxa"/>
            </w:tcMar>
            <w:shd w:fill="F8FAFB"/>
          </w:tcPr>
          <w:p>
            <w:pPr>
              <w:spacing w:after="0"/>
            </w:pPr>
            <w:r>
              <w:rPr>
                <w:rFonts w:ascii="Cambria" w:hAnsi="Cambria"/>
                <w:sz w:val="18"/>
              </w:rPr>
              <w:t>60 GB</w:t>
            </w:r>
          </w:p>
        </w:tc>
      </w:tr>
    </w:tbl>
    <w:p>
      <w:pPr>
        <w:spacing w:after="20"/>
      </w:pPr>
    </w:p>
    <w:p>
      <w:pPr/>
      <w:r>
        <w:t>Keep permanently:</w:t>
      </w:r>
    </w:p>
    <w:p>
      <w:pPr>
        <w:pStyle w:val="ListBody"/>
        <w:ind w:left="490" w:hanging="331"/>
      </w:pPr>
      <w:r>
        <w:rPr>
          <w:b/>
        </w:rPr>
        <w:t xml:space="preserve">• </w:t>
      </w:r>
      <w:r>
        <w:t>Daily OHLCV.</w:t>
      </w:r>
    </w:p>
    <w:p>
      <w:pPr>
        <w:pStyle w:val="ListBody"/>
        <w:ind w:left="490" w:hanging="331"/>
      </w:pPr>
      <w:r>
        <w:rPr>
          <w:b/>
        </w:rPr>
        <w:t xml:space="preserve">• </w:t>
      </w:r>
      <w:r>
        <w:t>Weekly and monthly aggregates.</w:t>
      </w:r>
    </w:p>
    <w:p>
      <w:pPr>
        <w:pStyle w:val="ListBody"/>
        <w:ind w:left="490" w:hanging="331"/>
      </w:pPr>
      <w:r>
        <w:rPr>
          <w:b/>
        </w:rPr>
        <w:t xml:space="preserve">• </w:t>
      </w:r>
      <w:r>
        <w:t>Corporate actions.</w:t>
      </w:r>
    </w:p>
    <w:p>
      <w:pPr>
        <w:pStyle w:val="ListBody"/>
        <w:ind w:left="490" w:hanging="331"/>
      </w:pPr>
      <w:r>
        <w:rPr>
          <w:b/>
        </w:rPr>
        <w:t xml:space="preserve">• </w:t>
      </w:r>
      <w:r>
        <w:t>Fundamental facts.</w:t>
      </w:r>
    </w:p>
    <w:p>
      <w:pPr>
        <w:pStyle w:val="ListBody"/>
        <w:ind w:left="490" w:hanging="331"/>
      </w:pPr>
      <w:r>
        <w:rPr>
          <w:b/>
        </w:rPr>
        <w:t xml:space="preserve">• </w:t>
      </w:r>
      <w:r>
        <w:t>Scores.</w:t>
      </w:r>
    </w:p>
    <w:p>
      <w:pPr>
        <w:pStyle w:val="ListBody"/>
        <w:ind w:left="490" w:hanging="331"/>
      </w:pPr>
      <w:r>
        <w:rPr>
          <w:b/>
        </w:rPr>
        <w:t xml:space="preserve">• </w:t>
      </w:r>
      <w:r>
        <w:t>Signal history.</w:t>
      </w:r>
    </w:p>
    <w:p>
      <w:pPr>
        <w:pStyle w:val="ListBody"/>
        <w:ind w:left="490" w:hanging="331"/>
      </w:pPr>
      <w:r>
        <w:rPr>
          <w:b/>
        </w:rPr>
        <w:t xml:space="preserve">• </w:t>
      </w:r>
      <w:r>
        <w:t>Portfolio history.</w:t>
      </w:r>
    </w:p>
    <w:p>
      <w:pPr>
        <w:pStyle w:val="ListBody"/>
        <w:ind w:left="490" w:hanging="331"/>
      </w:pPr>
      <w:r>
        <w:rPr>
          <w:b/>
        </w:rPr>
        <w:t xml:space="preserve">• </w:t>
      </w:r>
      <w:r>
        <w:t>Filing metadata.</w:t>
      </w:r>
    </w:p>
    <w:p>
      <w:pPr>
        <w:pStyle w:val="ListBody"/>
        <w:ind w:left="490" w:hanging="331"/>
      </w:pPr>
      <w:r>
        <w:rPr>
          <w:b/>
        </w:rPr>
        <w:t xml:space="preserve">• </w:t>
      </w:r>
      <w:r>
        <w:t>Critical evidence.</w:t>
      </w:r>
    </w:p>
    <w:p>
      <w:pPr/>
      <w:r>
        <w:t>Keep selectively:</w:t>
      </w:r>
    </w:p>
    <w:p>
      <w:pPr>
        <w:pStyle w:val="ListBody"/>
        <w:ind w:left="490" w:hanging="331"/>
      </w:pPr>
      <w:r>
        <w:rPr>
          <w:b/>
        </w:rPr>
        <w:t xml:space="preserve">• </w:t>
      </w:r>
      <w:r>
        <w:t>One-minute data for:</w:t>
      </w:r>
    </w:p>
    <w:p>
      <w:pPr>
        <w:pStyle w:val="ListBody"/>
        <w:ind w:left="893" w:hanging="331"/>
      </w:pPr>
      <w:r>
        <w:rPr>
          <w:b/>
        </w:rPr>
        <w:t xml:space="preserve">– </w:t>
      </w:r>
      <w:r>
        <w:t>F&amp;O universe.</w:t>
      </w:r>
    </w:p>
    <w:p>
      <w:pPr>
        <w:pStyle w:val="ListBody"/>
        <w:ind w:left="893" w:hanging="331"/>
      </w:pPr>
      <w:r>
        <w:rPr>
          <w:b/>
        </w:rPr>
        <w:t xml:space="preserve">– </w:t>
      </w:r>
      <w:r>
        <w:t>Portfolio.</w:t>
      </w:r>
    </w:p>
    <w:p>
      <w:pPr>
        <w:pStyle w:val="ListBody"/>
        <w:ind w:left="893" w:hanging="331"/>
      </w:pPr>
      <w:r>
        <w:rPr>
          <w:b/>
        </w:rPr>
        <w:t xml:space="preserve">– </w:t>
      </w:r>
      <w:r>
        <w:t>Active signals.</w:t>
      </w:r>
    </w:p>
    <w:p>
      <w:pPr>
        <w:pStyle w:val="ListBody"/>
        <w:ind w:left="893" w:hanging="331"/>
      </w:pPr>
      <w:r>
        <w:rPr>
          <w:b/>
        </w:rPr>
        <w:t xml:space="preserve">– </w:t>
      </w:r>
      <w:r>
        <w:t>Top liquid stocks.</w:t>
      </w:r>
    </w:p>
    <w:p>
      <w:pPr>
        <w:pStyle w:val="ListBody"/>
        <w:ind w:left="893" w:hanging="331"/>
      </w:pPr>
      <w:r>
        <w:rPr>
          <w:b/>
        </w:rPr>
        <w:t xml:space="preserve">– </w:t>
      </w:r>
      <w:r>
        <w:t>Recent years.</w:t>
      </w:r>
    </w:p>
    <w:p>
      <w:pPr/>
      <w:r>
        <w:t>Do not store full-market tick history locally.</w:t>
      </w:r>
    </w:p>
    <w:p>
      <w:pPr>
        <w:spacing w:after="0"/>
      </w:pPr>
      <w:r/>
    </w:p>
    <w:p>
      <w:pPr>
        <w:pStyle w:val="Heading1"/>
        <w:pBdr>
          <w:bottom w:val="single" w:sz="4" w:space="5" w:color="7A9AAA"/>
        </w:pBdr>
        <w:keepNext/>
      </w:pPr>
      <w:r>
        <w:t>107. Real-time hot universe</w:t>
      </w:r>
    </w:p>
    <w:p>
      <w:pPr/>
      <w:r>
        <w:t>The full 2,000-stock universe should run in batch mode.</w:t>
      </w:r>
    </w:p>
    <w:p>
      <w:pPr/>
      <w:r>
        <w:t>Stream only:</w:t>
      </w:r>
    </w:p>
    <w:p>
      <w:pPr>
        <w:pStyle w:val="ListBody"/>
        <w:ind w:left="490" w:hanging="331"/>
      </w:pPr>
      <w:r>
        <w:rPr>
          <w:b/>
        </w:rPr>
        <w:t xml:space="preserve">• </w:t>
      </w:r>
      <w:r>
        <w:t>Portfolio holdings.</w:t>
      </w:r>
    </w:p>
    <w:p>
      <w:pPr>
        <w:pStyle w:val="ListBody"/>
        <w:ind w:left="490" w:hanging="331"/>
      </w:pPr>
      <w:r>
        <w:rPr>
          <w:b/>
        </w:rPr>
        <w:t xml:space="preserve">• </w:t>
      </w:r>
      <w:r>
        <w:t>Open orders.</w:t>
      </w:r>
    </w:p>
    <w:p>
      <w:pPr>
        <w:pStyle w:val="ListBody"/>
        <w:ind w:left="490" w:hanging="331"/>
      </w:pPr>
      <w:r>
        <w:rPr>
          <w:b/>
        </w:rPr>
        <w:t xml:space="preserve">• </w:t>
      </w:r>
      <w:r>
        <w:t>Active daily signals.</w:t>
      </w:r>
    </w:p>
    <w:p>
      <w:pPr>
        <w:pStyle w:val="ListBody"/>
        <w:ind w:left="490" w:hanging="331"/>
      </w:pPr>
      <w:r>
        <w:rPr>
          <w:b/>
        </w:rPr>
        <w:t xml:space="preserve">• </w:t>
      </w:r>
      <w:r>
        <w:t>Active weekly signals.</w:t>
      </w:r>
    </w:p>
    <w:p>
      <w:pPr>
        <w:pStyle w:val="ListBody"/>
        <w:ind w:left="490" w:hanging="331"/>
      </w:pPr>
      <w:r>
        <w:rPr>
          <w:b/>
        </w:rPr>
        <w:t xml:space="preserve">• </w:t>
      </w:r>
      <w:r>
        <w:t>Top-ranked stocks.</w:t>
      </w:r>
    </w:p>
    <w:p>
      <w:pPr>
        <w:pStyle w:val="ListBody"/>
        <w:ind w:left="490" w:hanging="331"/>
      </w:pPr>
      <w:r>
        <w:rPr>
          <w:b/>
        </w:rPr>
        <w:t xml:space="preserve">• </w:t>
      </w:r>
      <w:r>
        <w:t>Event-alert stocks.</w:t>
      </w:r>
    </w:p>
    <w:p>
      <w:pPr>
        <w:pStyle w:val="ListBody"/>
        <w:ind w:left="490" w:hanging="331"/>
      </w:pPr>
      <w:r>
        <w:rPr>
          <w:b/>
        </w:rPr>
        <w:t xml:space="preserve">• </w:t>
      </w:r>
      <w:r>
        <w:t>User watchlists.</w:t>
      </w:r>
    </w:p>
    <w:p>
      <w:pPr>
        <w:pStyle w:val="ListBody"/>
        <w:ind w:left="490" w:hanging="331"/>
      </w:pPr>
      <w:r>
        <w:rPr>
          <w:b/>
        </w:rPr>
        <w:t xml:space="preserve">• </w:t>
      </w:r>
      <w:r>
        <w:t>F&amp;O candidates.</w:t>
      </w:r>
    </w:p>
    <w:p>
      <w:pPr/>
      <w:r>
        <w:t>Suggested live target:</w:t>
      </w:r>
    </w:p>
    <w:p>
      <w:pPr/>
      <w:r>
        <w:t>Normal: 100–200 securities</w:t>
        <w:br/>
        <w:t>Upper laptop target: 300 securities</w:t>
      </w:r>
    </w:p>
    <w:p>
      <w:pPr>
        <w:spacing w:after="0"/>
      </w:pPr>
      <w:r/>
    </w:p>
    <w:p>
      <w:pPr>
        <w:pStyle w:val="Heading1"/>
        <w:pBdr>
          <w:bottom w:val="single" w:sz="4" w:space="5" w:color="7A9AAA"/>
        </w:pBdr>
        <w:keepNext/>
      </w:pPr>
      <w:r>
        <w:t>108. Incremental processing</w:t>
      </w:r>
    </w:p>
    <w:p>
      <w:pPr/>
      <w:r>
        <w:t>The system must not recalculate all history daily.</w:t>
      </w:r>
    </w:p>
    <w:p>
      <w:pPr>
        <w:pStyle w:val="Heading2"/>
        <w:keepNext/>
      </w:pPr>
      <w:r>
        <w:t>Daily</w:t>
      </w:r>
    </w:p>
    <w:p>
      <w:pPr>
        <w:pStyle w:val="ListBody"/>
        <w:ind w:left="490" w:hanging="331"/>
      </w:pPr>
      <w:r>
        <w:rPr>
          <w:b/>
        </w:rPr>
        <w:t xml:space="preserve">• </w:t>
      </w:r>
      <w:r>
        <w:t>Append new daily bar.</w:t>
      </w:r>
    </w:p>
    <w:p>
      <w:pPr>
        <w:pStyle w:val="ListBody"/>
        <w:ind w:left="490" w:hanging="331"/>
      </w:pPr>
      <w:r>
        <w:rPr>
          <w:b/>
        </w:rPr>
        <w:t xml:space="preserve">• </w:t>
      </w:r>
      <w:r>
        <w:t>Recalculate affected rolling features.</w:t>
      </w:r>
    </w:p>
    <w:p>
      <w:pPr>
        <w:pStyle w:val="ListBody"/>
        <w:ind w:left="490" w:hanging="331"/>
      </w:pPr>
      <w:r>
        <w:rPr>
          <w:b/>
        </w:rPr>
        <w:t xml:space="preserve">• </w:t>
      </w:r>
      <w:r>
        <w:t>Update current score.</w:t>
      </w:r>
    </w:p>
    <w:p>
      <w:pPr>
        <w:pStyle w:val="ListBody"/>
        <w:ind w:left="490" w:hanging="331"/>
      </w:pPr>
      <w:r>
        <w:rPr>
          <w:b/>
        </w:rPr>
        <w:t xml:space="preserve">• </w:t>
      </w:r>
      <w:r>
        <w:t>Update ranks.</w:t>
      </w:r>
    </w:p>
    <w:p>
      <w:pPr>
        <w:pStyle w:val="ListBody"/>
        <w:ind w:left="490" w:hanging="331"/>
      </w:pPr>
      <w:r>
        <w:rPr>
          <w:b/>
        </w:rPr>
        <w:t xml:space="preserve">• </w:t>
      </w:r>
      <w:r>
        <w:t>Save changes.</w:t>
      </w:r>
    </w:p>
    <w:p>
      <w:pPr>
        <w:pStyle w:val="Heading2"/>
        <w:keepNext/>
      </w:pPr>
      <w:r>
        <w:t>Quarterly filing</w:t>
      </w:r>
    </w:p>
    <w:p>
      <w:pPr>
        <w:pStyle w:val="ListBody"/>
        <w:ind w:left="490" w:hanging="331"/>
      </w:pPr>
      <w:r>
        <w:rPr>
          <w:b/>
        </w:rPr>
        <w:t xml:space="preserve">• </w:t>
      </w:r>
      <w:r>
        <w:t>Update the affected company.</w:t>
      </w:r>
    </w:p>
    <w:p>
      <w:pPr>
        <w:pStyle w:val="ListBody"/>
        <w:ind w:left="490" w:hanging="331"/>
      </w:pPr>
      <w:r>
        <w:rPr>
          <w:b/>
        </w:rPr>
        <w:t xml:space="preserve">• </w:t>
      </w:r>
      <w:r>
        <w:t>Recalculate TTM.</w:t>
      </w:r>
    </w:p>
    <w:p>
      <w:pPr>
        <w:pStyle w:val="ListBody"/>
        <w:ind w:left="490" w:hanging="331"/>
      </w:pPr>
      <w:r>
        <w:rPr>
          <w:b/>
        </w:rPr>
        <w:t xml:space="preserve">• </w:t>
      </w:r>
      <w:r>
        <w:t>Recalculate affected factors.</w:t>
      </w:r>
    </w:p>
    <w:p>
      <w:pPr>
        <w:pStyle w:val="ListBody"/>
        <w:ind w:left="490" w:hanging="331"/>
      </w:pPr>
      <w:r>
        <w:rPr>
          <w:b/>
        </w:rPr>
        <w:t xml:space="preserve">• </w:t>
      </w:r>
      <w:r>
        <w:t>Update cross-sectional percentiles.</w:t>
      </w:r>
    </w:p>
    <w:p>
      <w:pPr>
        <w:pStyle w:val="ListBody"/>
        <w:ind w:left="490" w:hanging="331"/>
      </w:pPr>
      <w:r>
        <w:rPr>
          <w:b/>
        </w:rPr>
        <w:t xml:space="preserve">• </w:t>
      </w:r>
      <w:r>
        <w:t>Trigger research review.</w:t>
      </w:r>
    </w:p>
    <w:p>
      <w:pPr>
        <w:pStyle w:val="Heading2"/>
        <w:keepNext/>
      </w:pPr>
      <w:r>
        <w:t>Corporate action</w:t>
      </w:r>
    </w:p>
    <w:p>
      <w:pPr>
        <w:pStyle w:val="ListBody"/>
        <w:ind w:left="490" w:hanging="331"/>
      </w:pPr>
      <w:r>
        <w:rPr>
          <w:b/>
        </w:rPr>
        <w:t xml:space="preserve">• </w:t>
      </w:r>
      <w:r>
        <w:t>Adjust prices.</w:t>
      </w:r>
    </w:p>
    <w:p>
      <w:pPr>
        <w:pStyle w:val="ListBody"/>
        <w:ind w:left="490" w:hanging="331"/>
      </w:pPr>
      <w:r>
        <w:rPr>
          <w:b/>
        </w:rPr>
        <w:t xml:space="preserve">• </w:t>
      </w:r>
      <w:r>
        <w:t>Adjust per-share metrics.</w:t>
      </w:r>
    </w:p>
    <w:p>
      <w:pPr>
        <w:pStyle w:val="ListBody"/>
        <w:ind w:left="490" w:hanging="331"/>
      </w:pPr>
      <w:r>
        <w:rPr>
          <w:b/>
        </w:rPr>
        <w:t xml:space="preserve">• </w:t>
      </w:r>
      <w:r>
        <w:t>Update shares.</w:t>
      </w:r>
    </w:p>
    <w:p>
      <w:pPr>
        <w:pStyle w:val="ListBody"/>
        <w:ind w:left="490" w:hanging="331"/>
      </w:pPr>
      <w:r>
        <w:rPr>
          <w:b/>
        </w:rPr>
        <w:t xml:space="preserve">• </w:t>
      </w:r>
      <w:r>
        <w:t>Recalculate affected signals.</w:t>
      </w:r>
    </w:p>
    <w:p>
      <w:pPr>
        <w:pStyle w:val="Heading2"/>
        <w:keepNext/>
      </w:pPr>
      <w:r>
        <w:t>Cache key</w:t>
      </w:r>
    </w:p>
    <w:p>
      <w:pPr/>
      <w:r>
        <w:t>security_id</w:t>
        <w:br/>
        <w:t>feature_id</w:t>
        <w:br/>
        <w:t>feature_version</w:t>
        <w:br/>
        <w:t>as_of_date</w:t>
        <w:br/>
        <w:t>input_data_hash</w:t>
      </w:r>
    </w:p>
    <w:p>
      <w:pPr/>
      <w:r>
        <w:t>Reuse the prior result when inputs and versions are unchanged.</w:t>
      </w:r>
    </w:p>
    <w:p>
      <w:pPr>
        <w:spacing w:after="0"/>
      </w:pPr>
      <w:r/>
    </w:p>
    <w:p>
      <w:pPr>
        <w:pStyle w:val="Heading1"/>
        <w:pBdr>
          <w:bottom w:val="single" w:sz="4" w:space="5" w:color="7A9AAA"/>
        </w:pBdr>
        <w:keepNext/>
      </w:pPr>
      <w:r>
        <w:t>109. Resource governor</w:t>
      </w:r>
    </w:p>
    <w:p>
      <w:pPr/>
      <w:r>
        <w:t>Resource states:</w:t>
      </w:r>
    </w:p>
    <w:p>
      <w:pPr>
        <w:pStyle w:val="ListBody"/>
        <w:ind w:left="490" w:hanging="331"/>
      </w:pPr>
      <w:r>
        <w:rPr>
          <w:b/>
        </w:rPr>
        <w:t xml:space="preserve">• </w:t>
      </w:r>
      <w:r>
        <w:t>Normal.</w:t>
      </w:r>
    </w:p>
    <w:p>
      <w:pPr>
        <w:pStyle w:val="ListBody"/>
        <w:ind w:left="490" w:hanging="331"/>
      </w:pPr>
      <w:r>
        <w:rPr>
          <w:b/>
        </w:rPr>
        <w:t xml:space="preserve">• </w:t>
      </w:r>
      <w:r>
        <w:t>Busy.</w:t>
      </w:r>
    </w:p>
    <w:p>
      <w:pPr>
        <w:pStyle w:val="ListBody"/>
        <w:ind w:left="490" w:hanging="331"/>
      </w:pPr>
      <w:r>
        <w:rPr>
          <w:b/>
        </w:rPr>
        <w:t xml:space="preserve">• </w:t>
      </w:r>
      <w:r>
        <w:t>Throttled.</w:t>
      </w:r>
    </w:p>
    <w:p>
      <w:pPr>
        <w:pStyle w:val="ListBody"/>
        <w:ind w:left="490" w:hanging="331"/>
      </w:pPr>
      <w:r>
        <w:rPr>
          <w:b/>
        </w:rPr>
        <w:t xml:space="preserve">• </w:t>
      </w:r>
      <w:r>
        <w:t>Low Memory.</w:t>
      </w:r>
    </w:p>
    <w:p>
      <w:pPr>
        <w:pStyle w:val="ListBody"/>
        <w:ind w:left="490" w:hanging="331"/>
      </w:pPr>
      <w:r>
        <w:rPr>
          <w:b/>
        </w:rPr>
        <w:t xml:space="preserve">• </w:t>
      </w:r>
      <w:r>
        <w:t>Low Storage.</w:t>
      </w:r>
    </w:p>
    <w:p>
      <w:pPr>
        <w:pStyle w:val="ListBody"/>
        <w:ind w:left="490" w:hanging="331"/>
      </w:pPr>
      <w:r>
        <w:rPr>
          <w:b/>
        </w:rPr>
        <w:t xml:space="preserve">• </w:t>
      </w:r>
      <w:r>
        <w:t>GPU Limited.</w:t>
      </w:r>
    </w:p>
    <w:p>
      <w:pPr>
        <w:pStyle w:val="ListBody"/>
        <w:ind w:left="490" w:hanging="331"/>
      </w:pPr>
      <w:r>
        <w:rPr>
          <w:b/>
        </w:rPr>
        <w:t xml:space="preserve">• </w:t>
      </w:r>
      <w:r>
        <w:t>Market Priority.</w:t>
      </w:r>
    </w:p>
    <w:p>
      <w:pPr>
        <w:pStyle w:val="ListBody"/>
        <w:ind w:left="490" w:hanging="331"/>
      </w:pPr>
      <w:r>
        <w:rPr>
          <w:b/>
        </w:rPr>
        <w:t xml:space="preserve">• </w:t>
      </w:r>
      <w:r>
        <w:t>Emergency.</w:t>
      </w:r>
    </w:p>
    <w:p>
      <w:pPr/>
      <w:r>
        <w:t>Example controls:</w:t>
      </w:r>
    </w:p>
    <w:p>
      <w:pPr/>
      <w:r>
        <w:t>def apply_resource_governor(metrics):</w:t>
        <w:br/>
        <w:t xml:space="preserve">    if metrics.free_ram_gb &lt; 2:</w:t>
        <w:br/>
        <w:t xml:space="preserve">        pause_document_jobs()</w:t>
        <w:br/>
        <w:t xml:space="preserve">        reduce_cpu_workers(2)</w:t>
        <w:br/>
        <w:t xml:space="preserve">        cancel_noncritical_backtests()</w:t>
        <w:br/>
        <w:br/>
        <w:t xml:space="preserve">    if metrics.disk_free_gb &lt; 40:</w:t>
        <w:br/>
        <w:t xml:space="preserve">        block_new_backtests()</w:t>
        <w:br/>
        <w:t xml:space="preserve">        clear_expired_temp_files()</w:t>
        <w:br/>
        <w:t xml:space="preserve">        archive_old_documents()</w:t>
        <w:br/>
        <w:br/>
        <w:t xml:space="preserve">    if metrics.gpu_vram_used_pct &gt; 85:</w:t>
        <w:br/>
        <w:t xml:space="preserve">        reduce_gpu_batch_size()</w:t>
        <w:br/>
        <w:t xml:space="preserve">        reject_new_gpu_jobs()</w:t>
        <w:br/>
        <w:br/>
        <w:t xml:space="preserve">    if metrics.market_is_open:</w:t>
        <w:br/>
        <w:t xml:space="preserve">        prioritize_broker_and_risk_jobs()</w:t>
        <w:br/>
        <w:t xml:space="preserve">        pause_background_research()</w:t>
      </w:r>
    </w:p>
    <w:p>
      <w:pPr/>
      <w:r>
        <w:t>Automatic entries must be blocked when critical data is stale.</w:t>
      </w:r>
    </w:p>
    <w:p>
      <w:pPr>
        <w:spacing w:after="0"/>
      </w:pPr>
      <w:r/>
    </w:p>
    <w:p>
      <w:pPr>
        <w:pStyle w:val="Heading1"/>
        <w:pBdr>
          <w:bottom w:val="single" w:sz="4" w:space="5" w:color="7A9AAA"/>
        </w:pBdr>
        <w:keepNext/>
      </w:pPr>
      <w:r>
        <w:t>110. Scheduler</w:t>
      </w:r>
    </w:p>
    <w:p>
      <w:pPr/>
      <w:r>
        <w:t>Use one scheduler and a persistent jobs table.</w:t>
      </w:r>
    </w:p>
    <w:p>
      <w:pPr/>
      <w:r>
        <w:t>jobs</w:t>
        <w:br/>
        <w:t>----</w:t>
        <w:br/>
        <w:t>job_id</w:t>
        <w:br/>
        <w:t>job_type</w:t>
        <w:br/>
        <w:t>priority</w:t>
        <w:br/>
        <w:t>status</w:t>
        <w:br/>
        <w:t>scheduled_at</w:t>
        <w:br/>
        <w:t>started_at</w:t>
        <w:br/>
        <w:t>completed_at</w:t>
        <w:br/>
        <w:t>retry_count</w:t>
        <w:br/>
        <w:t>resource_class</w:t>
        <w:br/>
        <w:t>checkpoint</w:t>
        <w:br/>
        <w:t>error</w:t>
      </w:r>
    </w:p>
    <w:p>
      <w:pPr/>
      <w:r>
        <w:t>Resource classes:</w:t>
      </w:r>
    </w:p>
    <w:p>
      <w:pPr>
        <w:pStyle w:val="ListBody"/>
        <w:ind w:left="490" w:hanging="331"/>
      </w:pPr>
      <w:r>
        <w:rPr>
          <w:b/>
        </w:rPr>
        <w:t xml:space="preserve">• </w:t>
      </w:r>
      <w:r>
        <w:t>NETWORK_LIGHT.</w:t>
      </w:r>
    </w:p>
    <w:p>
      <w:pPr>
        <w:pStyle w:val="ListBody"/>
        <w:ind w:left="490" w:hanging="331"/>
      </w:pPr>
      <w:r>
        <w:rPr>
          <w:b/>
        </w:rPr>
        <w:t xml:space="preserve">• </w:t>
      </w:r>
      <w:r>
        <w:t>NETWORK_HEAVY.</w:t>
      </w:r>
    </w:p>
    <w:p>
      <w:pPr>
        <w:pStyle w:val="ListBody"/>
        <w:ind w:left="490" w:hanging="331"/>
      </w:pPr>
      <w:r>
        <w:rPr>
          <w:b/>
        </w:rPr>
        <w:t xml:space="preserve">• </w:t>
      </w:r>
      <w:r>
        <w:t>CPU_LIGHT.</w:t>
      </w:r>
    </w:p>
    <w:p>
      <w:pPr>
        <w:pStyle w:val="ListBody"/>
        <w:ind w:left="490" w:hanging="331"/>
      </w:pPr>
      <w:r>
        <w:rPr>
          <w:b/>
        </w:rPr>
        <w:t xml:space="preserve">• </w:t>
      </w:r>
      <w:r>
        <w:t>CPU_HEAVY.</w:t>
      </w:r>
    </w:p>
    <w:p>
      <w:pPr>
        <w:pStyle w:val="ListBody"/>
        <w:ind w:left="490" w:hanging="331"/>
      </w:pPr>
      <w:r>
        <w:rPr>
          <w:b/>
        </w:rPr>
        <w:t xml:space="preserve">• </w:t>
      </w:r>
      <w:r>
        <w:t>GPU.</w:t>
      </w:r>
    </w:p>
    <w:p>
      <w:pPr>
        <w:pStyle w:val="ListBody"/>
        <w:ind w:left="490" w:hanging="331"/>
      </w:pPr>
      <w:r>
        <w:rPr>
          <w:b/>
        </w:rPr>
        <w:t xml:space="preserve">• </w:t>
      </w:r>
      <w:r>
        <w:t>DATABASE_WRITE.</w:t>
      </w:r>
    </w:p>
    <w:p>
      <w:pPr>
        <w:pStyle w:val="ListBody"/>
        <w:ind w:left="490" w:hanging="331"/>
      </w:pPr>
      <w:r>
        <w:rPr>
          <w:b/>
        </w:rPr>
        <w:t xml:space="preserve">• </w:t>
      </w:r>
      <w:r>
        <w:t>EXECUTION_CRITICAL.</w:t>
      </w:r>
    </w:p>
    <w:p>
      <w:pPr/>
      <w:r>
        <w:t>Do not run together:</w:t>
      </w:r>
    </w:p>
    <w:p>
      <w:pPr>
        <w:pStyle w:val="ListBody"/>
        <w:ind w:left="490" w:hanging="331"/>
      </w:pPr>
      <w:r>
        <w:rPr>
          <w:b/>
        </w:rPr>
        <w:t xml:space="preserve">• </w:t>
      </w:r>
      <w:r>
        <w:t>Full backtest and full document extraction.</w:t>
      </w:r>
    </w:p>
    <w:p>
      <w:pPr>
        <w:pStyle w:val="ListBody"/>
        <w:ind w:left="490" w:hanging="331"/>
      </w:pPr>
      <w:r>
        <w:rPr>
          <w:b/>
        </w:rPr>
        <w:t xml:space="preserve">• </w:t>
      </w:r>
      <w:r>
        <w:t>Full backtest and model training.</w:t>
      </w:r>
    </w:p>
    <w:p>
      <w:pPr>
        <w:pStyle w:val="ListBody"/>
        <w:ind w:left="490" w:hanging="331"/>
      </w:pPr>
      <w:r>
        <w:rPr>
          <w:b/>
        </w:rPr>
        <w:t xml:space="preserve">• </w:t>
      </w:r>
      <w:r>
        <w:t>Model training and large embedding batch.</w:t>
      </w:r>
    </w:p>
    <w:p>
      <w:pPr>
        <w:pStyle w:val="ListBody"/>
        <w:ind w:left="490" w:hanging="331"/>
      </w:pPr>
      <w:r>
        <w:rPr>
          <w:b/>
        </w:rPr>
        <w:t xml:space="preserve">• </w:t>
      </w:r>
      <w:r>
        <w:t>Database backup and large Parquet compaction.</w:t>
      </w:r>
    </w:p>
    <w:p>
      <w:pPr>
        <w:pStyle w:val="ListBody"/>
        <w:ind w:left="490" w:hanging="331"/>
      </w:pPr>
      <w:r>
        <w:rPr>
          <w:b/>
        </w:rPr>
        <w:t xml:space="preserve">• </w:t>
      </w:r>
      <w:r>
        <w:t>Execution-critical monitoring and stress backtest.</w:t>
      </w:r>
    </w:p>
    <w:p>
      <w:pPr>
        <w:spacing w:after="0"/>
      </w:pPr>
      <w:r/>
    </w:p>
    <w:p>
      <w:pPr>
        <w:pStyle w:val="Heading1"/>
        <w:pBdr>
          <w:bottom w:val="single" w:sz="4" w:space="5" w:color="7A9AAA"/>
        </w:pBdr>
        <w:keepNext/>
      </w:pPr>
      <w:r>
        <w:t>111. Daily processing schedule</w:t>
      </w:r>
    </w:p>
    <w:p>
      <w:pPr>
        <w:pStyle w:val="Heading2"/>
        <w:keepNext/>
      </w:pPr>
      <w:r>
        <w:t>Before market</w:t>
      </w:r>
    </w:p>
    <w:p>
      <w:pPr>
        <w:pStyle w:val="ListBody"/>
        <w:ind w:left="490" w:hanging="331"/>
      </w:pPr>
      <w:r>
        <w:rPr>
          <w:b/>
        </w:rPr>
        <w:t xml:space="preserve">• </w:t>
      </w:r>
      <w:r>
        <w:t>Refresh instrument masters.</w:t>
      </w:r>
    </w:p>
    <w:p>
      <w:pPr>
        <w:pStyle w:val="ListBody"/>
        <w:ind w:left="490" w:hanging="331"/>
      </w:pPr>
      <w:r>
        <w:rPr>
          <w:b/>
        </w:rPr>
        <w:t xml:space="preserve">• </w:t>
      </w:r>
      <w:r>
        <w:t>Validate broker sessions.</w:t>
      </w:r>
    </w:p>
    <w:p>
      <w:pPr>
        <w:pStyle w:val="ListBody"/>
        <w:ind w:left="490" w:hanging="331"/>
      </w:pPr>
      <w:r>
        <w:rPr>
          <w:b/>
        </w:rPr>
        <w:t xml:space="preserve">• </w:t>
      </w:r>
      <w:r>
        <w:t>Reconcile security mappings.</w:t>
      </w:r>
    </w:p>
    <w:p>
      <w:pPr>
        <w:pStyle w:val="ListBody"/>
        <w:ind w:left="490" w:hanging="331"/>
      </w:pPr>
      <w:r>
        <w:rPr>
          <w:b/>
        </w:rPr>
        <w:t xml:space="preserve">• </w:t>
      </w:r>
      <w:r>
        <w:t>Process prior-day filings.</w:t>
      </w:r>
    </w:p>
    <w:p>
      <w:pPr>
        <w:pStyle w:val="ListBody"/>
        <w:ind w:left="490" w:hanging="331"/>
      </w:pPr>
      <w:r>
        <w:rPr>
          <w:b/>
        </w:rPr>
        <w:t xml:space="preserve">• </w:t>
      </w:r>
      <w:r>
        <w:t>Process corporate actions.</w:t>
      </w:r>
    </w:p>
    <w:p>
      <w:pPr>
        <w:pStyle w:val="ListBody"/>
        <w:ind w:left="490" w:hanging="331"/>
      </w:pPr>
      <w:r>
        <w:rPr>
          <w:b/>
        </w:rPr>
        <w:t xml:space="preserve">• </w:t>
      </w:r>
      <w:r>
        <w:t>Reconcile prior-day prices.</w:t>
      </w:r>
    </w:p>
    <w:p>
      <w:pPr>
        <w:pStyle w:val="ListBody"/>
        <w:ind w:left="490" w:hanging="331"/>
      </w:pPr>
      <w:r>
        <w:rPr>
          <w:b/>
        </w:rPr>
        <w:t xml:space="preserve">• </w:t>
      </w:r>
      <w:r>
        <w:t>Build hot universe.</w:t>
      </w:r>
    </w:p>
    <w:p>
      <w:pPr>
        <w:pStyle w:val="ListBody"/>
        <w:ind w:left="490" w:hanging="331"/>
      </w:pPr>
      <w:r>
        <w:rPr>
          <w:b/>
        </w:rPr>
        <w:t xml:space="preserve">• </w:t>
      </w:r>
      <w:r>
        <w:t>Publish pre-market dashboard.</w:t>
      </w:r>
    </w:p>
    <w:p>
      <w:pPr>
        <w:pStyle w:val="Heading2"/>
        <w:keepNext/>
      </w:pPr>
      <w:r>
        <w:t>During market</w:t>
      </w:r>
    </w:p>
    <w:p>
      <w:pPr>
        <w:pStyle w:val="ListBody"/>
        <w:ind w:left="490" w:hanging="331"/>
      </w:pPr>
      <w:r>
        <w:rPr>
          <w:b/>
        </w:rPr>
        <w:t xml:space="preserve">• </w:t>
      </w:r>
      <w:r>
        <w:t>Stream hot-universe quotes.</w:t>
      </w:r>
    </w:p>
    <w:p>
      <w:pPr>
        <w:pStyle w:val="ListBody"/>
        <w:ind w:left="490" w:hanging="331"/>
      </w:pPr>
      <w:r>
        <w:rPr>
          <w:b/>
        </w:rPr>
        <w:t xml:space="preserve">• </w:t>
      </w:r>
      <w:r>
        <w:t>Monitor positions.</w:t>
      </w:r>
    </w:p>
    <w:p>
      <w:pPr>
        <w:pStyle w:val="ListBody"/>
        <w:ind w:left="490" w:hanging="331"/>
      </w:pPr>
      <w:r>
        <w:rPr>
          <w:b/>
        </w:rPr>
        <w:t xml:space="preserve">• </w:t>
      </w:r>
      <w:r>
        <w:t>Monitor stops.</w:t>
      </w:r>
    </w:p>
    <w:p>
      <w:pPr>
        <w:pStyle w:val="ListBody"/>
        <w:ind w:left="490" w:hanging="331"/>
      </w:pPr>
      <w:r>
        <w:rPr>
          <w:b/>
        </w:rPr>
        <w:t xml:space="preserve">• </w:t>
      </w:r>
      <w:r>
        <w:t>Monitor order fills.</w:t>
      </w:r>
    </w:p>
    <w:p>
      <w:pPr>
        <w:pStyle w:val="ListBody"/>
        <w:ind w:left="490" w:hanging="331"/>
      </w:pPr>
      <w:r>
        <w:rPr>
          <w:b/>
        </w:rPr>
        <w:t xml:space="preserve">• </w:t>
      </w:r>
      <w:r>
        <w:t>Monitor broker health.</w:t>
      </w:r>
    </w:p>
    <w:p>
      <w:pPr>
        <w:pStyle w:val="ListBody"/>
        <w:ind w:left="490" w:hanging="331"/>
      </w:pPr>
      <w:r>
        <w:rPr>
          <w:b/>
        </w:rPr>
        <w:t xml:space="preserve">• </w:t>
      </w:r>
      <w:r>
        <w:t>Display developing signal previews.</w:t>
      </w:r>
    </w:p>
    <w:p>
      <w:pPr>
        <w:pStyle w:val="ListBody"/>
        <w:ind w:left="490" w:hanging="331"/>
      </w:pPr>
      <w:r>
        <w:rPr>
          <w:b/>
        </w:rPr>
        <w:t xml:space="preserve">• </w:t>
      </w:r>
      <w:r>
        <w:t>Pause heavy backtests.</w:t>
      </w:r>
    </w:p>
    <w:p>
      <w:pPr>
        <w:pStyle w:val="ListBody"/>
        <w:ind w:left="490" w:hanging="331"/>
      </w:pPr>
      <w:r>
        <w:rPr>
          <w:b/>
        </w:rPr>
        <w:t xml:space="preserve">• </w:t>
      </w:r>
      <w:r>
        <w:t>Pause bulk document processing.</w:t>
      </w:r>
    </w:p>
    <w:p>
      <w:pPr>
        <w:pStyle w:val="Heading2"/>
        <w:keepNext/>
      </w:pPr>
      <w:r>
        <w:t>After market</w:t>
      </w:r>
    </w:p>
    <w:p>
      <w:pPr>
        <w:pStyle w:val="ListBody"/>
        <w:ind w:left="490" w:hanging="331"/>
      </w:pPr>
      <w:r>
        <w:rPr>
          <w:b/>
        </w:rPr>
        <w:t xml:space="preserve">1. </w:t>
      </w:r>
      <w:r>
        <w:t>Reconcile final prices.</w:t>
      </w:r>
    </w:p>
    <w:p>
      <w:pPr>
        <w:pStyle w:val="ListBody"/>
        <w:ind w:left="490" w:hanging="331"/>
      </w:pPr>
      <w:r>
        <w:rPr>
          <w:b/>
        </w:rPr>
        <w:t xml:space="preserve">2. </w:t>
      </w:r>
      <w:r>
        <w:t>Validate missing bars.</w:t>
      </w:r>
    </w:p>
    <w:p>
      <w:pPr>
        <w:pStyle w:val="ListBody"/>
        <w:ind w:left="490" w:hanging="331"/>
      </w:pPr>
      <w:r>
        <w:rPr>
          <w:b/>
        </w:rPr>
        <w:t xml:space="preserve">3. </w:t>
      </w:r>
      <w:r>
        <w:t>Store canonical daily data.</w:t>
      </w:r>
    </w:p>
    <w:p>
      <w:pPr>
        <w:pStyle w:val="ListBody"/>
        <w:ind w:left="490" w:hanging="331"/>
      </w:pPr>
      <w:r>
        <w:rPr>
          <w:b/>
        </w:rPr>
        <w:t xml:space="preserve">4. </w:t>
      </w:r>
      <w:r>
        <w:t>Recalculate daily features.</w:t>
      </w:r>
    </w:p>
    <w:p>
      <w:pPr>
        <w:pStyle w:val="ListBody"/>
        <w:ind w:left="490" w:hanging="331"/>
      </w:pPr>
      <w:r>
        <w:rPr>
          <w:b/>
        </w:rPr>
        <w:t xml:space="preserve">5. </w:t>
      </w:r>
      <w:r>
        <w:t>Generate confirmed daily signals.</w:t>
      </w:r>
    </w:p>
    <w:p>
      <w:pPr>
        <w:pStyle w:val="ListBody"/>
        <w:ind w:left="490" w:hanging="331"/>
      </w:pPr>
      <w:r>
        <w:rPr>
          <w:b/>
        </w:rPr>
        <w:t xml:space="preserve">6. </w:t>
      </w:r>
      <w:r>
        <w:t>Update rankings.</w:t>
      </w:r>
    </w:p>
    <w:p>
      <w:pPr>
        <w:pStyle w:val="ListBody"/>
        <w:ind w:left="490" w:hanging="331"/>
      </w:pPr>
      <w:r>
        <w:rPr>
          <w:b/>
        </w:rPr>
        <w:t xml:space="preserve">7. </w:t>
      </w:r>
      <w:r>
        <w:t>Aggregate weekly and monthly bars.</w:t>
      </w:r>
    </w:p>
    <w:p>
      <w:pPr>
        <w:pStyle w:val="ListBody"/>
        <w:ind w:left="490" w:hanging="331"/>
      </w:pPr>
      <w:r>
        <w:rPr>
          <w:b/>
        </w:rPr>
        <w:t xml:space="preserve">8. </w:t>
      </w:r>
      <w:r>
        <w:t>Confirm weekly or monthly signals when periods complete.</w:t>
      </w:r>
    </w:p>
    <w:p>
      <w:pPr>
        <w:pStyle w:val="ListBody"/>
        <w:ind w:left="490" w:hanging="331"/>
      </w:pPr>
      <w:r>
        <w:rPr>
          <w:b/>
        </w:rPr>
        <w:t xml:space="preserve">9. </w:t>
      </w:r>
      <w:r>
        <w:t>Update dashboard.</w:t>
      </w:r>
    </w:p>
    <w:p>
      <w:pPr>
        <w:pStyle w:val="ListBody"/>
        <w:ind w:left="490" w:hanging="331"/>
      </w:pPr>
      <w:r>
        <w:rPr>
          <w:b/>
        </w:rPr>
        <w:t xml:space="preserve">10. </w:t>
      </w:r>
      <w:r>
        <w:t>Generate alerts.</w:t>
      </w:r>
    </w:p>
    <w:p>
      <w:pPr>
        <w:pStyle w:val="ListBody"/>
        <w:ind w:left="490" w:hanging="331"/>
      </w:pPr>
      <w:r>
        <w:rPr>
          <w:b/>
        </w:rPr>
        <w:t xml:space="preserve">11. </w:t>
      </w:r>
      <w:r>
        <w:t>Start background document processing.</w:t>
      </w:r>
    </w:p>
    <w:p>
      <w:pPr>
        <w:pStyle w:val="Heading2"/>
        <w:keepNext/>
      </w:pPr>
      <w:r>
        <w:t>Quarterly</w:t>
      </w:r>
    </w:p>
    <w:p>
      <w:pPr>
        <w:pStyle w:val="ListBody"/>
        <w:ind w:left="490" w:hanging="331"/>
      </w:pPr>
      <w:r>
        <w:rPr>
          <w:b/>
        </w:rPr>
        <w:t xml:space="preserve">• </w:t>
      </w:r>
      <w:r>
        <w:t>Process financial results.</w:t>
      </w:r>
    </w:p>
    <w:p>
      <w:pPr>
        <w:pStyle w:val="ListBody"/>
        <w:ind w:left="490" w:hanging="331"/>
      </w:pPr>
      <w:r>
        <w:rPr>
          <w:b/>
        </w:rPr>
        <w:t xml:space="preserve">• </w:t>
      </w:r>
      <w:r>
        <w:t>Recalculate TTM.</w:t>
      </w:r>
    </w:p>
    <w:p>
      <w:pPr>
        <w:pStyle w:val="ListBody"/>
        <w:ind w:left="490" w:hanging="331"/>
      </w:pPr>
      <w:r>
        <w:rPr>
          <w:b/>
        </w:rPr>
        <w:t xml:space="preserve">• </w:t>
      </w:r>
      <w:r>
        <w:t>Update Candidate Scores.</w:t>
      </w:r>
    </w:p>
    <w:p>
      <w:pPr>
        <w:pStyle w:val="ListBody"/>
        <w:ind w:left="490" w:hanging="331"/>
      </w:pPr>
      <w:r>
        <w:rPr>
          <w:b/>
        </w:rPr>
        <w:t xml:space="preserve">• </w:t>
      </w:r>
      <w:r>
        <w:t>Refresh medium-term signals.</w:t>
      </w:r>
    </w:p>
    <w:p>
      <w:pPr>
        <w:pStyle w:val="ListBody"/>
        <w:ind w:left="490" w:hanging="331"/>
      </w:pPr>
      <w:r>
        <w:rPr>
          <w:b/>
        </w:rPr>
        <w:t xml:space="preserve">• </w:t>
      </w:r>
      <w:r>
        <w:t>Refresh valuations.</w:t>
      </w:r>
    </w:p>
    <w:p>
      <w:pPr>
        <w:pStyle w:val="ListBody"/>
        <w:ind w:left="490" w:hanging="331"/>
      </w:pPr>
      <w:r>
        <w:rPr>
          <w:b/>
        </w:rPr>
        <w:t xml:space="preserve">• </w:t>
      </w:r>
      <w:r>
        <w:t>Trigger research updates.</w:t>
      </w:r>
    </w:p>
    <w:p>
      <w:pPr>
        <w:pStyle w:val="Heading2"/>
        <w:keepNext/>
      </w:pPr>
      <w:r>
        <w:t>Annually</w:t>
      </w:r>
    </w:p>
    <w:p>
      <w:pPr>
        <w:pStyle w:val="ListBody"/>
        <w:ind w:left="490" w:hanging="331"/>
      </w:pPr>
      <w:r>
        <w:rPr>
          <w:b/>
        </w:rPr>
        <w:t xml:space="preserve">• </w:t>
      </w:r>
      <w:r>
        <w:t>Process annual reports.</w:t>
      </w:r>
    </w:p>
    <w:p>
      <w:pPr>
        <w:pStyle w:val="ListBody"/>
        <w:ind w:left="490" w:hanging="331"/>
      </w:pPr>
      <w:r>
        <w:rPr>
          <w:b/>
        </w:rPr>
        <w:t xml:space="preserve">• </w:t>
      </w:r>
      <w:r>
        <w:t>Review moat.</w:t>
      </w:r>
    </w:p>
    <w:p>
      <w:pPr>
        <w:pStyle w:val="ListBody"/>
        <w:ind w:left="490" w:hanging="331"/>
      </w:pPr>
      <w:r>
        <w:rPr>
          <w:b/>
        </w:rPr>
        <w:t xml:space="preserve">• </w:t>
      </w:r>
      <w:r>
        <w:t>Review governance.</w:t>
      </w:r>
    </w:p>
    <w:p>
      <w:pPr>
        <w:pStyle w:val="ListBody"/>
        <w:ind w:left="490" w:hanging="331"/>
      </w:pPr>
      <w:r>
        <w:rPr>
          <w:b/>
        </w:rPr>
        <w:t xml:space="preserve">• </w:t>
      </w:r>
      <w:r>
        <w:t>Review capital allocation.</w:t>
      </w:r>
    </w:p>
    <w:p>
      <w:pPr>
        <w:pStyle w:val="ListBody"/>
        <w:ind w:left="490" w:hanging="331"/>
      </w:pPr>
      <w:r>
        <w:rPr>
          <w:b/>
        </w:rPr>
        <w:t xml:space="preserve">• </w:t>
      </w:r>
      <w:r>
        <w:t>Rebuild forecasts.</w:t>
      </w:r>
    </w:p>
    <w:p>
      <w:pPr>
        <w:pStyle w:val="ListBody"/>
        <w:ind w:left="490" w:hanging="331"/>
      </w:pPr>
      <w:r>
        <w:rPr>
          <w:b/>
        </w:rPr>
        <w:t xml:space="preserve">• </w:t>
      </w:r>
      <w:r>
        <w:t>Rebuild long-term valuation.</w:t>
      </w:r>
    </w:p>
    <w:p>
      <w:pPr>
        <w:pStyle w:val="ListBody"/>
        <w:ind w:left="490" w:hanging="331"/>
      </w:pPr>
      <w:r>
        <w:rPr>
          <w:b/>
        </w:rPr>
        <w:t xml:space="preserve">• </w:t>
      </w:r>
      <w:r>
        <w:t>Renew thesis approval.</w:t>
      </w:r>
    </w:p>
    <w:p>
      <w:pPr>
        <w:spacing w:after="0"/>
      </w:pPr>
      <w:r/>
    </w:p>
    <w:p>
      <w:pPr>
        <w:pStyle w:val="Heading1"/>
        <w:pBdr>
          <w:bottom w:val="single" w:sz="4" w:space="5" w:color="7A9AAA"/>
        </w:pBdr>
        <w:keepNext/>
      </w:pPr>
      <w:r>
        <w:t>112. Security and access control</w:t>
      </w:r>
    </w:p>
    <w:p>
      <w:pPr/>
      <w:r>
        <w:t>Roles:</w:t>
      </w:r>
    </w:p>
    <w:p>
      <w:pPr>
        <w:pStyle w:val="ListBody"/>
        <w:ind w:left="490" w:hanging="331"/>
      </w:pPr>
      <w:r>
        <w:rPr>
          <w:b/>
        </w:rPr>
        <w:t xml:space="preserve">• </w:t>
      </w:r>
      <w:r>
        <w:t>Viewer.</w:t>
      </w:r>
    </w:p>
    <w:p>
      <w:pPr>
        <w:pStyle w:val="ListBody"/>
        <w:ind w:left="490" w:hanging="331"/>
      </w:pPr>
      <w:r>
        <w:rPr>
          <w:b/>
        </w:rPr>
        <w:t xml:space="preserve">• </w:t>
      </w:r>
      <w:r>
        <w:t>Research Analyst.</w:t>
      </w:r>
    </w:p>
    <w:p>
      <w:pPr>
        <w:pStyle w:val="ListBody"/>
        <w:ind w:left="490" w:hanging="331"/>
      </w:pPr>
      <w:r>
        <w:rPr>
          <w:b/>
        </w:rPr>
        <w:t xml:space="preserve">• </w:t>
      </w:r>
      <w:r>
        <w:t>Portfolio Manager.</w:t>
      </w:r>
    </w:p>
    <w:p>
      <w:pPr>
        <w:pStyle w:val="ListBody"/>
        <w:ind w:left="490" w:hanging="331"/>
      </w:pPr>
      <w:r>
        <w:rPr>
          <w:b/>
        </w:rPr>
        <w:t xml:space="preserve">• </w:t>
      </w:r>
      <w:r>
        <w:t>Trader.</w:t>
      </w:r>
    </w:p>
    <w:p>
      <w:pPr>
        <w:pStyle w:val="ListBody"/>
        <w:ind w:left="490" w:hanging="331"/>
      </w:pPr>
      <w:r>
        <w:rPr>
          <w:b/>
        </w:rPr>
        <w:t xml:space="preserve">• </w:t>
      </w:r>
      <w:r>
        <w:t>System Administrator.</w:t>
      </w:r>
    </w:p>
    <w:p>
      <w:pPr>
        <w:pStyle w:val="ListBody"/>
        <w:ind w:left="490" w:hanging="331"/>
      </w:pPr>
      <w:r>
        <w:rPr>
          <w:b/>
        </w:rPr>
        <w:t xml:space="preserve">• </w:t>
      </w:r>
      <w:r>
        <w:t>Compliance Reviewer.</w:t>
      </w:r>
    </w:p>
    <w:p>
      <w:pPr/>
      <w:r>
        <w:t>Controls:</w:t>
      </w:r>
    </w:p>
    <w:p>
      <w:pPr>
        <w:pStyle w:val="ListBody"/>
        <w:ind w:left="490" w:hanging="331"/>
      </w:pPr>
      <w:r>
        <w:rPr>
          <w:b/>
        </w:rPr>
        <w:t xml:space="preserve">• </w:t>
      </w:r>
      <w:r>
        <w:t>Encrypt API credentials.</w:t>
      </w:r>
    </w:p>
    <w:p>
      <w:pPr>
        <w:pStyle w:val="ListBody"/>
        <w:ind w:left="490" w:hanging="331"/>
      </w:pPr>
      <w:r>
        <w:rPr>
          <w:b/>
        </w:rPr>
        <w:t xml:space="preserve">• </w:t>
      </w:r>
      <w:r>
        <w:t>Use a secrets manager.</w:t>
      </w:r>
    </w:p>
    <w:p>
      <w:pPr>
        <w:pStyle w:val="ListBody"/>
        <w:ind w:left="490" w:hanging="331"/>
      </w:pPr>
      <w:r>
        <w:rPr>
          <w:b/>
        </w:rPr>
        <w:t xml:space="preserve">• </w:t>
      </w:r>
      <w:r>
        <w:t>Separate development and production.</w:t>
      </w:r>
    </w:p>
    <w:p>
      <w:pPr>
        <w:pStyle w:val="ListBody"/>
        <w:ind w:left="490" w:hanging="331"/>
      </w:pPr>
      <w:r>
        <w:rPr>
          <w:b/>
        </w:rPr>
        <w:t xml:space="preserve">• </w:t>
      </w:r>
      <w:r>
        <w:t>Rotate credentials.</w:t>
      </w:r>
    </w:p>
    <w:p>
      <w:pPr>
        <w:pStyle w:val="ListBody"/>
        <w:ind w:left="490" w:hanging="331"/>
      </w:pPr>
      <w:r>
        <w:rPr>
          <w:b/>
        </w:rPr>
        <w:t xml:space="preserve">• </w:t>
      </w:r>
      <w:r>
        <w:t>Restrict broker permissions.</w:t>
      </w:r>
    </w:p>
    <w:p>
      <w:pPr>
        <w:pStyle w:val="ListBody"/>
        <w:ind w:left="490" w:hanging="331"/>
      </w:pPr>
      <w:r>
        <w:rPr>
          <w:b/>
        </w:rPr>
        <w:t xml:space="preserve">• </w:t>
      </w:r>
      <w:r>
        <w:t>Maintain immutable audit logs.</w:t>
      </w:r>
    </w:p>
    <w:p>
      <w:pPr>
        <w:pStyle w:val="ListBody"/>
        <w:ind w:left="490" w:hanging="331"/>
      </w:pPr>
      <w:r>
        <w:rPr>
          <w:b/>
        </w:rPr>
        <w:t xml:space="preserve">• </w:t>
      </w:r>
      <w:r>
        <w:t>Require privileged access for execution and kill switch.</w:t>
      </w:r>
    </w:p>
    <w:p>
      <w:pPr>
        <w:pStyle w:val="ListBody"/>
        <w:ind w:left="490" w:hanging="331"/>
      </w:pPr>
      <w:r>
        <w:rPr>
          <w:b/>
        </w:rPr>
        <w:t xml:space="preserve">• </w:t>
      </w:r>
      <w:r>
        <w:t>Log token expiry but never store tokens in logs.</w:t>
      </w:r>
    </w:p>
    <w:p>
      <w:pPr>
        <w:spacing w:after="0"/>
      </w:pPr>
      <w:r/>
    </w:p>
    <w:p>
      <w:pPr>
        <w:pStyle w:val="Heading1"/>
        <w:pBdr>
          <w:bottom w:val="single" w:sz="4" w:space="5" w:color="7A9AAA"/>
        </w:pBdr>
        <w:keepNext/>
      </w:pPr>
      <w:r>
        <w:t>113. Model registry</w:t>
      </w:r>
    </w:p>
    <w:p>
      <w:pPr/>
      <w:r>
        <w:t>model_id</w:t>
        <w:br/>
        <w:t>model_version</w:t>
        <w:br/>
        <w:t>feature_versions</w:t>
        <w:br/>
        <w:t>weights</w:t>
        <w:br/>
        <w:t>hard_gate_version</w:t>
        <w:br/>
        <w:t>sector_model_version</w:t>
        <w:br/>
        <w:t>training_period</w:t>
        <w:br/>
        <w:t>validation_period</w:t>
        <w:br/>
        <w:t>test_period</w:t>
        <w:br/>
        <w:t>approval_status</w:t>
        <w:br/>
        <w:t>deployment_date</w:t>
        <w:br/>
        <w:t>retirement_date</w:t>
        <w:br/>
        <w:t>rollback_version</w:t>
      </w:r>
    </w:p>
    <w:p>
      <w:pPr/>
      <w:r>
        <w:t>Any change to:</w:t>
      </w:r>
    </w:p>
    <w:p>
      <w:pPr>
        <w:pStyle w:val="ListBody"/>
        <w:ind w:left="490" w:hanging="331"/>
      </w:pPr>
      <w:r>
        <w:rPr>
          <w:b/>
        </w:rPr>
        <w:t xml:space="preserve">• </w:t>
      </w:r>
      <w:r>
        <w:t>Formula.</w:t>
      </w:r>
    </w:p>
    <w:p>
      <w:pPr>
        <w:pStyle w:val="ListBody"/>
        <w:ind w:left="490" w:hanging="331"/>
      </w:pPr>
      <w:r>
        <w:rPr>
          <w:b/>
        </w:rPr>
        <w:t xml:space="preserve">• </w:t>
      </w:r>
      <w:r>
        <w:t>Weight.</w:t>
      </w:r>
    </w:p>
    <w:p>
      <w:pPr>
        <w:pStyle w:val="ListBody"/>
        <w:ind w:left="490" w:hanging="331"/>
      </w:pPr>
      <w:r>
        <w:rPr>
          <w:b/>
        </w:rPr>
        <w:t xml:space="preserve">• </w:t>
      </w:r>
      <w:r>
        <w:t>Missing-data rule.</w:t>
      </w:r>
    </w:p>
    <w:p>
      <w:pPr>
        <w:pStyle w:val="ListBody"/>
        <w:ind w:left="490" w:hanging="331"/>
      </w:pPr>
      <w:r>
        <w:rPr>
          <w:b/>
        </w:rPr>
        <w:t xml:space="preserve">• </w:t>
      </w:r>
      <w:r>
        <w:t>Outlier rule.</w:t>
      </w:r>
    </w:p>
    <w:p>
      <w:pPr>
        <w:pStyle w:val="ListBody"/>
        <w:ind w:left="490" w:hanging="331"/>
      </w:pPr>
      <w:r>
        <w:rPr>
          <w:b/>
        </w:rPr>
        <w:t xml:space="preserve">• </w:t>
      </w:r>
      <w:r>
        <w:t>Hard gate.</w:t>
      </w:r>
    </w:p>
    <w:p>
      <w:pPr>
        <w:pStyle w:val="ListBody"/>
        <w:ind w:left="490" w:hanging="331"/>
      </w:pPr>
      <w:r>
        <w:rPr>
          <w:b/>
        </w:rPr>
        <w:t xml:space="preserve">• </w:t>
      </w:r>
      <w:r>
        <w:t>Sector mapping.</w:t>
      </w:r>
    </w:p>
    <w:p>
      <w:pPr>
        <w:pStyle w:val="ListBody"/>
        <w:ind w:left="490" w:hanging="331"/>
      </w:pPr>
      <w:r>
        <w:rPr>
          <w:b/>
        </w:rPr>
        <w:t xml:space="preserve">• </w:t>
      </w:r>
      <w:r>
        <w:t>Valuation method.</w:t>
      </w:r>
    </w:p>
    <w:p>
      <w:pPr>
        <w:pStyle w:val="ListBody"/>
        <w:ind w:left="490" w:hanging="331"/>
      </w:pPr>
      <w:r>
        <w:rPr>
          <w:b/>
        </w:rPr>
        <w:t xml:space="preserve">• </w:t>
      </w:r>
      <w:r>
        <w:t>Signal threshold.</w:t>
      </w:r>
    </w:p>
    <w:p>
      <w:pPr/>
      <w:r>
        <w:t>must create a new model version.</w:t>
      </w:r>
    </w:p>
    <w:p>
      <w:pPr/>
      <w:r>
        <w:t>Required process:</w:t>
      </w:r>
    </w:p>
    <w:p>
      <w:pPr>
        <w:pStyle w:val="ListBody"/>
        <w:ind w:left="490" w:hanging="331"/>
      </w:pPr>
      <w:r>
        <w:rPr>
          <w:b/>
        </w:rPr>
        <w:t xml:space="preserve">1. </w:t>
      </w:r>
      <w:r>
        <w:t>Regression test.</w:t>
      </w:r>
    </w:p>
    <w:p>
      <w:pPr>
        <w:pStyle w:val="ListBody"/>
        <w:ind w:left="490" w:hanging="331"/>
      </w:pPr>
      <w:r>
        <w:rPr>
          <w:b/>
        </w:rPr>
        <w:t xml:space="preserve">2. </w:t>
      </w:r>
      <w:r>
        <w:t>Historical comparison.</w:t>
      </w:r>
    </w:p>
    <w:p>
      <w:pPr>
        <w:pStyle w:val="ListBody"/>
        <w:ind w:left="490" w:hanging="331"/>
      </w:pPr>
      <w:r>
        <w:rPr>
          <w:b/>
        </w:rPr>
        <w:t xml:space="preserve">3. </w:t>
      </w:r>
      <w:r>
        <w:t>Shadow test.</w:t>
      </w:r>
    </w:p>
    <w:p>
      <w:pPr>
        <w:pStyle w:val="ListBody"/>
        <w:ind w:left="490" w:hanging="331"/>
      </w:pPr>
      <w:r>
        <w:rPr>
          <w:b/>
        </w:rPr>
        <w:t xml:space="preserve">4. </w:t>
      </w:r>
      <w:r>
        <w:t>Approval.</w:t>
      </w:r>
    </w:p>
    <w:p>
      <w:pPr>
        <w:pStyle w:val="ListBody"/>
        <w:ind w:left="490" w:hanging="331"/>
      </w:pPr>
      <w:r>
        <w:rPr>
          <w:b/>
        </w:rPr>
        <w:t xml:space="preserve">5. </w:t>
      </w:r>
      <w:r>
        <w:t>Deployment log.</w:t>
      </w:r>
    </w:p>
    <w:p>
      <w:pPr>
        <w:pStyle w:val="ListBody"/>
        <w:ind w:left="490" w:hanging="331"/>
      </w:pPr>
      <w:r>
        <w:rPr>
          <w:b/>
        </w:rPr>
        <w:t xml:space="preserve">6. </w:t>
      </w:r>
      <w:r>
        <w:t>Rollback capability.</w:t>
      </w:r>
    </w:p>
    <w:p>
      <w:pPr>
        <w:spacing w:after="0"/>
      </w:pPr>
      <w:r/>
    </w:p>
    <w:p>
      <w:pPr>
        <w:pStyle w:val="Heading1"/>
        <w:pBdr>
          <w:bottom w:val="single" w:sz="4" w:space="5" w:color="7A9AAA"/>
        </w:pBdr>
        <w:keepNext/>
      </w:pPr>
      <w:r>
        <w:t>114. Schema and API versioning</w:t>
      </w:r>
    </w:p>
    <w:p>
      <w:pPr>
        <w:pStyle w:val="ListBody"/>
        <w:ind w:left="490" w:hanging="331"/>
      </w:pPr>
      <w:r>
        <w:rPr>
          <w:b/>
        </w:rPr>
        <w:t xml:space="preserve">• </w:t>
      </w:r>
      <w:r>
        <w:t>Database migrations must be version controlled.</w:t>
      </w:r>
    </w:p>
    <w:p>
      <w:pPr>
        <w:pStyle w:val="ListBody"/>
        <w:ind w:left="490" w:hanging="331"/>
      </w:pPr>
      <w:r>
        <w:rPr>
          <w:b/>
        </w:rPr>
        <w:t xml:space="preserve">• </w:t>
      </w:r>
      <w:r>
        <w:t>API endpoints must use version prefixes.</w:t>
      </w:r>
    </w:p>
    <w:p>
      <w:pPr>
        <w:pStyle w:val="ListBody"/>
        <w:ind w:left="490" w:hanging="331"/>
      </w:pPr>
      <w:r>
        <w:rPr>
          <w:b/>
        </w:rPr>
        <w:t xml:space="preserve">• </w:t>
      </w:r>
      <w:r>
        <w:t>Snapshots must store exact feature and model versions.</w:t>
      </w:r>
    </w:p>
    <w:p>
      <w:pPr>
        <w:pStyle w:val="ListBody"/>
        <w:ind w:left="490" w:hanging="331"/>
      </w:pPr>
      <w:r>
        <w:rPr>
          <w:b/>
        </w:rPr>
        <w:t xml:space="preserve">• </w:t>
      </w:r>
      <w:r>
        <w:t>Breaking changes require migration and rollback plans.</w:t>
      </w:r>
    </w:p>
    <w:p>
      <w:pPr>
        <w:pStyle w:val="ListBody"/>
        <w:ind w:left="490" w:hanging="331"/>
      </w:pPr>
      <w:r>
        <w:rPr>
          <w:b/>
        </w:rPr>
        <w:t xml:space="preserve">• </w:t>
      </w:r>
      <w:r>
        <w:t>Old audit records must remain readable.</w:t>
      </w:r>
    </w:p>
    <w:p>
      <w:pPr>
        <w:spacing w:after="0"/>
      </w:pPr>
      <w:r/>
    </w:p>
    <w:p>
      <w:pPr>
        <w:pStyle w:val="Heading1"/>
        <w:pBdr>
          <w:bottom w:val="single" w:sz="4" w:space="5" w:color="7A9AAA"/>
        </w:pBdr>
        <w:keepNext/>
      </w:pPr>
      <w:r>
        <w:t>115. Backup and disaster recovery</w:t>
      </w:r>
    </w:p>
    <w:p>
      <w:pPr>
        <w:pStyle w:val="Heading2"/>
        <w:keepNext/>
      </w:pPr>
      <w:r>
        <w:t>Backups</w:t>
      </w:r>
    </w:p>
    <w:p>
      <w:pPr>
        <w:pStyle w:val="ListBody"/>
        <w:ind w:left="490" w:hanging="331"/>
      </w:pPr>
      <w:r>
        <w:rPr>
          <w:b/>
        </w:rPr>
        <w:t xml:space="preserve">• </w:t>
      </w:r>
      <w:r>
        <w:t>Nightly logical database backup.</w:t>
      </w:r>
    </w:p>
    <w:p>
      <w:pPr>
        <w:pStyle w:val="ListBody"/>
        <w:ind w:left="490" w:hanging="331"/>
      </w:pPr>
      <w:r>
        <w:rPr>
          <w:b/>
        </w:rPr>
        <w:t xml:space="preserve">• </w:t>
      </w:r>
      <w:r>
        <w:t>Weekly full backup.</w:t>
      </w:r>
    </w:p>
    <w:p>
      <w:pPr>
        <w:pStyle w:val="ListBody"/>
        <w:ind w:left="490" w:hanging="331"/>
      </w:pPr>
      <w:r>
        <w:rPr>
          <w:b/>
        </w:rPr>
        <w:t xml:space="preserve">• </w:t>
      </w:r>
      <w:r>
        <w:t>Daily configuration backup.</w:t>
      </w:r>
    </w:p>
    <w:p>
      <w:pPr>
        <w:pStyle w:val="ListBody"/>
        <w:ind w:left="490" w:hanging="331"/>
      </w:pPr>
      <w:r>
        <w:rPr>
          <w:b/>
        </w:rPr>
        <w:t xml:space="preserve">• </w:t>
      </w:r>
      <w:r>
        <w:t>Model registry backup.</w:t>
      </w:r>
    </w:p>
    <w:p>
      <w:pPr>
        <w:pStyle w:val="ListBody"/>
        <w:ind w:left="490" w:hanging="331"/>
      </w:pPr>
      <w:r>
        <w:rPr>
          <w:b/>
        </w:rPr>
        <w:t xml:space="preserve">• </w:t>
      </w:r>
      <w:r>
        <w:t>Signal and portfolio audit backup.</w:t>
      </w:r>
    </w:p>
    <w:p>
      <w:pPr>
        <w:pStyle w:val="ListBody"/>
        <w:ind w:left="490" w:hanging="331"/>
      </w:pPr>
      <w:r>
        <w:rPr>
          <w:b/>
        </w:rPr>
        <w:t xml:space="preserve">• </w:t>
      </w:r>
      <w:r>
        <w:t>External encrypted backup.</w:t>
      </w:r>
    </w:p>
    <w:p>
      <w:pPr/>
      <w:r>
        <w:t>Suggested retention:</w:t>
      </w:r>
    </w:p>
    <w:p>
      <w:pPr>
        <w:pStyle w:val="ListBody"/>
        <w:ind w:left="490" w:hanging="331"/>
      </w:pPr>
      <w:r>
        <w:rPr>
          <w:b/>
        </w:rPr>
        <w:t xml:space="preserve">• </w:t>
      </w:r>
      <w:r>
        <w:t>Daily: 7.</w:t>
      </w:r>
    </w:p>
    <w:p>
      <w:pPr>
        <w:pStyle w:val="ListBody"/>
        <w:ind w:left="490" w:hanging="331"/>
      </w:pPr>
      <w:r>
        <w:rPr>
          <w:b/>
        </w:rPr>
        <w:t xml:space="preserve">• </w:t>
      </w:r>
      <w:r>
        <w:t>Weekly: 8.</w:t>
      </w:r>
    </w:p>
    <w:p>
      <w:pPr>
        <w:pStyle w:val="ListBody"/>
        <w:ind w:left="490" w:hanging="331"/>
      </w:pPr>
      <w:r>
        <w:rPr>
          <w:b/>
        </w:rPr>
        <w:t xml:space="preserve">• </w:t>
      </w:r>
      <w:r>
        <w:t>Monthly: 12.</w:t>
      </w:r>
    </w:p>
    <w:p>
      <w:pPr>
        <w:pStyle w:val="ListBody"/>
        <w:ind w:left="490" w:hanging="331"/>
      </w:pPr>
      <w:r>
        <w:rPr>
          <w:b/>
        </w:rPr>
        <w:t xml:space="preserve">• </w:t>
      </w:r>
      <w:r>
        <w:t>Model releases: permanent.</w:t>
      </w:r>
    </w:p>
    <w:p>
      <w:pPr>
        <w:pStyle w:val="ListBody"/>
        <w:ind w:left="490" w:hanging="331"/>
      </w:pPr>
      <w:r>
        <w:rPr>
          <w:b/>
        </w:rPr>
        <w:t xml:space="preserve">• </w:t>
      </w:r>
      <w:r>
        <w:t>Portfolio and execution audits: permanent or required retention.</w:t>
      </w:r>
    </w:p>
    <w:p>
      <w:pPr>
        <w:pStyle w:val="ListBody"/>
        <w:ind w:left="490" w:hanging="331"/>
      </w:pPr>
      <w:r>
        <w:rPr>
          <w:b/>
        </w:rPr>
        <w:t xml:space="preserve">• </w:t>
      </w:r>
      <w:r>
        <w:t>Temporary analytics: delete after validation.</w:t>
      </w:r>
    </w:p>
    <w:p>
      <w:pPr>
        <w:pStyle w:val="Heading2"/>
        <w:keepNext/>
      </w:pPr>
      <w:r>
        <w:t>Recovery</w:t>
      </w:r>
    </w:p>
    <w:p>
      <w:pPr/>
      <w:r>
        <w:t>Suggested objectives:</w:t>
      </w:r>
    </w:p>
    <w:p>
      <w:pPr>
        <w:pStyle w:val="ListBody"/>
        <w:ind w:left="490" w:hanging="331"/>
      </w:pPr>
      <w:r>
        <w:rPr>
          <w:b/>
        </w:rPr>
        <w:t xml:space="preserve">• </w:t>
      </w:r>
      <w:r>
        <w:t>Research-data RPO: up to 24 hours.</w:t>
      </w:r>
    </w:p>
    <w:p>
      <w:pPr>
        <w:pStyle w:val="ListBody"/>
        <w:ind w:left="490" w:hanging="331"/>
      </w:pPr>
      <w:r>
        <w:rPr>
          <w:b/>
        </w:rPr>
        <w:t xml:space="preserve">• </w:t>
      </w:r>
      <w:r>
        <w:t>Portfolio and execution-data RPO: minutes to hours.</w:t>
      </w:r>
    </w:p>
    <w:p>
      <w:pPr>
        <w:pStyle w:val="ListBody"/>
        <w:ind w:left="490" w:hanging="331"/>
      </w:pPr>
      <w:r>
        <w:rPr>
          <w:b/>
        </w:rPr>
        <w:t xml:space="preserve">• </w:t>
      </w:r>
      <w:r>
        <w:t>Local-system RTO: same day.</w:t>
      </w:r>
    </w:p>
    <w:p>
      <w:pPr/>
      <w:r>
        <w:t>A restore test must be performed, not merely a backup creation test.</w:t>
      </w:r>
    </w:p>
    <w:p>
      <w:pPr>
        <w:spacing w:after="0"/>
      </w:pPr>
      <w:r/>
    </w:p>
    <w:p>
      <w:pPr>
        <w:pStyle w:val="Heading1"/>
        <w:pBdr>
          <w:bottom w:val="single" w:sz="4" w:space="5" w:color="7A9AAA"/>
        </w:pBdr>
        <w:keepNext/>
      </w:pPr>
      <w:r>
        <w:t>116. Historical audit reconstruction</w:t>
      </w:r>
    </w:p>
    <w:p>
      <w:pPr/>
      <w:r>
        <w:t>The user must be able to select a historical date and view:</w:t>
      </w:r>
    </w:p>
    <w:p>
      <w:pPr>
        <w:pStyle w:val="ListBody"/>
        <w:ind w:left="490" w:hanging="331"/>
      </w:pPr>
      <w:r>
        <w:rPr>
          <w:b/>
        </w:rPr>
        <w:t xml:space="preserve">• </w:t>
      </w:r>
      <w:r>
        <w:t>Eligible universe.</w:t>
      </w:r>
    </w:p>
    <w:p>
      <w:pPr>
        <w:pStyle w:val="ListBody"/>
        <w:ind w:left="490" w:hanging="331"/>
      </w:pPr>
      <w:r>
        <w:rPr>
          <w:b/>
        </w:rPr>
        <w:t xml:space="preserve">• </w:t>
      </w:r>
      <w:r>
        <w:t>Available filings.</w:t>
      </w:r>
    </w:p>
    <w:p>
      <w:pPr>
        <w:pStyle w:val="ListBody"/>
        <w:ind w:left="490" w:hanging="331"/>
      </w:pPr>
      <w:r>
        <w:rPr>
          <w:b/>
        </w:rPr>
        <w:t xml:space="preserve">• </w:t>
      </w:r>
      <w:r>
        <w:t>Original data versions.</w:t>
      </w:r>
    </w:p>
    <w:p>
      <w:pPr>
        <w:pStyle w:val="ListBody"/>
        <w:ind w:left="490" w:hanging="331"/>
      </w:pPr>
      <w:r>
        <w:rPr>
          <w:b/>
        </w:rPr>
        <w:t xml:space="preserve">• </w:t>
      </w:r>
      <w:r>
        <w:t>Candidate Score.</w:t>
      </w:r>
    </w:p>
    <w:p>
      <w:pPr>
        <w:pStyle w:val="ListBody"/>
        <w:ind w:left="490" w:hanging="331"/>
      </w:pPr>
      <w:r>
        <w:rPr>
          <w:b/>
        </w:rPr>
        <w:t xml:space="preserve">• </w:t>
      </w:r>
      <w:r>
        <w:t>Research Score.</w:t>
      </w:r>
    </w:p>
    <w:p>
      <w:pPr>
        <w:pStyle w:val="ListBody"/>
        <w:ind w:left="490" w:hanging="331"/>
      </w:pPr>
      <w:r>
        <w:rPr>
          <w:b/>
        </w:rPr>
        <w:t xml:space="preserve">• </w:t>
      </w:r>
      <w:r>
        <w:t>Data Confidence.</w:t>
      </w:r>
    </w:p>
    <w:p>
      <w:pPr>
        <w:pStyle w:val="ListBody"/>
        <w:ind w:left="490" w:hanging="331"/>
      </w:pPr>
      <w:r>
        <w:rPr>
          <w:b/>
        </w:rPr>
        <w:t xml:space="preserve">• </w:t>
      </w:r>
      <w:r>
        <w:t>Hard gates.</w:t>
      </w:r>
    </w:p>
    <w:p>
      <w:pPr>
        <w:pStyle w:val="ListBody"/>
        <w:ind w:left="490" w:hanging="331"/>
      </w:pPr>
      <w:r>
        <w:rPr>
          <w:b/>
        </w:rPr>
        <w:t xml:space="preserve">• </w:t>
      </w:r>
      <w:r>
        <w:t>Horizon signals.</w:t>
      </w:r>
    </w:p>
    <w:p>
      <w:pPr>
        <w:pStyle w:val="ListBody"/>
        <w:ind w:left="490" w:hanging="331"/>
      </w:pPr>
      <w:r>
        <w:rPr>
          <w:b/>
        </w:rPr>
        <w:t xml:space="preserve">• </w:t>
      </w:r>
      <w:r>
        <w:t>Portfolio position.</w:t>
      </w:r>
    </w:p>
    <w:p>
      <w:pPr>
        <w:pStyle w:val="ListBody"/>
        <w:ind w:left="490" w:hanging="331"/>
      </w:pPr>
      <w:r>
        <w:rPr>
          <w:b/>
        </w:rPr>
        <w:t xml:space="preserve">• </w:t>
      </w:r>
      <w:r>
        <w:t>Model version.</w:t>
      </w:r>
    </w:p>
    <w:p>
      <w:pPr>
        <w:pStyle w:val="ListBody"/>
        <w:ind w:left="490" w:hanging="331"/>
      </w:pPr>
      <w:r>
        <w:rPr>
          <w:b/>
        </w:rPr>
        <w:t xml:space="preserve">• </w:t>
      </w:r>
      <w:r>
        <w:t>Reason for decision.</w:t>
      </w:r>
    </w:p>
    <w:p>
      <w:pPr>
        <w:pStyle w:val="ListBody"/>
        <w:ind w:left="490" w:hanging="331"/>
      </w:pPr>
      <w:r>
        <w:rPr>
          <w:b/>
        </w:rPr>
        <w:t xml:space="preserve">• </w:t>
      </w:r>
      <w:r>
        <w:t>Subsequent revisions.</w:t>
      </w:r>
    </w:p>
    <w:p>
      <w:pPr/>
      <w:r>
        <w:t>This is required for debugging, compliance, and trust.</w:t>
      </w:r>
    </w:p>
    <w:p>
      <w:pPr>
        <w:spacing w:after="0"/>
      </w:pPr>
      <w:r/>
    </w:p>
    <w:p>
      <w:pPr>
        <w:pStyle w:val="Heading1"/>
        <w:pBdr>
          <w:bottom w:val="single" w:sz="4" w:space="5" w:color="7A9AAA"/>
        </w:pBdr>
        <w:keepNext/>
      </w:pPr>
      <w:r>
        <w:t>117. Testing requirements</w:t>
      </w:r>
    </w:p>
    <w:p>
      <w:pPr>
        <w:pStyle w:val="Heading2"/>
        <w:keepNext/>
      </w:pPr>
      <w:r>
        <w:t>Unit tests</w:t>
      </w:r>
    </w:p>
    <w:p>
      <w:pPr>
        <w:pStyle w:val="ListBody"/>
        <w:ind w:left="490" w:hanging="331"/>
      </w:pPr>
      <w:r>
        <w:rPr>
          <w:b/>
        </w:rPr>
        <w:t xml:space="preserve">• </w:t>
      </w:r>
      <w:r>
        <w:t>Every formula.</w:t>
      </w:r>
    </w:p>
    <w:p>
      <w:pPr>
        <w:pStyle w:val="ListBody"/>
        <w:ind w:left="490" w:hanging="331"/>
      </w:pPr>
      <w:r>
        <w:rPr>
          <w:b/>
        </w:rPr>
        <w:t xml:space="preserve">• </w:t>
      </w:r>
      <w:r>
        <w:t>Every denominator rule.</w:t>
      </w:r>
    </w:p>
    <w:p>
      <w:pPr>
        <w:pStyle w:val="ListBody"/>
        <w:ind w:left="490" w:hanging="331"/>
      </w:pPr>
      <w:r>
        <w:rPr>
          <w:b/>
        </w:rPr>
        <w:t xml:space="preserve">• </w:t>
      </w:r>
      <w:r>
        <w:t>Every missing-data rule.</w:t>
      </w:r>
    </w:p>
    <w:p>
      <w:pPr>
        <w:pStyle w:val="ListBody"/>
        <w:ind w:left="490" w:hanging="331"/>
      </w:pPr>
      <w:r>
        <w:rPr>
          <w:b/>
        </w:rPr>
        <w:t xml:space="preserve">• </w:t>
      </w:r>
      <w:r>
        <w:t>Every hard gate.</w:t>
      </w:r>
    </w:p>
    <w:p>
      <w:pPr>
        <w:pStyle w:val="ListBody"/>
        <w:ind w:left="490" w:hanging="331"/>
      </w:pPr>
      <w:r>
        <w:rPr>
          <w:b/>
        </w:rPr>
        <w:t xml:space="preserve">• </w:t>
      </w:r>
      <w:r>
        <w:t>Every corporate action.</w:t>
      </w:r>
    </w:p>
    <w:p>
      <w:pPr>
        <w:pStyle w:val="ListBody"/>
        <w:ind w:left="490" w:hanging="331"/>
      </w:pPr>
      <w:r>
        <w:rPr>
          <w:b/>
        </w:rPr>
        <w:t xml:space="preserve">• </w:t>
      </w:r>
      <w:r>
        <w:t>Every sector router.</w:t>
      </w:r>
    </w:p>
    <w:p>
      <w:pPr>
        <w:pStyle w:val="ListBody"/>
        <w:ind w:left="490" w:hanging="331"/>
      </w:pPr>
      <w:r>
        <w:rPr>
          <w:b/>
        </w:rPr>
        <w:t xml:space="preserve">• </w:t>
      </w:r>
      <w:r>
        <w:t>Every score cap.</w:t>
      </w:r>
    </w:p>
    <w:p>
      <w:pPr>
        <w:pStyle w:val="ListBody"/>
        <w:ind w:left="490" w:hanging="331"/>
      </w:pPr>
      <w:r>
        <w:rPr>
          <w:b/>
        </w:rPr>
        <w:t xml:space="preserve">• </w:t>
      </w:r>
      <w:r>
        <w:t>Every signal transition.</w:t>
      </w:r>
    </w:p>
    <w:p>
      <w:pPr>
        <w:pStyle w:val="ListBody"/>
        <w:ind w:left="490" w:hanging="331"/>
      </w:pPr>
      <w:r>
        <w:rPr>
          <w:b/>
        </w:rPr>
        <w:t xml:space="preserve">• </w:t>
      </w:r>
      <w:r>
        <w:t>Every position-size calculation.</w:t>
      </w:r>
    </w:p>
    <w:p>
      <w:pPr>
        <w:pStyle w:val="Heading2"/>
        <w:keepNext/>
      </w:pPr>
      <w:r>
        <w:t>Integration tests</w:t>
      </w:r>
    </w:p>
    <w:p>
      <w:pPr>
        <w:pStyle w:val="ListBody"/>
        <w:ind w:left="490" w:hanging="331"/>
      </w:pPr>
      <w:r>
        <w:rPr>
          <w:b/>
        </w:rPr>
        <w:t xml:space="preserve">• </w:t>
      </w:r>
      <w:r>
        <w:t>NSE/BSE ingestion.</w:t>
      </w:r>
    </w:p>
    <w:p>
      <w:pPr>
        <w:pStyle w:val="ListBody"/>
        <w:ind w:left="490" w:hanging="331"/>
      </w:pPr>
      <w:r>
        <w:rPr>
          <w:b/>
        </w:rPr>
        <w:t xml:space="preserve">• </w:t>
      </w:r>
      <w:r>
        <w:t>Upstox integration.</w:t>
      </w:r>
    </w:p>
    <w:p>
      <w:pPr>
        <w:pStyle w:val="ListBody"/>
        <w:ind w:left="490" w:hanging="331"/>
      </w:pPr>
      <w:r>
        <w:rPr>
          <w:b/>
        </w:rPr>
        <w:t xml:space="preserve">• </w:t>
      </w:r>
      <w:r>
        <w:t>Angel One integration.</w:t>
      </w:r>
    </w:p>
    <w:p>
      <w:pPr>
        <w:pStyle w:val="ListBody"/>
        <w:ind w:left="490" w:hanging="331"/>
      </w:pPr>
      <w:r>
        <w:rPr>
          <w:b/>
        </w:rPr>
        <w:t xml:space="preserve">• </w:t>
      </w:r>
      <w:r>
        <w:t>Screener import.</w:t>
      </w:r>
    </w:p>
    <w:p>
      <w:pPr>
        <w:pStyle w:val="ListBody"/>
        <w:ind w:left="490" w:hanging="331"/>
      </w:pPr>
      <w:r>
        <w:rPr>
          <w:b/>
        </w:rPr>
        <w:t xml:space="preserve">• </w:t>
      </w:r>
      <w:r>
        <w:t>Yahoo isolation.</w:t>
      </w:r>
    </w:p>
    <w:p>
      <w:pPr>
        <w:pStyle w:val="ListBody"/>
        <w:ind w:left="490" w:hanging="331"/>
      </w:pPr>
      <w:r>
        <w:rPr>
          <w:b/>
        </w:rPr>
        <w:t xml:space="preserve">• </w:t>
      </w:r>
      <w:r>
        <w:t>Database writes.</w:t>
      </w:r>
    </w:p>
    <w:p>
      <w:pPr>
        <w:pStyle w:val="ListBody"/>
        <w:ind w:left="490" w:hanging="331"/>
      </w:pPr>
      <w:r>
        <w:rPr>
          <w:b/>
        </w:rPr>
        <w:t xml:space="preserve">• </w:t>
      </w:r>
      <w:r>
        <w:t>Point-in-time snapshots.</w:t>
      </w:r>
    </w:p>
    <w:p>
      <w:pPr>
        <w:pStyle w:val="ListBody"/>
        <w:ind w:left="490" w:hanging="331"/>
      </w:pPr>
      <w:r>
        <w:rPr>
          <w:b/>
        </w:rPr>
        <w:t xml:space="preserve">• </w:t>
      </w:r>
      <w:r>
        <w:t>Broker order lifecycle.</w:t>
      </w:r>
    </w:p>
    <w:p>
      <w:pPr>
        <w:pStyle w:val="ListBody"/>
        <w:ind w:left="490" w:hanging="331"/>
      </w:pPr>
      <w:r>
        <w:rPr>
          <w:b/>
        </w:rPr>
        <w:t xml:space="preserve">• </w:t>
      </w:r>
      <w:r>
        <w:t>Broker failover.</w:t>
      </w:r>
    </w:p>
    <w:p>
      <w:pPr>
        <w:pStyle w:val="ListBody"/>
        <w:ind w:left="490" w:hanging="331"/>
      </w:pPr>
      <w:r>
        <w:rPr>
          <w:b/>
        </w:rPr>
        <w:t xml:space="preserve">• </w:t>
      </w:r>
      <w:r>
        <w:t>Dashboard APIs.</w:t>
      </w:r>
    </w:p>
    <w:p>
      <w:pPr>
        <w:pStyle w:val="ListBody"/>
        <w:ind w:left="490" w:hanging="331"/>
      </w:pPr>
      <w:r>
        <w:rPr>
          <w:b/>
        </w:rPr>
        <w:t xml:space="preserve">• </w:t>
      </w:r>
      <w:r>
        <w:t>Alerts.</w:t>
      </w:r>
    </w:p>
    <w:p>
      <w:pPr>
        <w:pStyle w:val="ListBody"/>
        <w:ind w:left="490" w:hanging="331"/>
      </w:pPr>
      <w:r>
        <w:rPr>
          <w:b/>
        </w:rPr>
        <w:t xml:space="preserve">• </w:t>
      </w:r>
      <w:r>
        <w:t>Backups.</w:t>
      </w:r>
    </w:p>
    <w:p>
      <w:pPr>
        <w:pStyle w:val="Heading2"/>
        <w:keepNext/>
      </w:pPr>
      <w:r>
        <w:t>Adversarial tests</w:t>
      </w:r>
    </w:p>
    <w:p>
      <w:pPr>
        <w:pStyle w:val="ListBody"/>
        <w:ind w:left="490" w:hanging="331"/>
      </w:pPr>
      <w:r>
        <w:rPr>
          <w:b/>
        </w:rPr>
        <w:t xml:space="preserve">• </w:t>
      </w:r>
      <w:r>
        <w:t>Wrong ISIN.</w:t>
      </w:r>
    </w:p>
    <w:p>
      <w:pPr>
        <w:pStyle w:val="ListBody"/>
        <w:ind w:left="490" w:hanging="331"/>
      </w:pPr>
      <w:r>
        <w:rPr>
          <w:b/>
        </w:rPr>
        <w:t xml:space="preserve">• </w:t>
      </w:r>
      <w:r>
        <w:t>Duplicate ticker.</w:t>
      </w:r>
    </w:p>
    <w:p>
      <w:pPr>
        <w:pStyle w:val="ListBody"/>
        <w:ind w:left="490" w:hanging="331"/>
      </w:pPr>
      <w:r>
        <w:rPr>
          <w:b/>
        </w:rPr>
        <w:t xml:space="preserve">• </w:t>
      </w:r>
      <w:r>
        <w:t>Missing candle.</w:t>
      </w:r>
    </w:p>
    <w:p>
      <w:pPr>
        <w:pStyle w:val="ListBody"/>
        <w:ind w:left="490" w:hanging="331"/>
      </w:pPr>
      <w:r>
        <w:rPr>
          <w:b/>
        </w:rPr>
        <w:t xml:space="preserve">• </w:t>
      </w:r>
      <w:r>
        <w:t>Zero-volume security.</w:t>
      </w:r>
    </w:p>
    <w:p>
      <w:pPr>
        <w:pStyle w:val="ListBody"/>
        <w:ind w:left="490" w:hanging="331"/>
      </w:pPr>
      <w:r>
        <w:rPr>
          <w:b/>
        </w:rPr>
        <w:t xml:space="preserve">• </w:t>
      </w:r>
      <w:r>
        <w:t>Stale quote.</w:t>
      </w:r>
    </w:p>
    <w:p>
      <w:pPr>
        <w:pStyle w:val="ListBody"/>
        <w:ind w:left="490" w:hanging="331"/>
      </w:pPr>
      <w:r>
        <w:rPr>
          <w:b/>
        </w:rPr>
        <w:t xml:space="preserve">• </w:t>
      </w:r>
      <w:r>
        <w:t>Revised filing.</w:t>
      </w:r>
    </w:p>
    <w:p>
      <w:pPr>
        <w:pStyle w:val="ListBody"/>
        <w:ind w:left="490" w:hanging="331"/>
      </w:pPr>
      <w:r>
        <w:rPr>
          <w:b/>
        </w:rPr>
        <w:t xml:space="preserve">• </w:t>
      </w:r>
      <w:r>
        <w:t>Unit mismatch.</w:t>
      </w:r>
    </w:p>
    <w:p>
      <w:pPr>
        <w:pStyle w:val="ListBody"/>
        <w:ind w:left="490" w:hanging="331"/>
      </w:pPr>
      <w:r>
        <w:rPr>
          <w:b/>
        </w:rPr>
        <w:t xml:space="preserve">• </w:t>
      </w:r>
      <w:r>
        <w:t>Standalone/consolidated mismatch.</w:t>
      </w:r>
    </w:p>
    <w:p>
      <w:pPr>
        <w:pStyle w:val="ListBody"/>
        <w:ind w:left="490" w:hanging="331"/>
      </w:pPr>
      <w:r>
        <w:rPr>
          <w:b/>
        </w:rPr>
        <w:t xml:space="preserve">• </w:t>
      </w:r>
      <w:r>
        <w:t>Negative denominator.</w:t>
      </w:r>
    </w:p>
    <w:p>
      <w:pPr>
        <w:pStyle w:val="ListBody"/>
        <w:ind w:left="490" w:hanging="331"/>
      </w:pPr>
      <w:r>
        <w:rPr>
          <w:b/>
        </w:rPr>
        <w:t xml:space="preserve">• </w:t>
      </w:r>
      <w:r>
        <w:t>Split mismatch.</w:t>
      </w:r>
    </w:p>
    <w:p>
      <w:pPr>
        <w:pStyle w:val="ListBody"/>
        <w:ind w:left="490" w:hanging="331"/>
      </w:pPr>
      <w:r>
        <w:rPr>
          <w:b/>
        </w:rPr>
        <w:t xml:space="preserve">• </w:t>
      </w:r>
      <w:r>
        <w:t>Demerger.</w:t>
      </w:r>
    </w:p>
    <w:p>
      <w:pPr>
        <w:pStyle w:val="ListBody"/>
        <w:ind w:left="490" w:hanging="331"/>
      </w:pPr>
      <w:r>
        <w:rPr>
          <w:b/>
        </w:rPr>
        <w:t xml:space="preserve">• </w:t>
      </w:r>
      <w:r>
        <w:t>Symbol change.</w:t>
      </w:r>
    </w:p>
    <w:p>
      <w:pPr>
        <w:pStyle w:val="ListBody"/>
        <w:ind w:left="490" w:hanging="331"/>
      </w:pPr>
      <w:r>
        <w:rPr>
          <w:b/>
        </w:rPr>
        <w:t xml:space="preserve">• </w:t>
      </w:r>
      <w:r>
        <w:t>Partial API response.</w:t>
      </w:r>
    </w:p>
    <w:p>
      <w:pPr>
        <w:pStyle w:val="ListBody"/>
        <w:ind w:left="490" w:hanging="331"/>
      </w:pPr>
      <w:r>
        <w:rPr>
          <w:b/>
        </w:rPr>
        <w:t xml:space="preserve">• </w:t>
      </w:r>
      <w:r>
        <w:t>Timeout after order submission.</w:t>
      </w:r>
    </w:p>
    <w:p>
      <w:pPr>
        <w:pStyle w:val="ListBody"/>
        <w:ind w:left="490" w:hanging="331"/>
      </w:pPr>
      <w:r>
        <w:rPr>
          <w:b/>
        </w:rPr>
        <w:t xml:space="preserve">• </w:t>
      </w:r>
      <w:r>
        <w:t>Duplicate alert.</w:t>
      </w:r>
    </w:p>
    <w:p>
      <w:pPr>
        <w:pStyle w:val="ListBody"/>
        <w:ind w:left="490" w:hanging="331"/>
      </w:pPr>
      <w:r>
        <w:rPr>
          <w:b/>
        </w:rPr>
        <w:t xml:space="preserve">• </w:t>
      </w:r>
      <w:r>
        <w:t>Corrupt PDF.</w:t>
      </w:r>
    </w:p>
    <w:p>
      <w:pPr>
        <w:pStyle w:val="ListBody"/>
        <w:ind w:left="490" w:hanging="331"/>
      </w:pPr>
      <w:r>
        <w:rPr>
          <w:b/>
        </w:rPr>
        <w:t xml:space="preserve">• </w:t>
      </w:r>
      <w:r>
        <w:t>License expiry.</w:t>
      </w:r>
    </w:p>
    <w:p>
      <w:pPr>
        <w:pStyle w:val="ListBody"/>
        <w:ind w:left="490" w:hanging="331"/>
      </w:pPr>
      <w:r>
        <w:rPr>
          <w:b/>
        </w:rPr>
        <w:t xml:space="preserve">• </w:t>
      </w:r>
      <w:r>
        <w:t>Low RAM.</w:t>
      </w:r>
    </w:p>
    <w:p>
      <w:pPr>
        <w:pStyle w:val="ListBody"/>
        <w:ind w:left="490" w:hanging="331"/>
      </w:pPr>
      <w:r>
        <w:rPr>
          <w:b/>
        </w:rPr>
        <w:t xml:space="preserve">• </w:t>
      </w:r>
      <w:r>
        <w:t>Low SSD.</w:t>
      </w:r>
    </w:p>
    <w:p>
      <w:pPr>
        <w:pStyle w:val="ListBody"/>
        <w:ind w:left="490" w:hanging="331"/>
      </w:pPr>
      <w:r>
        <w:rPr>
          <w:b/>
        </w:rPr>
        <w:t xml:space="preserve">• </w:t>
      </w:r>
      <w:r>
        <w:t>Network outage.</w:t>
      </w:r>
    </w:p>
    <w:p>
      <w:pPr>
        <w:pStyle w:val="ListBody"/>
        <w:ind w:left="490" w:hanging="331"/>
      </w:pPr>
      <w:r>
        <w:rPr>
          <w:b/>
        </w:rPr>
        <w:t xml:space="preserve">• </w:t>
      </w:r>
      <w:r>
        <w:t>Broker session expiry.</w:t>
      </w:r>
    </w:p>
    <w:p>
      <w:pPr>
        <w:pStyle w:val="ListBody"/>
        <w:ind w:left="490" w:hanging="331"/>
      </w:pPr>
      <w:r>
        <w:rPr>
          <w:b/>
        </w:rPr>
        <w:t xml:space="preserve">• </w:t>
      </w:r>
      <w:r>
        <w:t>Orphaned order.</w:t>
      </w:r>
    </w:p>
    <w:p>
      <w:pPr>
        <w:pStyle w:val="ListBody"/>
        <w:ind w:left="490" w:hanging="331"/>
      </w:pPr>
      <w:r>
        <w:rPr>
          <w:b/>
        </w:rPr>
        <w:t xml:space="preserve">• </w:t>
      </w:r>
      <w:r>
        <w:t>Corporate-action disagreement.</w:t>
      </w:r>
    </w:p>
    <w:p>
      <w:pPr>
        <w:spacing w:after="0"/>
      </w:pPr>
      <w:r/>
    </w:p>
    <w:p>
      <w:pPr>
        <w:pStyle w:val="Heading1"/>
        <w:pBdr>
          <w:bottom w:val="single" w:sz="4" w:space="5" w:color="7A9AAA"/>
        </w:pBdr>
        <w:keepNext/>
      </w:pPr>
      <w:r>
        <w:t>118. Deployment phases</w:t>
      </w:r>
    </w:p>
    <w:p>
      <w:pPr>
        <w:pStyle w:val="Heading2"/>
        <w:keepNext/>
      </w:pPr>
      <w:r>
        <w:t>Phase 1 — Data foundation</w:t>
      </w:r>
    </w:p>
    <w:p>
      <w:pPr>
        <w:pStyle w:val="ListBody"/>
        <w:ind w:left="490" w:hanging="331"/>
      </w:pPr>
      <w:r>
        <w:rPr>
          <w:b/>
        </w:rPr>
        <w:t xml:space="preserve">• </w:t>
      </w:r>
      <w:r>
        <w:t>License registry.</w:t>
      </w:r>
    </w:p>
    <w:p>
      <w:pPr>
        <w:pStyle w:val="ListBody"/>
        <w:ind w:left="490" w:hanging="331"/>
      </w:pPr>
      <w:r>
        <w:rPr>
          <w:b/>
        </w:rPr>
        <w:t xml:space="preserve">• </w:t>
      </w:r>
      <w:r>
        <w:t>Security master.</w:t>
      </w:r>
    </w:p>
    <w:p>
      <w:pPr>
        <w:pStyle w:val="ListBody"/>
        <w:ind w:left="490" w:hanging="331"/>
      </w:pPr>
      <w:r>
        <w:rPr>
          <w:b/>
        </w:rPr>
        <w:t xml:space="preserve">• </w:t>
      </w:r>
      <w:r>
        <w:t>EOD market data.</w:t>
      </w:r>
    </w:p>
    <w:p>
      <w:pPr>
        <w:pStyle w:val="ListBody"/>
        <w:ind w:left="490" w:hanging="331"/>
      </w:pPr>
      <w:r>
        <w:rPr>
          <w:b/>
        </w:rPr>
        <w:t xml:space="preserve">• </w:t>
      </w:r>
      <w:r>
        <w:t>Corporate actions.</w:t>
      </w:r>
    </w:p>
    <w:p>
      <w:pPr>
        <w:pStyle w:val="ListBody"/>
        <w:ind w:left="490" w:hanging="331"/>
      </w:pPr>
      <w:r>
        <w:rPr>
          <w:b/>
        </w:rPr>
        <w:t xml:space="preserve">• </w:t>
      </w:r>
      <w:r>
        <w:t>Financial database.</w:t>
      </w:r>
    </w:p>
    <w:p>
      <w:pPr>
        <w:pStyle w:val="ListBody"/>
        <w:ind w:left="490" w:hanging="331"/>
      </w:pPr>
      <w:r>
        <w:rPr>
          <w:b/>
        </w:rPr>
        <w:t xml:space="preserve">• </w:t>
      </w:r>
      <w:r>
        <w:t>Point-in-time storage.</w:t>
      </w:r>
    </w:p>
    <w:p>
      <w:pPr>
        <w:pStyle w:val="Heading2"/>
        <w:keepNext/>
      </w:pPr>
      <w:r>
        <w:t>Phase 2 — Screening and ranking</w:t>
      </w:r>
    </w:p>
    <w:p>
      <w:pPr>
        <w:pStyle w:val="ListBody"/>
        <w:ind w:left="490" w:hanging="331"/>
      </w:pPr>
      <w:r>
        <w:rPr>
          <w:b/>
        </w:rPr>
        <w:t xml:space="preserve">• </w:t>
      </w:r>
      <w:r>
        <w:t>Eligibility.</w:t>
      </w:r>
    </w:p>
    <w:p>
      <w:pPr>
        <w:pStyle w:val="ListBody"/>
        <w:ind w:left="490" w:hanging="331"/>
      </w:pPr>
      <w:r>
        <w:rPr>
          <w:b/>
        </w:rPr>
        <w:t xml:space="preserve">• </w:t>
      </w:r>
      <w:r>
        <w:t>Hard gates.</w:t>
      </w:r>
    </w:p>
    <w:p>
      <w:pPr>
        <w:pStyle w:val="ListBody"/>
        <w:ind w:left="490" w:hanging="331"/>
      </w:pPr>
      <w:r>
        <w:rPr>
          <w:b/>
        </w:rPr>
        <w:t xml:space="preserve">• </w:t>
      </w:r>
      <w:r>
        <w:t>Sector models.</w:t>
      </w:r>
    </w:p>
    <w:p>
      <w:pPr>
        <w:pStyle w:val="ListBody"/>
        <w:ind w:left="490" w:hanging="331"/>
      </w:pPr>
      <w:r>
        <w:rPr>
          <w:b/>
        </w:rPr>
        <w:t xml:space="preserve">• </w:t>
      </w:r>
      <w:r>
        <w:t>Candidate Score.</w:t>
      </w:r>
    </w:p>
    <w:p>
      <w:pPr>
        <w:pStyle w:val="ListBody"/>
        <w:ind w:left="490" w:hanging="331"/>
      </w:pPr>
      <w:r>
        <w:rPr>
          <w:b/>
        </w:rPr>
        <w:t xml:space="preserve">• </w:t>
      </w:r>
      <w:r>
        <w:t>Rankings.</w:t>
      </w:r>
    </w:p>
    <w:p>
      <w:pPr>
        <w:pStyle w:val="ListBody"/>
        <w:ind w:left="490" w:hanging="331"/>
      </w:pPr>
      <w:r>
        <w:rPr>
          <w:b/>
        </w:rPr>
        <w:t xml:space="preserve">• </w:t>
      </w:r>
      <w:r>
        <w:t>Dashboard.</w:t>
      </w:r>
    </w:p>
    <w:p>
      <w:pPr>
        <w:pStyle w:val="Heading2"/>
        <w:keepNext/>
      </w:pPr>
      <w:r>
        <w:t>Phase 3 — Historical signals</w:t>
      </w:r>
    </w:p>
    <w:p>
      <w:pPr>
        <w:pStyle w:val="ListBody"/>
        <w:ind w:left="490" w:hanging="331"/>
      </w:pPr>
      <w:r>
        <w:rPr>
          <w:b/>
        </w:rPr>
        <w:t xml:space="preserve">• </w:t>
      </w:r>
      <w:r>
        <w:t>Daily engine.</w:t>
      </w:r>
    </w:p>
    <w:p>
      <w:pPr>
        <w:pStyle w:val="ListBody"/>
        <w:ind w:left="490" w:hanging="331"/>
      </w:pPr>
      <w:r>
        <w:rPr>
          <w:b/>
        </w:rPr>
        <w:t xml:space="preserve">• </w:t>
      </w:r>
      <w:r>
        <w:t>Weekly engine.</w:t>
      </w:r>
    </w:p>
    <w:p>
      <w:pPr>
        <w:pStyle w:val="ListBody"/>
        <w:ind w:left="490" w:hanging="331"/>
      </w:pPr>
      <w:r>
        <w:rPr>
          <w:b/>
        </w:rPr>
        <w:t xml:space="preserve">• </w:t>
      </w:r>
      <w:r>
        <w:t>Monthly engine.</w:t>
      </w:r>
    </w:p>
    <w:p>
      <w:pPr>
        <w:pStyle w:val="ListBody"/>
        <w:ind w:left="490" w:hanging="331"/>
      </w:pPr>
      <w:r>
        <w:rPr>
          <w:b/>
        </w:rPr>
        <w:t xml:space="preserve">• </w:t>
      </w:r>
      <w:r>
        <w:t>State machines.</w:t>
      </w:r>
    </w:p>
    <w:p>
      <w:pPr>
        <w:pStyle w:val="ListBody"/>
        <w:ind w:left="490" w:hanging="331"/>
      </w:pPr>
      <w:r>
        <w:rPr>
          <w:b/>
        </w:rPr>
        <w:t xml:space="preserve">• </w:t>
      </w:r>
      <w:r>
        <w:t>Backtesting.</w:t>
      </w:r>
    </w:p>
    <w:p>
      <w:pPr>
        <w:pStyle w:val="Heading2"/>
        <w:keepNext/>
      </w:pPr>
      <w:r>
        <w:t>Phase 4 — Deep research</w:t>
      </w:r>
    </w:p>
    <w:p>
      <w:pPr>
        <w:pStyle w:val="ListBody"/>
        <w:ind w:left="490" w:hanging="331"/>
      </w:pPr>
      <w:r>
        <w:rPr>
          <w:b/>
        </w:rPr>
        <w:t xml:space="preserve">• </w:t>
      </w:r>
      <w:r>
        <w:t>Evidence ledger.</w:t>
      </w:r>
    </w:p>
    <w:p>
      <w:pPr>
        <w:pStyle w:val="ListBody"/>
        <w:ind w:left="490" w:hanging="331"/>
      </w:pPr>
      <w:r>
        <w:rPr>
          <w:b/>
        </w:rPr>
        <w:t xml:space="preserve">• </w:t>
      </w:r>
      <w:r>
        <w:t>Forecasts.</w:t>
      </w:r>
    </w:p>
    <w:p>
      <w:pPr>
        <w:pStyle w:val="ListBody"/>
        <w:ind w:left="490" w:hanging="331"/>
      </w:pPr>
      <w:r>
        <w:rPr>
          <w:b/>
        </w:rPr>
        <w:t xml:space="preserve">• </w:t>
      </w:r>
      <w:r>
        <w:t>Scenarios.</w:t>
      </w:r>
    </w:p>
    <w:p>
      <w:pPr>
        <w:pStyle w:val="ListBody"/>
        <w:ind w:left="490" w:hanging="331"/>
      </w:pPr>
      <w:r>
        <w:rPr>
          <w:b/>
        </w:rPr>
        <w:t xml:space="preserve">• </w:t>
      </w:r>
      <w:r>
        <w:t>Valuation.</w:t>
      </w:r>
    </w:p>
    <w:p>
      <w:pPr>
        <w:pStyle w:val="ListBody"/>
        <w:ind w:left="490" w:hanging="331"/>
      </w:pPr>
      <w:r>
        <w:rPr>
          <w:b/>
        </w:rPr>
        <w:t xml:space="preserve">• </w:t>
      </w:r>
      <w:r>
        <w:t>Medium-term and long-term signals.</w:t>
      </w:r>
    </w:p>
    <w:p>
      <w:pPr>
        <w:pStyle w:val="Heading2"/>
        <w:keepNext/>
      </w:pPr>
      <w:r>
        <w:t>Phase 5 — Live alert mode</w:t>
      </w:r>
    </w:p>
    <w:p>
      <w:pPr>
        <w:pStyle w:val="ListBody"/>
        <w:ind w:left="490" w:hanging="331"/>
      </w:pPr>
      <w:r>
        <w:rPr>
          <w:b/>
        </w:rPr>
        <w:t xml:space="preserve">• </w:t>
      </w:r>
      <w:r>
        <w:t>Live data.</w:t>
      </w:r>
    </w:p>
    <w:p>
      <w:pPr>
        <w:pStyle w:val="ListBody"/>
        <w:ind w:left="490" w:hanging="331"/>
      </w:pPr>
      <w:r>
        <w:rPr>
          <w:b/>
        </w:rPr>
        <w:t xml:space="preserve">• </w:t>
      </w:r>
      <w:r>
        <w:t>Confirmed signals.</w:t>
      </w:r>
    </w:p>
    <w:p>
      <w:pPr>
        <w:pStyle w:val="ListBody"/>
        <w:ind w:left="490" w:hanging="331"/>
      </w:pPr>
      <w:r>
        <w:rPr>
          <w:b/>
        </w:rPr>
        <w:t xml:space="preserve">• </w:t>
      </w:r>
      <w:r>
        <w:t>No broker orders.</w:t>
      </w:r>
    </w:p>
    <w:p>
      <w:pPr>
        <w:pStyle w:val="Heading2"/>
        <w:keepNext/>
      </w:pPr>
      <w:r>
        <w:t>Phase 6 — Paper trading</w:t>
      </w:r>
    </w:p>
    <w:p>
      <w:pPr>
        <w:pStyle w:val="ListBody"/>
        <w:ind w:left="490" w:hanging="331"/>
      </w:pPr>
      <w:r>
        <w:rPr>
          <w:b/>
        </w:rPr>
        <w:t xml:space="preserve">• </w:t>
      </w:r>
      <w:r>
        <w:t>Simulated positions.</w:t>
      </w:r>
    </w:p>
    <w:p>
      <w:pPr>
        <w:pStyle w:val="ListBody"/>
        <w:ind w:left="490" w:hanging="331"/>
      </w:pPr>
      <w:r>
        <w:rPr>
          <w:b/>
        </w:rPr>
        <w:t xml:space="preserve">• </w:t>
      </w:r>
      <w:r>
        <w:t>Simulated order lifecycle.</w:t>
      </w:r>
    </w:p>
    <w:p>
      <w:pPr>
        <w:pStyle w:val="ListBody"/>
        <w:ind w:left="490" w:hanging="331"/>
      </w:pPr>
      <w:r>
        <w:rPr>
          <w:b/>
        </w:rPr>
        <w:t xml:space="preserve">• </w:t>
      </w:r>
      <w:r>
        <w:t>Performance tracking.</w:t>
      </w:r>
    </w:p>
    <w:p>
      <w:pPr>
        <w:pStyle w:val="Heading2"/>
        <w:keepNext/>
      </w:pPr>
      <w:r>
        <w:t>Phase 7 — Manual broker mode</w:t>
      </w:r>
    </w:p>
    <w:p>
      <w:pPr>
        <w:pStyle w:val="ListBody"/>
        <w:ind w:left="490" w:hanging="331"/>
      </w:pPr>
      <w:r>
        <w:rPr>
          <w:b/>
        </w:rPr>
        <w:t xml:space="preserve">• </w:t>
      </w:r>
      <w:r>
        <w:t>Order previews.</w:t>
      </w:r>
    </w:p>
    <w:p>
      <w:pPr>
        <w:pStyle w:val="ListBody"/>
        <w:ind w:left="490" w:hanging="331"/>
      </w:pPr>
      <w:r>
        <w:rPr>
          <w:b/>
        </w:rPr>
        <w:t xml:space="preserve">• </w:t>
      </w:r>
      <w:r>
        <w:t>User approval.</w:t>
      </w:r>
    </w:p>
    <w:p>
      <w:pPr>
        <w:pStyle w:val="ListBody"/>
        <w:ind w:left="490" w:hanging="331"/>
      </w:pPr>
      <w:r>
        <w:rPr>
          <w:b/>
        </w:rPr>
        <w:t xml:space="preserve">• </w:t>
      </w:r>
      <w:r>
        <w:t>Broker reconciliation.</w:t>
      </w:r>
    </w:p>
    <w:p>
      <w:pPr>
        <w:pStyle w:val="Heading2"/>
        <w:keepNext/>
      </w:pPr>
      <w:r>
        <w:t>Phase 8 — Limited semi-automation</w:t>
      </w:r>
    </w:p>
    <w:p>
      <w:pPr>
        <w:pStyle w:val="ListBody"/>
        <w:ind w:left="490" w:hanging="331"/>
      </w:pPr>
      <w:r>
        <w:rPr>
          <w:b/>
        </w:rPr>
        <w:t xml:space="preserve">• </w:t>
      </w:r>
      <w:r>
        <w:t>Selected universe.</w:t>
      </w:r>
    </w:p>
    <w:p>
      <w:pPr>
        <w:pStyle w:val="ListBody"/>
        <w:ind w:left="490" w:hanging="331"/>
      </w:pPr>
      <w:r>
        <w:rPr>
          <w:b/>
        </w:rPr>
        <w:t xml:space="preserve">• </w:t>
      </w:r>
      <w:r>
        <w:t>Selected strategies.</w:t>
      </w:r>
    </w:p>
    <w:p>
      <w:pPr>
        <w:pStyle w:val="ListBody"/>
        <w:ind w:left="490" w:hanging="331"/>
      </w:pPr>
      <w:r>
        <w:rPr>
          <w:b/>
        </w:rPr>
        <w:t xml:space="preserve">• </w:t>
      </w:r>
      <w:r>
        <w:t>Small capital.</w:t>
      </w:r>
    </w:p>
    <w:p>
      <w:pPr>
        <w:pStyle w:val="ListBody"/>
        <w:ind w:left="490" w:hanging="331"/>
      </w:pPr>
      <w:r>
        <w:rPr>
          <w:b/>
        </w:rPr>
        <w:t xml:space="preserve">• </w:t>
      </w:r>
      <w:r>
        <w:t>Strict limits.</w:t>
      </w:r>
    </w:p>
    <w:p>
      <w:pPr>
        <w:pStyle w:val="Heading2"/>
        <w:keepNext/>
      </w:pPr>
      <w:r>
        <w:t>Phase 9 — Controlled automation</w:t>
      </w:r>
    </w:p>
    <w:p>
      <w:pPr/>
      <w:r>
        <w:t>Only after all production acceptance gates pass.</w:t>
      </w:r>
    </w:p>
    <w:p>
      <w:pPr>
        <w:spacing w:after="0"/>
      </w:pPr>
      <w:r/>
    </w:p>
    <w:p>
      <w:pPr>
        <w:pStyle w:val="Heading1"/>
        <w:pBdr>
          <w:bottom w:val="single" w:sz="4" w:space="5" w:color="7A9AAA"/>
        </w:pBdr>
        <w:keepNext/>
      </w:pPr>
      <w:r>
        <w:t>119. Production acceptance gates</w:t>
      </w:r>
    </w:p>
    <w:p>
      <w:pPr/>
      <w:r>
        <w:t>The system is not production-ready until all applicable gates pass.</w:t>
      </w:r>
    </w:p>
    <w:p>
      <w:pPr>
        <w:pStyle w:val="ListBody"/>
        <w:ind w:left="490" w:hanging="331"/>
      </w:pPr>
      <w:r>
        <w:rPr>
          <w:b/>
        </w:rPr>
        <w:t xml:space="preserve">1. </w:t>
      </w:r>
      <w:r>
        <w:t>Source permissions documented.</w:t>
      </w:r>
    </w:p>
    <w:p>
      <w:pPr>
        <w:pStyle w:val="ListBody"/>
        <w:ind w:left="490" w:hanging="331"/>
      </w:pPr>
      <w:r>
        <w:rPr>
          <w:b/>
        </w:rPr>
        <w:t xml:space="preserve">2. </w:t>
      </w:r>
      <w:r>
        <w:t>No unauthorized scraping.</w:t>
      </w:r>
    </w:p>
    <w:p>
      <w:pPr>
        <w:pStyle w:val="ListBody"/>
        <w:ind w:left="490" w:hanging="331"/>
      </w:pPr>
      <w:r>
        <w:rPr>
          <w:b/>
        </w:rPr>
        <w:t xml:space="preserve">3. </w:t>
      </w:r>
      <w:r>
        <w:t>Historical security master includes failed and delisted companies.</w:t>
      </w:r>
    </w:p>
    <w:p>
      <w:pPr>
        <w:pStyle w:val="ListBody"/>
        <w:ind w:left="490" w:hanging="331"/>
      </w:pPr>
      <w:r>
        <w:rPr>
          <w:b/>
        </w:rPr>
        <w:t xml:space="preserve">4. </w:t>
      </w:r>
      <w:r>
        <w:t>ISIN mappings verified.</w:t>
      </w:r>
    </w:p>
    <w:p>
      <w:pPr>
        <w:pStyle w:val="ListBody"/>
        <w:ind w:left="490" w:hanging="331"/>
      </w:pPr>
      <w:r>
        <w:rPr>
          <w:b/>
        </w:rPr>
        <w:t xml:space="preserve">5. </w:t>
      </w:r>
      <w:r>
        <w:t>Corporate actions reconciled.</w:t>
      </w:r>
    </w:p>
    <w:p>
      <w:pPr>
        <w:pStyle w:val="ListBody"/>
        <w:ind w:left="490" w:hanging="331"/>
      </w:pPr>
      <w:r>
        <w:rPr>
          <w:b/>
        </w:rPr>
        <w:t xml:space="preserve">6. </w:t>
      </w:r>
      <w:r>
        <w:t>Standalone and consolidated facts separated.</w:t>
      </w:r>
    </w:p>
    <w:p>
      <w:pPr>
        <w:pStyle w:val="ListBody"/>
        <w:ind w:left="490" w:hanging="331"/>
      </w:pPr>
      <w:r>
        <w:rPr>
          <w:b/>
        </w:rPr>
        <w:t xml:space="preserve">7. </w:t>
      </w:r>
      <w:r>
        <w:t>Financial statements reconciled.</w:t>
      </w:r>
    </w:p>
    <w:p>
      <w:pPr>
        <w:pStyle w:val="ListBody"/>
        <w:ind w:left="490" w:hanging="331"/>
      </w:pPr>
      <w:r>
        <w:rPr>
          <w:b/>
        </w:rPr>
        <w:t xml:space="preserve">8. </w:t>
      </w:r>
      <w:r>
        <w:t>Missing data cannot improve scores.</w:t>
      </w:r>
    </w:p>
    <w:p>
      <w:pPr>
        <w:pStyle w:val="ListBody"/>
        <w:ind w:left="490" w:hanging="331"/>
      </w:pPr>
      <w:r>
        <w:rPr>
          <w:b/>
        </w:rPr>
        <w:t xml:space="preserve">9. </w:t>
      </w:r>
      <w:r>
        <w:t>Hard gates override signals.</w:t>
      </w:r>
    </w:p>
    <w:p>
      <w:pPr>
        <w:pStyle w:val="ListBody"/>
        <w:ind w:left="490" w:hanging="331"/>
      </w:pPr>
      <w:r>
        <w:rPr>
          <w:b/>
        </w:rPr>
        <w:t xml:space="preserve">10. </w:t>
      </w:r>
      <w:r>
        <w:t>Fallback data cannot overwrite primary evidence.</w:t>
      </w:r>
    </w:p>
    <w:p>
      <w:pPr>
        <w:pStyle w:val="ListBody"/>
        <w:ind w:left="490" w:hanging="331"/>
      </w:pPr>
      <w:r>
        <w:rPr>
          <w:b/>
        </w:rPr>
        <w:t xml:space="preserve">11. </w:t>
      </w:r>
      <w:r>
        <w:t>Broker data has failover.</w:t>
      </w:r>
    </w:p>
    <w:p>
      <w:pPr>
        <w:pStyle w:val="ListBody"/>
        <w:ind w:left="490" w:hanging="331"/>
      </w:pPr>
      <w:r>
        <w:rPr>
          <w:b/>
        </w:rPr>
        <w:t xml:space="preserve">12. </w:t>
      </w:r>
      <w:r>
        <w:t>Signals use completed bars.</w:t>
      </w:r>
    </w:p>
    <w:p>
      <w:pPr>
        <w:pStyle w:val="ListBody"/>
        <w:ind w:left="490" w:hanging="331"/>
      </w:pPr>
      <w:r>
        <w:rPr>
          <w:b/>
        </w:rPr>
        <w:t xml:space="preserve">13. </w:t>
      </w:r>
      <w:r>
        <w:t>Entry occurs no earlier than next eligible session.</w:t>
      </w:r>
    </w:p>
    <w:p>
      <w:pPr>
        <w:pStyle w:val="ListBody"/>
        <w:ind w:left="490" w:hanging="331"/>
      </w:pPr>
      <w:r>
        <w:rPr>
          <w:b/>
        </w:rPr>
        <w:t xml:space="preserve">14. </w:t>
      </w:r>
      <w:r>
        <w:t>No look-ahead leakage.</w:t>
      </w:r>
    </w:p>
    <w:p>
      <w:pPr>
        <w:pStyle w:val="ListBody"/>
        <w:ind w:left="490" w:hanging="331"/>
      </w:pPr>
      <w:r>
        <w:rPr>
          <w:b/>
        </w:rPr>
        <w:t xml:space="preserve">15. </w:t>
      </w:r>
      <w:r>
        <w:t>Delisted companies included in backtests.</w:t>
      </w:r>
    </w:p>
    <w:p>
      <w:pPr>
        <w:pStyle w:val="ListBody"/>
        <w:ind w:left="490" w:hanging="331"/>
      </w:pPr>
      <w:r>
        <w:rPr>
          <w:b/>
        </w:rPr>
        <w:t xml:space="preserve">16. </w:t>
      </w:r>
      <w:r>
        <w:t>Costs and slippage included.</w:t>
      </w:r>
    </w:p>
    <w:p>
      <w:pPr>
        <w:pStyle w:val="ListBody"/>
        <w:ind w:left="490" w:hanging="331"/>
      </w:pPr>
      <w:r>
        <w:rPr>
          <w:b/>
        </w:rPr>
        <w:t xml:space="preserve">17. </w:t>
      </w:r>
      <w:r>
        <w:t>Liquidity and capacity included.</w:t>
      </w:r>
    </w:p>
    <w:p>
      <w:pPr>
        <w:pStyle w:val="ListBody"/>
        <w:ind w:left="490" w:hanging="331"/>
      </w:pPr>
      <w:r>
        <w:rPr>
          <w:b/>
        </w:rPr>
        <w:t xml:space="preserve">18. </w:t>
      </w:r>
      <w:r>
        <w:t>Walk-forward validation completed.</w:t>
      </w:r>
    </w:p>
    <w:p>
      <w:pPr>
        <w:pStyle w:val="ListBody"/>
        <w:ind w:left="490" w:hanging="331"/>
      </w:pPr>
      <w:r>
        <w:rPr>
          <w:b/>
        </w:rPr>
        <w:t xml:space="preserve">19. </w:t>
      </w:r>
      <w:r>
        <w:t>Paper trading completed.</w:t>
      </w:r>
    </w:p>
    <w:p>
      <w:pPr>
        <w:pStyle w:val="ListBody"/>
        <w:ind w:left="490" w:hanging="331"/>
      </w:pPr>
      <w:r>
        <w:rPr>
          <w:b/>
        </w:rPr>
        <w:t xml:space="preserve">20. </w:t>
      </w:r>
      <w:r>
        <w:t>Duplicate orders blocked.</w:t>
      </w:r>
    </w:p>
    <w:p>
      <w:pPr>
        <w:pStyle w:val="ListBody"/>
        <w:ind w:left="490" w:hanging="331"/>
      </w:pPr>
      <w:r>
        <w:rPr>
          <w:b/>
        </w:rPr>
        <w:t xml:space="preserve">21. </w:t>
      </w:r>
      <w:r>
        <w:t>Stale data blocks automatic entries.</w:t>
      </w:r>
    </w:p>
    <w:p>
      <w:pPr>
        <w:pStyle w:val="ListBody"/>
        <w:ind w:left="490" w:hanging="331"/>
      </w:pPr>
      <w:r>
        <w:rPr>
          <w:b/>
        </w:rPr>
        <w:t xml:space="preserve">22. </w:t>
      </w:r>
      <w:r>
        <w:t>Scores are reproducible.</w:t>
      </w:r>
    </w:p>
    <w:p>
      <w:pPr>
        <w:pStyle w:val="ListBody"/>
        <w:ind w:left="490" w:hanging="331"/>
      </w:pPr>
      <w:r>
        <w:rPr>
          <w:b/>
        </w:rPr>
        <w:t xml:space="preserve">23. </w:t>
      </w:r>
      <w:r>
        <w:t>Decisions are explainable.</w:t>
      </w:r>
    </w:p>
    <w:p>
      <w:pPr>
        <w:pStyle w:val="ListBody"/>
        <w:ind w:left="490" w:hanging="331"/>
      </w:pPr>
      <w:r>
        <w:rPr>
          <w:b/>
        </w:rPr>
        <w:t xml:space="preserve">24. </w:t>
      </w:r>
      <w:r>
        <w:t>Backups restore successfully.</w:t>
      </w:r>
    </w:p>
    <w:p>
      <w:pPr>
        <w:pStyle w:val="ListBody"/>
        <w:ind w:left="490" w:hanging="331"/>
      </w:pPr>
      <w:r>
        <w:rPr>
          <w:b/>
        </w:rPr>
        <w:t xml:space="preserve">25. </w:t>
      </w:r>
      <w:r>
        <w:t>Resource throttling works.</w:t>
      </w:r>
    </w:p>
    <w:p>
      <w:pPr>
        <w:pStyle w:val="ListBody"/>
        <w:ind w:left="490" w:hanging="331"/>
      </w:pPr>
      <w:r>
        <w:rPr>
          <w:b/>
        </w:rPr>
        <w:t xml:space="preserve">26. </w:t>
      </w:r>
      <w:r>
        <w:t>Kill switch works.</w:t>
      </w:r>
    </w:p>
    <w:p>
      <w:pPr>
        <w:pStyle w:val="ListBody"/>
        <w:ind w:left="490" w:hanging="331"/>
      </w:pPr>
      <w:r>
        <w:rPr>
          <w:b/>
        </w:rPr>
        <w:t xml:space="preserve">27. </w:t>
      </w:r>
      <w:r>
        <w:t>Model rollback works.</w:t>
      </w:r>
    </w:p>
    <w:p>
      <w:pPr>
        <w:pStyle w:val="ListBody"/>
        <w:ind w:left="490" w:hanging="331"/>
      </w:pPr>
      <w:r>
        <w:rPr>
          <w:b/>
        </w:rPr>
        <w:t xml:space="preserve">28. </w:t>
      </w:r>
      <w:r>
        <w:t>Dashboard failure states work.</w:t>
      </w:r>
    </w:p>
    <w:p>
      <w:pPr>
        <w:pStyle w:val="ListBody"/>
        <w:ind w:left="490" w:hanging="331"/>
      </w:pPr>
      <w:r>
        <w:rPr>
          <w:b/>
        </w:rPr>
        <w:t xml:space="preserve">29. </w:t>
      </w:r>
      <w:r>
        <w:t>Historical audit reconstruction works.</w:t>
      </w:r>
    </w:p>
    <w:p>
      <w:pPr>
        <w:pStyle w:val="ListBody"/>
        <w:ind w:left="490" w:hanging="331"/>
      </w:pPr>
      <w:r>
        <w:rPr>
          <w:b/>
        </w:rPr>
        <w:t xml:space="preserve">30. </w:t>
      </w:r>
      <w:r>
        <w:t>Broker reconciliation works.</w:t>
      </w:r>
    </w:p>
    <w:p>
      <w:pPr>
        <w:pStyle w:val="ListBody"/>
        <w:ind w:left="490" w:hanging="331"/>
      </w:pPr>
      <w:r>
        <w:rPr>
          <w:b/>
        </w:rPr>
        <w:t xml:space="preserve">31. </w:t>
      </w:r>
      <w:r>
        <w:t>Orphaned orders are detected.</w:t>
      </w:r>
    </w:p>
    <w:p>
      <w:pPr>
        <w:pStyle w:val="ListBody"/>
        <w:ind w:left="490" w:hanging="331"/>
      </w:pPr>
      <w:r>
        <w:rPr>
          <w:b/>
        </w:rPr>
        <w:t xml:space="preserve">32. </w:t>
      </w:r>
      <w:r>
        <w:t>Alert deduplication works.</w:t>
      </w:r>
    </w:p>
    <w:p>
      <w:pPr>
        <w:pStyle w:val="ListBody"/>
        <w:ind w:left="490" w:hanging="331"/>
      </w:pPr>
      <w:r>
        <w:rPr>
          <w:b/>
        </w:rPr>
        <w:t xml:space="preserve">33. </w:t>
      </w:r>
      <w:r>
        <w:t>Low-memory mode works.</w:t>
      </w:r>
    </w:p>
    <w:p>
      <w:pPr>
        <w:pStyle w:val="ListBody"/>
        <w:ind w:left="490" w:hanging="331"/>
      </w:pPr>
      <w:r>
        <w:rPr>
          <w:b/>
        </w:rPr>
        <w:t xml:space="preserve">34. </w:t>
      </w:r>
      <w:r>
        <w:t>Low-storage mode works.</w:t>
      </w:r>
    </w:p>
    <w:p>
      <w:pPr>
        <w:pStyle w:val="ListBody"/>
        <w:ind w:left="490" w:hanging="331"/>
      </w:pPr>
      <w:r>
        <w:rPr>
          <w:b/>
        </w:rPr>
        <w:t xml:space="preserve">35. </w:t>
      </w:r>
      <w:r>
        <w:t>Network outage recovery works.</w:t>
      </w:r>
    </w:p>
    <w:p>
      <w:pPr>
        <w:pStyle w:val="ListBody"/>
        <w:ind w:left="490" w:hanging="331"/>
      </w:pPr>
      <w:r>
        <w:rPr>
          <w:b/>
        </w:rPr>
        <w:t xml:space="preserve">36. </w:t>
      </w:r>
      <w:r>
        <w:t>Security and access reviews pass.</w:t>
      </w:r>
    </w:p>
    <w:p>
      <w:pPr>
        <w:pStyle w:val="ListBody"/>
        <w:ind w:left="490" w:hanging="331"/>
      </w:pPr>
      <w:r>
        <w:rPr>
          <w:b/>
        </w:rPr>
        <w:t xml:space="preserve">37. </w:t>
      </w:r>
      <w:r>
        <w:t>Regulatory and data-license reviews are complete.</w:t>
      </w:r>
    </w:p>
    <w:p>
      <w:pPr>
        <w:spacing w:after="0"/>
      </w:pPr>
      <w:r/>
    </w:p>
    <w:p>
      <w:pPr>
        <w:pStyle w:val="Heading1"/>
        <w:pBdr>
          <w:bottom w:val="single" w:sz="4" w:space="5" w:color="7A9AAA"/>
        </w:pBdr>
        <w:keepNext/>
      </w:pPr>
      <w:r>
        <w:t>120. Final production architecture</w:t>
      </w:r>
    </w:p>
    <w:p>
      <w:pPr/>
      <w:r>
        <w:t>DRAFT: this section was blank in the source specification. Synthesized here as a starting point, consolidating Sections 5 through 119; review before treating as final. Ingestion and point-in-time financial data flow into eligibility screening and hard gates, which produce sector-adjusted Candidate Scores; scores drive ranking, watchlists, and deep-research promotion into the Evidence Ledger. In parallel, price data and regime detection feed five independent Horizon Signal Engines with explicit conflict-resolution priority. Signals pass through portfolio constraints and position sizing into the mode-gated broker execution layer, Alert Only by default. The dashboard, database, resource governor, and scheduler run underneath all of it, with model governance and the Section 119 acceptance gates controlling what is allowed to reach production.</w:t>
      </w:r>
    </w:p>
    <w:p>
      <w:pPr>
        <w:spacing w:after="0"/>
      </w:pPr>
      <w:r/>
    </w:p>
    <w:p>
      <w:pPr>
        <w:pStyle w:val="Heading1"/>
        <w:pBdr>
          <w:bottom w:val="single" w:sz="4" w:space="5" w:color="7A9AAA"/>
        </w:pBdr>
        <w:keepNext/>
      </w:pPr>
      <w:r>
        <w:t>121. Final system definition</w:t>
      </w:r>
    </w:p>
    <w:p>
      <w:pPr/>
      <w:r>
        <w:t>Indian Equity Intelligence System 7.1 is a complete production-oriented specification for:</w:t>
      </w:r>
    </w:p>
    <w:p>
      <w:pPr>
        <w:pStyle w:val="ListBody"/>
        <w:ind w:left="490" w:hanging="331"/>
      </w:pPr>
      <w:r>
        <w:rPr>
          <w:b/>
        </w:rPr>
        <w:t xml:space="preserve">• </w:t>
      </w:r>
      <w:r>
        <w:t>Approximately 2,000 Indian listed stocks.</w:t>
      </w:r>
    </w:p>
    <w:p>
      <w:pPr>
        <w:pStyle w:val="ListBody"/>
        <w:ind w:left="490" w:hanging="331"/>
      </w:pPr>
      <w:r>
        <w:rPr>
          <w:b/>
        </w:rPr>
        <w:t xml:space="preserve">• </w:t>
      </w:r>
      <w:r>
        <w:t>Fundamental screening.</w:t>
      </w:r>
    </w:p>
    <w:p>
      <w:pPr>
        <w:pStyle w:val="ListBody"/>
        <w:ind w:left="490" w:hanging="331"/>
      </w:pPr>
      <w:r>
        <w:rPr>
          <w:b/>
        </w:rPr>
        <w:t xml:space="preserve">• </w:t>
      </w:r>
      <w:r>
        <w:t>Sector-specific scoring.</w:t>
      </w:r>
    </w:p>
    <w:p>
      <w:pPr>
        <w:pStyle w:val="ListBody"/>
        <w:ind w:left="490" w:hanging="331"/>
      </w:pPr>
      <w:r>
        <w:rPr>
          <w:b/>
        </w:rPr>
        <w:t xml:space="preserve">• </w:t>
      </w:r>
      <w:r>
        <w:t>Accounting and governance risk detection.</w:t>
      </w:r>
    </w:p>
    <w:p>
      <w:pPr>
        <w:pStyle w:val="ListBody"/>
        <w:ind w:left="490" w:hanging="331"/>
      </w:pPr>
      <w:r>
        <w:rPr>
          <w:b/>
        </w:rPr>
        <w:t xml:space="preserve">• </w:t>
      </w:r>
      <w:r>
        <w:t>Valuation.</w:t>
      </w:r>
    </w:p>
    <w:p>
      <w:pPr>
        <w:pStyle w:val="ListBody"/>
        <w:ind w:left="490" w:hanging="331"/>
      </w:pPr>
      <w:r>
        <w:rPr>
          <w:b/>
        </w:rPr>
        <w:t xml:space="preserve">• </w:t>
      </w:r>
      <w:r>
        <w:t>Deep research.</w:t>
      </w:r>
    </w:p>
    <w:p>
      <w:pPr>
        <w:pStyle w:val="ListBody"/>
        <w:ind w:left="490" w:hanging="331"/>
      </w:pPr>
      <w:r>
        <w:rPr>
          <w:b/>
        </w:rPr>
        <w:t xml:space="preserve">• </w:t>
      </w:r>
      <w:r>
        <w:t>Daily tactical signals.</w:t>
      </w:r>
    </w:p>
    <w:p>
      <w:pPr>
        <w:pStyle w:val="ListBody"/>
        <w:ind w:left="490" w:hanging="331"/>
      </w:pPr>
      <w:r>
        <w:rPr>
          <w:b/>
        </w:rPr>
        <w:t xml:space="preserve">• </w:t>
      </w:r>
      <w:r>
        <w:t>Weekly swing signals.</w:t>
      </w:r>
    </w:p>
    <w:p>
      <w:pPr>
        <w:pStyle w:val="ListBody"/>
        <w:ind w:left="490" w:hanging="331"/>
      </w:pPr>
      <w:r>
        <w:rPr>
          <w:b/>
        </w:rPr>
        <w:t xml:space="preserve">• </w:t>
      </w:r>
      <w:r>
        <w:t>Monthly positional signals.</w:t>
      </w:r>
    </w:p>
    <w:p>
      <w:pPr>
        <w:pStyle w:val="ListBody"/>
        <w:ind w:left="490" w:hanging="331"/>
      </w:pPr>
      <w:r>
        <w:rPr>
          <w:b/>
        </w:rPr>
        <w:t xml:space="preserve">• </w:t>
      </w:r>
      <w:r>
        <w:t>Medium-term investment signals.</w:t>
      </w:r>
    </w:p>
    <w:p>
      <w:pPr>
        <w:pStyle w:val="ListBody"/>
        <w:ind w:left="490" w:hanging="331"/>
      </w:pPr>
      <w:r>
        <w:rPr>
          <w:b/>
        </w:rPr>
        <w:t xml:space="preserve">• </w:t>
      </w:r>
      <w:r>
        <w:t>Long-term investment decisions.</w:t>
      </w:r>
    </w:p>
    <w:p>
      <w:pPr>
        <w:pStyle w:val="ListBody"/>
        <w:ind w:left="490" w:hanging="331"/>
      </w:pPr>
      <w:r>
        <w:rPr>
          <w:b/>
        </w:rPr>
        <w:t xml:space="preserve">• </w:t>
      </w:r>
      <w:r>
        <w:t>Portfolio construction.</w:t>
      </w:r>
    </w:p>
    <w:p>
      <w:pPr>
        <w:pStyle w:val="ListBody"/>
        <w:ind w:left="490" w:hanging="331"/>
      </w:pPr>
      <w:r>
        <w:rPr>
          <w:b/>
        </w:rPr>
        <w:t xml:space="preserve">• </w:t>
      </w:r>
      <w:r>
        <w:t>Broker execution.</w:t>
      </w:r>
    </w:p>
    <w:p>
      <w:pPr>
        <w:pStyle w:val="ListBody"/>
        <w:ind w:left="490" w:hanging="331"/>
      </w:pPr>
      <w:r>
        <w:rPr>
          <w:b/>
        </w:rPr>
        <w:t xml:space="preserve">• </w:t>
      </w:r>
      <w:r>
        <w:t>Backtesting.</w:t>
      </w:r>
    </w:p>
    <w:p>
      <w:pPr>
        <w:pStyle w:val="ListBody"/>
        <w:ind w:left="490" w:hanging="331"/>
      </w:pPr>
      <w:r>
        <w:rPr>
          <w:b/>
        </w:rPr>
        <w:t xml:space="preserve">• </w:t>
      </w:r>
      <w:r>
        <w:t>Frontend dashboards.</w:t>
      </w:r>
    </w:p>
    <w:p>
      <w:pPr>
        <w:pStyle w:val="ListBody"/>
        <w:ind w:left="490" w:hanging="331"/>
      </w:pPr>
      <w:r>
        <w:rPr>
          <w:b/>
        </w:rPr>
        <w:t xml:space="preserve">• </w:t>
      </w:r>
      <w:r>
        <w:t>Explainable AI.</w:t>
      </w:r>
    </w:p>
    <w:p>
      <w:pPr>
        <w:pStyle w:val="ListBody"/>
        <w:ind w:left="490" w:hanging="331"/>
      </w:pPr>
      <w:r>
        <w:rPr>
          <w:b/>
        </w:rPr>
        <w:t xml:space="preserve">• </w:t>
      </w:r>
      <w:r>
        <w:t>Local laptop deployment.</w:t>
      </w:r>
    </w:p>
    <w:p>
      <w:pPr>
        <w:pStyle w:val="ListBody"/>
        <w:ind w:left="490" w:hanging="331"/>
      </w:pPr>
      <w:r>
        <w:rPr>
          <w:b/>
        </w:rPr>
        <w:t xml:space="preserve">• </w:t>
      </w:r>
      <w:r>
        <w:t>Model and data governance.</w:t>
      </w:r>
    </w:p>
    <w:p>
      <w:pPr/>
      <w:r>
        <w:t>The specification is designed to prevent the major failure modes common in stock-screening and signal systems:</w:t>
      </w:r>
    </w:p>
    <w:p>
      <w:pPr>
        <w:pStyle w:val="ListBody"/>
        <w:ind w:left="490" w:hanging="331"/>
      </w:pPr>
      <w:r>
        <w:rPr>
          <w:b/>
        </w:rPr>
        <w:t xml:space="preserve">• </w:t>
      </w:r>
      <w:r>
        <w:t>Survivorship bias.</w:t>
      </w:r>
    </w:p>
    <w:p>
      <w:pPr>
        <w:pStyle w:val="ListBody"/>
        <w:ind w:left="490" w:hanging="331"/>
      </w:pPr>
      <w:r>
        <w:rPr>
          <w:b/>
        </w:rPr>
        <w:t xml:space="preserve">• </w:t>
      </w:r>
      <w:r>
        <w:t>Look-ahead bias.</w:t>
      </w:r>
    </w:p>
    <w:p>
      <w:pPr>
        <w:pStyle w:val="ListBody"/>
        <w:ind w:left="490" w:hanging="331"/>
      </w:pPr>
      <w:r>
        <w:rPr>
          <w:b/>
        </w:rPr>
        <w:t xml:space="preserve">• </w:t>
      </w:r>
      <w:r>
        <w:t>Restatement leakage.</w:t>
      </w:r>
    </w:p>
    <w:p>
      <w:pPr>
        <w:pStyle w:val="ListBody"/>
        <w:ind w:left="490" w:hanging="331"/>
      </w:pPr>
      <w:r>
        <w:rPr>
          <w:b/>
        </w:rPr>
        <w:t xml:space="preserve">• </w:t>
      </w:r>
      <w:r>
        <w:t>Missing-data bias.</w:t>
      </w:r>
    </w:p>
    <w:p>
      <w:pPr>
        <w:pStyle w:val="ListBody"/>
        <w:ind w:left="490" w:hanging="331"/>
      </w:pPr>
      <w:r>
        <w:rPr>
          <w:b/>
        </w:rPr>
        <w:t xml:space="preserve">• </w:t>
      </w:r>
      <w:r>
        <w:t>Sector-inappropriate ratios.</w:t>
      </w:r>
    </w:p>
    <w:p>
      <w:pPr>
        <w:pStyle w:val="ListBody"/>
        <w:ind w:left="490" w:hanging="331"/>
      </w:pPr>
      <w:r>
        <w:rPr>
          <w:b/>
        </w:rPr>
        <w:t xml:space="preserve">• </w:t>
      </w:r>
      <w:r>
        <w:t>Governance-risk dilution.</w:t>
      </w:r>
    </w:p>
    <w:p>
      <w:pPr>
        <w:pStyle w:val="ListBody"/>
        <w:ind w:left="490" w:hanging="331"/>
      </w:pPr>
      <w:r>
        <w:rPr>
          <w:b/>
        </w:rPr>
        <w:t xml:space="preserve">• </w:t>
      </w:r>
      <w:r>
        <w:t>Same-bar execution bias.</w:t>
      </w:r>
    </w:p>
    <w:p>
      <w:pPr>
        <w:pStyle w:val="ListBody"/>
        <w:ind w:left="490" w:hanging="331"/>
      </w:pPr>
      <w:r>
        <w:rPr>
          <w:b/>
        </w:rPr>
        <w:t xml:space="preserve">• </w:t>
      </w:r>
      <w:r>
        <w:t>Unconfirmed weekly or monthly signals.</w:t>
      </w:r>
    </w:p>
    <w:p>
      <w:pPr>
        <w:pStyle w:val="ListBody"/>
        <w:ind w:left="490" w:hanging="331"/>
      </w:pPr>
      <w:r>
        <w:rPr>
          <w:b/>
        </w:rPr>
        <w:t xml:space="preserve">• </w:t>
      </w:r>
      <w:r>
        <w:t>Duplicate orders.</w:t>
      </w:r>
    </w:p>
    <w:p>
      <w:pPr>
        <w:pStyle w:val="ListBody"/>
        <w:ind w:left="490" w:hanging="331"/>
      </w:pPr>
      <w:r>
        <w:rPr>
          <w:b/>
        </w:rPr>
        <w:t xml:space="preserve">• </w:t>
      </w:r>
      <w:r>
        <w:t>Stale-feed execution.</w:t>
      </w:r>
    </w:p>
    <w:p>
      <w:pPr>
        <w:pStyle w:val="ListBody"/>
        <w:ind w:left="490" w:hanging="331"/>
      </w:pPr>
      <w:r>
        <w:rPr>
          <w:b/>
        </w:rPr>
        <w:t xml:space="preserve">• </w:t>
      </w:r>
      <w:r>
        <w:t>Portfolio overconcentration.</w:t>
      </w:r>
    </w:p>
    <w:p>
      <w:pPr>
        <w:pStyle w:val="ListBody"/>
        <w:ind w:left="490" w:hanging="331"/>
      </w:pPr>
      <w:r>
        <w:rPr>
          <w:b/>
        </w:rPr>
        <w:t xml:space="preserve">• </w:t>
      </w:r>
      <w:r>
        <w:t>Illiquid position sizing.</w:t>
      </w:r>
    </w:p>
    <w:p>
      <w:pPr>
        <w:pStyle w:val="ListBody"/>
        <w:ind w:left="490" w:hanging="331"/>
      </w:pPr>
      <w:r>
        <w:rPr>
          <w:b/>
        </w:rPr>
        <w:t xml:space="preserve">• </w:t>
      </w:r>
      <w:r>
        <w:t>Unlicensed data use.</w:t>
      </w:r>
    </w:p>
    <w:p>
      <w:pPr>
        <w:pStyle w:val="ListBody"/>
        <w:ind w:left="490" w:hanging="331"/>
      </w:pPr>
      <w:r>
        <w:rPr>
          <w:b/>
        </w:rPr>
        <w:t xml:space="preserve">• </w:t>
      </w:r>
      <w:r>
        <w:t>Unexplained AI conclusions.</w:t>
      </w:r>
    </w:p>
    <w:p>
      <w:pPr>
        <w:pStyle w:val="ListBody"/>
        <w:ind w:left="490" w:hanging="331"/>
      </w:pPr>
      <w:r>
        <w:rPr>
          <w:b/>
        </w:rPr>
        <w:t xml:space="preserve">• </w:t>
      </w:r>
      <w:r>
        <w:t>Backtest overfitting.</w:t>
      </w:r>
    </w:p>
    <w:p>
      <w:pPr>
        <w:pStyle w:val="ListBody"/>
        <w:ind w:left="490" w:hanging="331"/>
      </w:pPr>
      <w:r>
        <w:rPr>
          <w:b/>
        </w:rPr>
        <w:t xml:space="preserve">• </w:t>
      </w:r>
      <w:r>
        <w:t>Resource exhaustion.</w:t>
      </w:r>
    </w:p>
    <w:p>
      <w:pPr/>
      <w:r>
        <w:t>The system should be considered deployable only after its real implementation passes the full production acceptance framework defined above.</w:t>
      </w:r>
    </w:p>
    <w:p>
      <w:pPr>
        <w:pStyle w:val="PartTitle"/>
        <w:pBdr>
          <w:bottom w:val="single" w:sz="12" w:space="5" w:color="285E74"/>
        </w:pBdr>
      </w:pPr>
      <w:r>
        <w:t>PART III</w:t>
      </w:r>
    </w:p>
    <w:p>
      <w:pPr>
        <w:pStyle w:val="Heading1"/>
      </w:pPr>
      <w:r>
        <w:t>Complete Formula-Correction Changelog and Provenance</w:t>
      </w:r>
    </w:p>
    <w:p>
      <w:pPr>
        <w:pStyle w:val="SourceNote"/>
      </w:pPr>
      <w:r>
        <w:t>Source: formula_corrections_changelog.md. All headings, records, formula text, bases, caveats, and validation warnings are retained.</w:t>
      </w:r>
    </w:p>
    <w:p>
      <w:pPr>
        <w:pStyle w:val="Heading1"/>
        <w:pBdr>
          <w:bottom w:val="single" w:sz="4" w:space="5" w:color="7A9AAA"/>
        </w:pBdr>
      </w:pPr>
      <w:r>
        <w:t>Formula Corrections — Indian Equity Intelligence System 7.1</w:t>
      </w:r>
    </w:p>
    <w:p>
      <w:pPr>
        <w:spacing w:after="0"/>
      </w:pPr>
    </w:p>
    <w:p>
      <w:pPr/>
      <w:r>
        <w:t xml:space="preserve">How this was done: the </w:t>
      </w:r>
      <w:r>
        <w:rPr>
          <w:rFonts w:ascii="Consolas" w:hAnsi="Consolas"/>
          <w:sz w:val="18"/>
        </w:rPr>
        <w:t>.docx</w:t>
      </w:r>
      <w:r>
        <w:t xml:space="preserve"> was unzipped and every formula checked against the raw XML directly (not just the rendered text), so what follows is what the source file actually contains, not a rendering artifact. 37 edits were made in total — 33 formula reconstructions, 2 conceptual lists that were blank, and 2 sections with no recoverable content that were drafted fresh and are clearly flagged as such below. Everything else in the document — prose, tables, section structure, weight values — is untouched.</w:t>
      </w:r>
    </w:p>
    <w:p>
      <w:pPr>
        <w:spacing w:after="0"/>
      </w:pPr>
    </w:p>
    <w:p>
      <w:pPr/>
      <w:r>
        <w:t xml:space="preserve">Notation used throughout: </w:t>
      </w:r>
      <w:r>
        <w:rPr>
          <w:rFonts w:ascii="Consolas" w:hAnsi="Consolas"/>
          <w:sz w:val="18"/>
        </w:rPr>
        <w:t>x</w:t>
      </w:r>
      <w:r>
        <w:t xml:space="preserve"> = multiply, </w:t>
      </w:r>
      <w:r>
        <w:rPr>
          <w:rFonts w:ascii="Consolas" w:hAnsi="Consolas"/>
          <w:sz w:val="18"/>
        </w:rPr>
        <w:t>/</w:t>
      </w:r>
      <w:r>
        <w:t xml:space="preserve"> = divide, </w:t>
      </w:r>
      <w:r>
        <w:rPr>
          <w:rFonts w:ascii="Consolas" w:hAnsi="Consolas"/>
          <w:sz w:val="18"/>
        </w:rPr>
        <w:t>SUM over k of (...)</w:t>
      </w:r>
      <w:r>
        <w:t xml:space="preserve"> = Σₖ, </w:t>
      </w:r>
      <w:r>
        <w:rPr>
          <w:rFonts w:ascii="Consolas" w:hAnsi="Consolas"/>
          <w:sz w:val="18"/>
        </w:rPr>
        <w:t>PRODUCT of (...)</w:t>
      </w:r>
      <w:r>
        <w:t xml:space="preserve"> = Π, </w:t>
      </w:r>
      <w:r>
        <w:rPr>
          <w:rFonts w:ascii="Consolas" w:hAnsi="Consolas"/>
          <w:sz w:val="18"/>
        </w:rPr>
        <w:t>min(...)</w:t>
      </w:r>
      <w:r>
        <w:t xml:space="preserve"> = minimum, </w:t>
      </w:r>
      <w:r>
        <w:rPr>
          <w:rFonts w:ascii="Consolas" w:hAnsi="Consolas"/>
          <w:sz w:val="18"/>
        </w:rPr>
        <w:t>^{...}</w:t>
      </w:r>
      <w:r>
        <w:t xml:space="preserve"> = exponent. This matches the plain-text style the source document already used for its two formulas that survived intact.</w:t>
      </w:r>
    </w:p>
    <w:p>
      <w:pPr>
        <w:spacing w:after="0"/>
      </w:pPr>
    </w:p>
    <w:p>
      <w:pPr>
        <w:pStyle w:val="Heading2"/>
      </w:pPr>
      <w:r>
        <w:t>High-confidence reconstructions</w:t>
      </w:r>
    </w:p>
    <w:p>
      <w:pPr>
        <w:spacing w:after="0"/>
      </w:pPr>
    </w:p>
    <w:p>
      <w:pPr/>
      <w:r>
        <w:t>These are cases where the surrounding weight table, the adjacent prose, or the same pattern used elsewhere in the document made the original intent clear.</w:t>
      </w:r>
    </w:p>
    <w:p>
      <w:pPr>
        <w:spacing w:after="0"/>
      </w:pPr>
    </w:p>
    <w:p>
      <w:pPr>
        <w:pStyle w:val="Heading3"/>
      </w:pPr>
      <w:r>
        <w:rPr>
          <w:b/>
        </w:rPr>
        <w:t>§13.3 Numerical comparison</w:t>
      </w:r>
    </w:p>
    <w:p>
      <w:pPr>
        <w:pStyle w:val="ListBody"/>
        <w:ind w:left="490" w:hanging="317"/>
      </w:pPr>
      <w:r>
        <w:rPr>
          <w:b/>
        </w:rPr>
        <w:t xml:space="preserve">• </w:t>
      </w:r>
      <w:r>
        <w:t xml:space="preserve">Was: </w:t>
      </w:r>
      <w:r>
        <w:rPr>
          <w:rFonts w:ascii="Consolas" w:hAnsi="Consolas"/>
          <w:sz w:val="18"/>
        </w:rPr>
        <w:t>RelativeDifference= {(|x_1|,|x_2|,)}</w:t>
      </w:r>
    </w:p>
    <w:p>
      <w:pPr>
        <w:pStyle w:val="ListBody"/>
        <w:ind w:left="490" w:hanging="317"/>
      </w:pPr>
      <w:r>
        <w:rPr>
          <w:b/>
        </w:rPr>
        <w:t xml:space="preserve">• </w:t>
      </w:r>
      <w:r>
        <w:t xml:space="preserve">Now: </w:t>
      </w:r>
      <w:r>
        <w:rPr>
          <w:rFonts w:ascii="Consolas" w:hAnsi="Consolas"/>
          <w:sz w:val="18"/>
        </w:rPr>
        <w:t>RelativeDifference = |x_1 - x_2| / max(|x_1|, |x_2|, epsilon)</w:t>
      </w:r>
    </w:p>
    <w:p>
      <w:pPr>
        <w:pStyle w:val="ListBody"/>
        <w:ind w:left="490" w:hanging="317"/>
      </w:pPr>
      <w:r>
        <w:rPr>
          <w:b/>
        </w:rPr>
        <w:t xml:space="preserve">• </w:t>
      </w:r>
      <w:r>
        <w:t xml:space="preserve">Basis: standard relative-tolerance comparison; </w:t>
      </w:r>
      <w:r>
        <w:rPr>
          <w:rFonts w:ascii="Consolas" w:hAnsi="Consolas"/>
          <w:sz w:val="18"/>
        </w:rPr>
        <w:t>epsilon</w:t>
      </w:r>
      <w:r>
        <w:t xml:space="preserve"> avoids divide-by-zero when both values are near 0.</w:t>
      </w:r>
    </w:p>
    <w:p>
      <w:pPr>
        <w:spacing w:after="0"/>
      </w:pPr>
    </w:p>
    <w:p>
      <w:pPr>
        <w:pStyle w:val="Heading3"/>
      </w:pPr>
      <w:r>
        <w:rPr>
          <w:b/>
        </w:rPr>
        <w:t>§14 Data Confidence</w:t>
      </w:r>
    </w:p>
    <w:p>
      <w:pPr>
        <w:pStyle w:val="ListBody"/>
        <w:ind w:left="490" w:hanging="317"/>
      </w:pPr>
      <w:r>
        <w:rPr>
          <w:b/>
        </w:rPr>
        <w:t xml:space="preserve">• </w:t>
      </w:r>
      <w:r>
        <w:t xml:space="preserve">Was: </w:t>
      </w:r>
      <w:r>
        <w:rPr>
          <w:rFonts w:ascii="Consolas" w:hAnsi="Consolas"/>
          <w:sz w:val="18"/>
        </w:rPr>
        <w:t>DC_i=*k w_kD*{i,k}</w:t>
      </w:r>
    </w:p>
    <w:p>
      <w:pPr>
        <w:pStyle w:val="ListBody"/>
        <w:ind w:left="490" w:hanging="317"/>
      </w:pPr>
      <w:r>
        <w:rPr>
          <w:b/>
        </w:rPr>
        <w:t xml:space="preserve">• </w:t>
      </w:r>
      <w:r>
        <w:t xml:space="preserve">Now: </w:t>
      </w:r>
      <w:r>
        <w:rPr>
          <w:rFonts w:ascii="Consolas" w:hAnsi="Consolas"/>
          <w:sz w:val="18"/>
        </w:rPr>
        <w:t>DC_i = SUM over k of (w_k x D_{i,k})</w:t>
      </w:r>
    </w:p>
    <w:p>
      <w:pPr>
        <w:pStyle w:val="ListBody"/>
        <w:ind w:left="490" w:hanging="317"/>
      </w:pPr>
      <w:r>
        <w:rPr>
          <w:b/>
        </w:rPr>
        <w:t xml:space="preserve">• </w:t>
      </w:r>
      <w:r>
        <w:t>Basis: directly above this formula is an 8-component weight table (Sector-model completeness, Corporate-action completeness, etc.) summing to 100 — a weighted sum is the only formula that consumes that table.</w:t>
      </w:r>
    </w:p>
    <w:p>
      <w:pPr>
        <w:spacing w:after="0"/>
      </w:pPr>
    </w:p>
    <w:p>
      <w:pPr>
        <w:pStyle w:val="Heading3"/>
      </w:pPr>
      <w:r>
        <w:rPr>
          <w:b/>
        </w:rPr>
        <w:t>§18.1 Required liquidity</w:t>
      </w:r>
    </w:p>
    <w:p>
      <w:pPr>
        <w:pStyle w:val="ListBody"/>
        <w:ind w:left="490" w:hanging="317"/>
      </w:pPr>
      <w:r>
        <w:rPr>
          <w:b/>
        </w:rPr>
        <w:t xml:space="preserve">• </w:t>
      </w:r>
      <w:r>
        <w:t xml:space="preserve">Was: </w:t>
      </w:r>
      <w:r>
        <w:rPr>
          <w:rFonts w:ascii="Consolas" w:hAnsi="Consolas"/>
          <w:sz w:val="18"/>
        </w:rPr>
        <w:t>RequiredMedianADV= {MaximumParticipationRate}</w:t>
      </w:r>
    </w:p>
    <w:p>
      <w:pPr>
        <w:pStyle w:val="ListBody"/>
        <w:ind w:left="490" w:hanging="317"/>
      </w:pPr>
      <w:r>
        <w:rPr>
          <w:b/>
        </w:rPr>
        <w:t xml:space="preserve">• </w:t>
      </w:r>
      <w:r>
        <w:t xml:space="preserve">Now: </w:t>
      </w:r>
      <w:r>
        <w:rPr>
          <w:rFonts w:ascii="Consolas" w:hAnsi="Consolas"/>
          <w:sz w:val="18"/>
        </w:rPr>
        <w:t>RequiredMedianADV = IntendedPositionValue / MaximumParticipationRate</w:t>
      </w:r>
    </w:p>
    <w:p>
      <w:pPr>
        <w:pStyle w:val="ListBody"/>
        <w:ind w:left="490" w:hanging="317"/>
      </w:pPr>
      <w:r>
        <w:rPr>
          <w:b/>
        </w:rPr>
        <w:t xml:space="preserve">• </w:t>
      </w:r>
      <w:r>
        <w:t>Basis: "Liquidity must be relative to intended capital" (stated one line above).</w:t>
      </w:r>
    </w:p>
    <w:p>
      <w:pPr>
        <w:spacing w:after="0"/>
      </w:pPr>
    </w:p>
    <w:p>
      <w:pPr>
        <w:pStyle w:val="Heading3"/>
      </w:pPr>
      <w:r>
        <w:rPr>
          <w:b/>
        </w:rPr>
        <w:t>§18.2 Estimated exit period</w:t>
      </w:r>
    </w:p>
    <w:p>
      <w:pPr>
        <w:pStyle w:val="ListBody"/>
        <w:ind w:left="490" w:hanging="317"/>
      </w:pPr>
      <w:r>
        <w:rPr>
          <w:b/>
        </w:rPr>
        <w:t xml:space="preserve">• </w:t>
      </w:r>
      <w:r>
        <w:t xml:space="preserve">Was: </w:t>
      </w:r>
      <w:r>
        <w:rPr>
          <w:rFonts w:ascii="Consolas" w:hAnsi="Consolas"/>
          <w:sz w:val="18"/>
        </w:rPr>
        <w:t>ExitDays= {MedianDailyTradedValueAllowedParticipation}</w:t>
      </w:r>
    </w:p>
    <w:p>
      <w:pPr>
        <w:pStyle w:val="ListBody"/>
        <w:ind w:left="490" w:hanging="317"/>
      </w:pPr>
      <w:r>
        <w:rPr>
          <w:b/>
        </w:rPr>
        <w:t xml:space="preserve">• </w:t>
      </w:r>
      <w:r>
        <w:t xml:space="preserve">Now: </w:t>
      </w:r>
      <w:r>
        <w:rPr>
          <w:rFonts w:ascii="Consolas" w:hAnsi="Consolas"/>
          <w:sz w:val="18"/>
        </w:rPr>
        <w:t>ExitDays = PositionValue / (MedianDailyTradedValue x AllowedParticipation)</w:t>
      </w:r>
    </w:p>
    <w:p>
      <w:pPr>
        <w:pStyle w:val="ListBody"/>
        <w:ind w:left="490" w:hanging="317"/>
      </w:pPr>
      <w:r>
        <w:rPr>
          <w:b/>
        </w:rPr>
        <w:t xml:space="preserve">• </w:t>
      </w:r>
      <w:r>
        <w:t>Basis: days to exit without breaching the participation-rate cap; standard capacity-model calc.</w:t>
      </w:r>
    </w:p>
    <w:p>
      <w:pPr>
        <w:spacing w:after="0"/>
      </w:pPr>
    </w:p>
    <w:p>
      <w:pPr>
        <w:pStyle w:val="Heading3"/>
      </w:pPr>
      <w:r>
        <w:rPr>
          <w:b/>
        </w:rPr>
        <w:t>§18.4 Trading-continuity score</w:t>
      </w:r>
    </w:p>
    <w:p>
      <w:pPr>
        <w:pStyle w:val="ListBody"/>
        <w:ind w:left="490" w:hanging="317"/>
      </w:pPr>
      <w:r>
        <w:rPr>
          <w:b/>
        </w:rPr>
        <w:t xml:space="preserve">• </w:t>
      </w:r>
      <w:r>
        <w:t xml:space="preserve">Was: </w:t>
      </w:r>
      <w:r>
        <w:rPr>
          <w:rFonts w:ascii="Consolas" w:hAnsi="Consolas"/>
          <w:sz w:val="18"/>
        </w:rPr>
        <w:t>Continuity= {ExpectedTradingDays}</w:t>
      </w:r>
    </w:p>
    <w:p>
      <w:pPr>
        <w:pStyle w:val="ListBody"/>
        <w:ind w:left="490" w:hanging="317"/>
      </w:pPr>
      <w:r>
        <w:rPr>
          <w:b/>
        </w:rPr>
        <w:t xml:space="preserve">• </w:t>
      </w:r>
      <w:r>
        <w:t xml:space="preserve">Now: </w:t>
      </w:r>
      <w:r>
        <w:rPr>
          <w:rFonts w:ascii="Consolas" w:hAnsi="Consolas"/>
          <w:sz w:val="18"/>
        </w:rPr>
        <w:t>Continuity = ActualTradingDays / ExpectedTradingDays</w:t>
      </w:r>
    </w:p>
    <w:p>
      <w:pPr>
        <w:pStyle w:val="ListBody"/>
        <w:ind w:left="490" w:hanging="317"/>
      </w:pPr>
      <w:r>
        <w:rPr>
          <w:b/>
        </w:rPr>
        <w:t xml:space="preserve">• </w:t>
      </w:r>
      <w:r>
        <w:t>Basis: matches the section title directly; a coverage ratio of actual vs. possible trading days.</w:t>
      </w:r>
    </w:p>
    <w:p>
      <w:pPr>
        <w:spacing w:after="0"/>
      </w:pPr>
    </w:p>
    <w:p>
      <w:pPr/>
      <w:r>
        <w:rPr>
          <w:b/>
        </w:rPr>
        <w:t>§20 Financial reconciliation</w:t>
      </w:r>
      <w:r>
        <w:t xml:space="preserve"> (two identities)</w:t>
      </w:r>
    </w:p>
    <w:p>
      <w:pPr>
        <w:pStyle w:val="ListBody"/>
        <w:ind w:left="490" w:hanging="317"/>
      </w:pPr>
      <w:r>
        <w:rPr>
          <w:b/>
        </w:rPr>
        <w:t xml:space="preserve">• </w:t>
      </w:r>
      <w:r>
        <w:t xml:space="preserve">Was: </w:t>
      </w:r>
      <w:r>
        <w:rPr>
          <w:rFonts w:ascii="Consolas" w:hAnsi="Consolas"/>
          <w:sz w:val="18"/>
        </w:rPr>
        <w:t>AssetsLiabilities+Equity</w:t>
      </w:r>
      <w:r>
        <w:t xml:space="preserve"> → Now: </w:t>
      </w:r>
      <w:r>
        <w:rPr>
          <w:rFonts w:ascii="Consolas" w:hAnsi="Consolas"/>
          <w:sz w:val="18"/>
        </w:rPr>
        <w:t>Assets = Liabilities + Equity</w:t>
      </w:r>
    </w:p>
    <w:p>
      <w:pPr>
        <w:pStyle w:val="ListBody"/>
        <w:ind w:left="490" w:hanging="317"/>
      </w:pPr>
      <w:r>
        <w:rPr>
          <w:b/>
        </w:rPr>
        <w:t xml:space="preserve">• </w:t>
      </w:r>
      <w:r>
        <w:t xml:space="preserve">Was: </w:t>
      </w:r>
      <w:r>
        <w:rPr>
          <w:rFonts w:ascii="Consolas" w:hAnsi="Consolas"/>
          <w:sz w:val="18"/>
        </w:rPr>
        <w:t>OpeningCash+CashFlowChangeClosingCash</w:t>
      </w:r>
      <w:r>
        <w:t xml:space="preserve"> → Now: </w:t>
      </w:r>
      <w:r>
        <w:rPr>
          <w:rFonts w:ascii="Consolas" w:hAnsi="Consolas"/>
          <w:sz w:val="18"/>
        </w:rPr>
        <w:t>OpeningCash + CashFlowChange = ClosingCash</w:t>
      </w:r>
    </w:p>
    <w:p>
      <w:pPr>
        <w:pStyle w:val="ListBody"/>
        <w:ind w:left="490" w:hanging="317"/>
      </w:pPr>
      <w:r>
        <w:rPr>
          <w:b/>
        </w:rPr>
        <w:t xml:space="preserve">• </w:t>
      </w:r>
      <w:r>
        <w:t xml:space="preserve">Basis: these are the two textbook accounting identities the section exists to check. Only the </w:t>
      </w:r>
      <w:r>
        <w:rPr>
          <w:rFonts w:ascii="Consolas" w:hAnsi="Consolas"/>
          <w:sz w:val="18"/>
        </w:rPr>
        <w:t>=</w:t>
      </w:r>
      <w:r>
        <w:t xml:space="preserve"> was lost.</w:t>
      </w:r>
    </w:p>
    <w:p>
      <w:pPr>
        <w:spacing w:after="0"/>
      </w:pPr>
    </w:p>
    <w:p>
      <w:pPr>
        <w:pStyle w:val="Heading3"/>
      </w:pPr>
      <w:r>
        <w:rPr>
          <w:b/>
        </w:rPr>
        <w:t>§24.1 Coverage</w:t>
      </w:r>
    </w:p>
    <w:p>
      <w:pPr>
        <w:pStyle w:val="ListBody"/>
        <w:ind w:left="490" w:hanging="317"/>
      </w:pPr>
      <w:r>
        <w:rPr>
          <w:b/>
        </w:rPr>
        <w:t xml:space="preserve">• </w:t>
      </w:r>
      <w:r>
        <w:t xml:space="preserve">Was: </w:t>
      </w:r>
      <w:r>
        <w:rPr>
          <w:rFonts w:ascii="Consolas" w:hAnsi="Consolas"/>
          <w:sz w:val="18"/>
        </w:rPr>
        <w:t>Coverage_j= {RequiredMetricWeight_j}</w:t>
      </w:r>
    </w:p>
    <w:p>
      <w:pPr>
        <w:pStyle w:val="ListBody"/>
        <w:ind w:left="490" w:hanging="317"/>
      </w:pPr>
      <w:r>
        <w:rPr>
          <w:b/>
        </w:rPr>
        <w:t xml:space="preserve">• </w:t>
      </w:r>
      <w:r>
        <w:t xml:space="preserve">Now: </w:t>
      </w:r>
      <w:r>
        <w:rPr>
          <w:rFonts w:ascii="Consolas" w:hAnsi="Consolas"/>
          <w:sz w:val="18"/>
        </w:rPr>
        <w:t>Coverage_j = AvailableWeight_j / RequiredWeight_j</w:t>
      </w:r>
    </w:p>
    <w:p>
      <w:pPr>
        <w:pStyle w:val="ListBody"/>
        <w:ind w:left="490" w:hanging="317"/>
      </w:pPr>
      <w:r>
        <w:rPr>
          <w:b/>
        </w:rPr>
        <w:t xml:space="preserve">• </w:t>
      </w:r>
      <w:r>
        <w:t>Basis: the coverage classification bands right below it (90–100% Full, 80–89.99% Acceptable, etc.) are percentages, which only makes sense if Coverage is a ratio of two weights.</w:t>
      </w:r>
    </w:p>
    <w:p>
      <w:pPr>
        <w:spacing w:after="0"/>
      </w:pPr>
    </w:p>
    <w:p>
      <w:pPr>
        <w:pStyle w:val="Heading3"/>
      </w:pPr>
      <w:r>
        <w:rPr>
          <w:b/>
        </w:rPr>
        <w:t>§24.2 Shrinkage to neutral</w:t>
      </w:r>
    </w:p>
    <w:p>
      <w:pPr>
        <w:pStyle w:val="ListBody"/>
        <w:ind w:left="490" w:hanging="317"/>
      </w:pPr>
      <w:r>
        <w:rPr>
          <w:b/>
        </w:rPr>
        <w:t xml:space="preserve">• </w:t>
      </w:r>
      <w:r>
        <w:t xml:space="preserve">Was: </w:t>
      </w:r>
      <w:r>
        <w:rPr>
          <w:rFonts w:ascii="Consolas" w:hAnsi="Consolas"/>
          <w:sz w:val="18"/>
        </w:rPr>
        <w:t>AdjustedScore_j= 50+Coverage_j(RawScore_j-50)</w:t>
      </w:r>
      <w:r>
        <w:t xml:space="preserve"> (only missing the multiplication sign)</w:t>
      </w:r>
    </w:p>
    <w:p>
      <w:pPr>
        <w:pStyle w:val="ListBody"/>
        <w:ind w:left="490" w:hanging="317"/>
      </w:pPr>
      <w:r>
        <w:rPr>
          <w:b/>
        </w:rPr>
        <w:t xml:space="preserve">• </w:t>
      </w:r>
      <w:r>
        <w:t xml:space="preserve">Now: </w:t>
      </w:r>
      <w:r>
        <w:rPr>
          <w:rFonts w:ascii="Consolas" w:hAnsi="Consolas"/>
          <w:sz w:val="18"/>
        </w:rPr>
        <w:t>AdjustedScore_j = 50 + Coverage_j x (RawScore_j - 50)</w:t>
      </w:r>
    </w:p>
    <w:p>
      <w:pPr>
        <w:spacing w:after="0"/>
      </w:pPr>
    </w:p>
    <w:p>
      <w:pPr/>
      <w:r>
        <w:rPr>
          <w:b/>
        </w:rPr>
        <w:t>§26 Cross-sectional normalization</w:t>
      </w:r>
      <w:r>
        <w:t xml:space="preserve"> (two formulas)</w:t>
      </w:r>
    </w:p>
    <w:p>
      <w:pPr>
        <w:pStyle w:val="ListBody"/>
        <w:ind w:left="490" w:hanging="317"/>
      </w:pPr>
      <w:r>
        <w:rPr>
          <w:b/>
        </w:rPr>
        <w:t xml:space="preserve">• </w:t>
      </w:r>
      <w:r>
        <w:t xml:space="preserve">Was: </w:t>
      </w:r>
      <w:r>
        <w:rPr>
          <w:rFonts w:ascii="Consolas" w:hAnsi="Consolas"/>
          <w:sz w:val="18"/>
        </w:rPr>
        <w:t>P_{i,m} = 0.60P_{sector}</w:t>
      </w:r>
      <w:r>
        <w:t xml:space="preserve"> / </w:t>
      </w:r>
      <w:r>
        <w:rPr>
          <w:rFonts w:ascii="Consolas" w:hAnsi="Consolas"/>
          <w:sz w:val="18"/>
        </w:rPr>
        <w:t>0.20P_{size}</w:t>
      </w:r>
      <w:r>
        <w:t xml:space="preserve"> / </w:t>
      </w:r>
      <w:r>
        <w:rPr>
          <w:rFonts w:ascii="Consolas" w:hAnsi="Consolas"/>
          <w:sz w:val="18"/>
        </w:rPr>
        <w:t>0.20P_{eligible universe}</w:t>
      </w:r>
      <w:r>
        <w:t xml:space="preserve"> (as three separate bullet fragments)</w:t>
      </w:r>
    </w:p>
    <w:p>
      <w:pPr>
        <w:pStyle w:val="ListBody"/>
        <w:ind w:left="490" w:hanging="317"/>
      </w:pPr>
      <w:r>
        <w:rPr>
          <w:b/>
        </w:rPr>
        <w:t xml:space="preserve">• </w:t>
      </w:r>
      <w:r>
        <w:t xml:space="preserve">Now: </w:t>
      </w:r>
      <w:r>
        <w:rPr>
          <w:rFonts w:ascii="Consolas" w:hAnsi="Consolas"/>
          <w:sz w:val="18"/>
        </w:rPr>
        <w:t>P_{i,m} = 0.60 x P_{sector} + 0.20 x P_{size} + 0.20 x P_{eligible universe}</w:t>
      </w:r>
    </w:p>
    <w:p>
      <w:pPr>
        <w:pStyle w:val="ListBody"/>
        <w:ind w:left="490" w:hanging="317"/>
      </w:pPr>
      <w:r>
        <w:rPr>
          <w:b/>
        </w:rPr>
        <w:t xml:space="preserve">• </w:t>
      </w:r>
      <w:r>
        <w:t>Basis: 0.60 + 0.20 + 0.20 = 1.00 — this is a weighted blend, and the three fragments were one formula broken across bullet points, not a list.</w:t>
      </w:r>
    </w:p>
    <w:p>
      <w:pPr>
        <w:pStyle w:val="ListBody"/>
        <w:ind w:left="490" w:hanging="317"/>
      </w:pPr>
      <w:r>
        <w:rPr>
          <w:b/>
        </w:rPr>
        <w:t xml:space="preserve">• </w:t>
      </w:r>
      <w:r>
        <w:rPr>
          <w:rFonts w:ascii="Consolas" w:hAnsi="Consolas"/>
          <w:sz w:val="18"/>
        </w:rPr>
        <w:t>Score_{i,m}=100-P_{i,m}</w:t>
      </w:r>
      <w:r>
        <w:t xml:space="preserve"> was already intact (inverts a percentile for lower-is-better metrics). No change.</w:t>
      </w:r>
    </w:p>
    <w:p>
      <w:pPr>
        <w:spacing w:after="0"/>
      </w:pPr>
    </w:p>
    <w:p>
      <w:pPr>
        <w:pStyle w:val="Heading3"/>
      </w:pPr>
      <w:r>
        <w:rPr>
          <w:b/>
        </w:rPr>
        <w:t>§26 Historical normalization</w:t>
      </w:r>
    </w:p>
    <w:p>
      <w:pPr>
        <w:pStyle w:val="ListBody"/>
        <w:ind w:left="490" w:hanging="317"/>
      </w:pPr>
      <w:r>
        <w:rPr>
          <w:b/>
        </w:rPr>
        <w:t xml:space="preserve">• </w:t>
      </w:r>
      <w:r>
        <w:t xml:space="preserve">Was: </w:t>
      </w:r>
      <w:r>
        <w:rPr>
          <w:rFonts w:ascii="Consolas" w:hAnsi="Consolas"/>
          <w:sz w:val="18"/>
        </w:rPr>
        <w:t>HistoricalZ= {HistoricalMAD}</w:t>
      </w:r>
    </w:p>
    <w:p>
      <w:pPr>
        <w:pStyle w:val="ListBody"/>
        <w:ind w:left="490" w:hanging="317"/>
      </w:pPr>
      <w:r>
        <w:rPr>
          <w:b/>
        </w:rPr>
        <w:t xml:space="preserve">• </w:t>
      </w:r>
      <w:r>
        <w:t xml:space="preserve">Now: </w:t>
      </w:r>
      <w:r>
        <w:rPr>
          <w:rFonts w:ascii="Consolas" w:hAnsi="Consolas"/>
          <w:sz w:val="18"/>
        </w:rPr>
        <w:t>HistoricalZ = (CurrentMetric - HistoricalMedian) / HistoricalMAD</w:t>
      </w:r>
    </w:p>
    <w:p>
      <w:pPr>
        <w:pStyle w:val="ListBody"/>
        <w:ind w:left="490" w:hanging="317"/>
      </w:pPr>
      <w:r>
        <w:rPr>
          <w:b/>
        </w:rPr>
        <w:t xml:space="preserve">• </w:t>
      </w:r>
      <w:r>
        <w:t>Basis: "helps distinguish a genuinely cheap company from an expensive sector" (next line) — a median/MAD-based z-score, robust to outliers, standard for this exact use.</w:t>
      </w:r>
    </w:p>
    <w:p>
      <w:pPr>
        <w:spacing w:after="0"/>
      </w:pPr>
    </w:p>
    <w:p>
      <w:pPr>
        <w:pStyle w:val="Heading3"/>
      </w:pPr>
      <w:r>
        <w:rPr>
          <w:b/>
        </w:rPr>
        <w:t>§28 Candidate Score</w:t>
      </w:r>
    </w:p>
    <w:p>
      <w:pPr>
        <w:pStyle w:val="ListBody"/>
        <w:ind w:left="490" w:hanging="317"/>
      </w:pPr>
      <w:r>
        <w:rPr>
          <w:b/>
        </w:rPr>
        <w:t xml:space="preserve">• </w:t>
      </w:r>
      <w:r>
        <w:t xml:space="preserve">Was: </w:t>
      </w:r>
      <w:r>
        <w:rPr>
          <w:rFonts w:ascii="Consolas" w:hAnsi="Consolas"/>
          <w:sz w:val="18"/>
        </w:rPr>
        <w:t>RawCS_i=*jw_jS*{i,j}</w:t>
      </w:r>
      <w:r>
        <w:t xml:space="preserve"> → Now: </w:t>
      </w:r>
      <w:r>
        <w:rPr>
          <w:rFonts w:ascii="Consolas" w:hAnsi="Consolas"/>
          <w:sz w:val="18"/>
        </w:rPr>
        <w:t>RawCS_i = SUM over j of (w_j x S_{i,j})</w:t>
      </w:r>
      <w:r>
        <w:t xml:space="preserve"> (same pattern as DC_i; weight table above sums to 100)</w:t>
      </w:r>
    </w:p>
    <w:p>
      <w:pPr>
        <w:pStyle w:val="ListBody"/>
        <w:ind w:left="490" w:hanging="317"/>
      </w:pPr>
      <w:r>
        <w:rPr>
          <w:b/>
        </w:rPr>
        <w:t xml:space="preserve">• </w:t>
      </w:r>
      <w:r>
        <w:t xml:space="preserve">Was: </w:t>
      </w:r>
      <w:r>
        <w:rPr>
          <w:rFonts w:ascii="Consolas" w:hAnsi="Consolas"/>
          <w:sz w:val="18"/>
        </w:rPr>
        <w:t>AdjustedCS_i= 50+(RawCS_i-50)</w:t>
      </w:r>
      <w:r>
        <w:t xml:space="preserve"> → Now: </w:t>
      </w:r>
      <w:r>
        <w:rPr>
          <w:rFonts w:ascii="Consolas" w:hAnsi="Consolas"/>
          <w:sz w:val="18"/>
        </w:rPr>
        <w:t>AdjustedCS_i = 50 + DC_i x (RawCS_i - 50)</w:t>
      </w:r>
      <w:r>
        <w:t xml:space="preserve"> (same shrinkage-to-neutral pattern as §24.2, gated by Data Confidence)</w:t>
      </w:r>
    </w:p>
    <w:p>
      <w:pPr>
        <w:pStyle w:val="ListBody"/>
        <w:ind w:left="490" w:hanging="317"/>
      </w:pPr>
      <w:r>
        <w:rPr>
          <w:b/>
        </w:rPr>
        <w:t xml:space="preserve">• </w:t>
      </w:r>
      <w:r>
        <w:t xml:space="preserve">Was: </w:t>
      </w:r>
      <w:r>
        <w:rPr>
          <w:rFonts w:ascii="Consolas" w:hAnsi="Consolas"/>
          <w:sz w:val="18"/>
        </w:rPr>
        <w:t>FinalCS_i= (AdjustedCS_i,HardGateCap_i)</w:t>
      </w:r>
      <w:r>
        <w:t xml:space="preserve"> → Now: </w:t>
      </w:r>
      <w:r>
        <w:rPr>
          <w:rFonts w:ascii="Consolas" w:hAnsi="Consolas"/>
          <w:sz w:val="18"/>
        </w:rPr>
        <w:t>FinalCS_i = min(AdjustedCS_i, HardGateCap_i)</w:t>
      </w:r>
      <w:r>
        <w:t xml:space="preserve"> (matches the "Hard-gate cap" header and the </w:t>
      </w:r>
      <w:r>
        <w:rPr>
          <w:rFonts w:ascii="Consolas" w:hAnsi="Consolas"/>
          <w:sz w:val="18"/>
        </w:rPr>
        <w:t>MaximumCandidateScore=69</w:t>
      </w:r>
      <w:r>
        <w:t xml:space="preserve"> example directly below it)</w:t>
      </w:r>
    </w:p>
    <w:p>
      <w:pPr>
        <w:spacing w:after="0"/>
      </w:pPr>
    </w:p>
    <w:p>
      <w:pPr>
        <w:pStyle w:val="Heading3"/>
      </w:pPr>
      <w:r>
        <w:rPr>
          <w:b/>
        </w:rPr>
        <w:t>§29 Financial-quality ratios</w:t>
      </w:r>
    </w:p>
    <w:p>
      <w:pPr>
        <w:pStyle w:val="ListBody"/>
        <w:ind w:left="490" w:hanging="317"/>
      </w:pPr>
      <w:r>
        <w:rPr>
          <w:b/>
        </w:rPr>
        <w:t xml:space="preserve">• </w:t>
      </w:r>
      <w:r>
        <w:t xml:space="preserve">Was: </w:t>
      </w:r>
      <w:r>
        <w:rPr>
          <w:rFonts w:ascii="Consolas" w:hAnsi="Consolas"/>
          <w:sz w:val="18"/>
        </w:rPr>
        <w:t>CFOConversion= {NormalizedPAT}</w:t>
      </w:r>
      <w:r>
        <w:t xml:space="preserve"> → Now: </w:t>
      </w:r>
      <w:r>
        <w:rPr>
          <w:rFonts w:ascii="Consolas" w:hAnsi="Consolas"/>
          <w:sz w:val="18"/>
        </w:rPr>
        <w:t>CFOConversion = CFO / NormalizedPAT</w:t>
      </w:r>
    </w:p>
    <w:p>
      <w:pPr>
        <w:pStyle w:val="ListBody"/>
        <w:ind w:left="490" w:hanging="317"/>
      </w:pPr>
      <w:r>
        <w:rPr>
          <w:b/>
        </w:rPr>
        <w:t xml:space="preserve">• </w:t>
      </w:r>
      <w:r>
        <w:t xml:space="preserve">Was: </w:t>
      </w:r>
      <w:r>
        <w:rPr>
          <w:rFonts w:ascii="Consolas" w:hAnsi="Consolas"/>
          <w:sz w:val="18"/>
        </w:rPr>
        <w:t>FCFConversion= {NormalizedPAT}</w:t>
      </w:r>
      <w:r>
        <w:t xml:space="preserve"> → Now: </w:t>
      </w:r>
      <w:r>
        <w:rPr>
          <w:rFonts w:ascii="Consolas" w:hAnsi="Consolas"/>
          <w:sz w:val="18"/>
        </w:rPr>
        <w:t>FCFConversion = FCF / NormalizedPAT</w:t>
      </w:r>
    </w:p>
    <w:p>
      <w:pPr>
        <w:pStyle w:val="ListBody"/>
        <w:ind w:left="490" w:hanging="317"/>
      </w:pPr>
      <w:r>
        <w:rPr>
          <w:b/>
        </w:rPr>
        <w:t xml:space="preserve">• </w:t>
      </w:r>
      <w:r>
        <w:t xml:space="preserve">Was: </w:t>
      </w:r>
      <w:r>
        <w:rPr>
          <w:rFonts w:ascii="Consolas" w:hAnsi="Consolas"/>
          <w:sz w:val="18"/>
        </w:rPr>
        <w:t>AccrualRatio= {AverageOperatingAssets}</w:t>
      </w:r>
      <w:r>
        <w:t xml:space="preserve"> → Now: </w:t>
      </w:r>
      <w:r>
        <w:rPr>
          <w:rFonts w:ascii="Consolas" w:hAnsi="Consolas"/>
          <w:sz w:val="18"/>
        </w:rPr>
        <w:t>AccrualRatio = (NormalizedPAT - FCF) / AverageOperatingAssets</w:t>
      </w:r>
    </w:p>
    <w:p>
      <w:pPr>
        <w:pStyle w:val="ListBody"/>
        <w:ind w:left="490" w:hanging="317"/>
      </w:pPr>
      <w:r>
        <w:rPr>
          <w:b/>
        </w:rPr>
        <w:t xml:space="preserve">• </w:t>
      </w:r>
      <w:r>
        <w:t>Basis: all three are standard earnings-quality ratios; the accrual ratio is the classic Sloan accruals formula.</w:t>
      </w:r>
    </w:p>
    <w:p>
      <w:pPr>
        <w:spacing w:after="0"/>
      </w:pPr>
    </w:p>
    <w:p>
      <w:pPr>
        <w:pStyle w:val="Heading3"/>
      </w:pPr>
      <w:r>
        <w:rPr>
          <w:b/>
        </w:rPr>
        <w:t>§30 Per-share growth</w:t>
      </w:r>
    </w:p>
    <w:p>
      <w:pPr>
        <w:pStyle w:val="ListBody"/>
        <w:ind w:left="490" w:hanging="317"/>
      </w:pPr>
      <w:r>
        <w:rPr>
          <w:b/>
        </w:rPr>
        <w:t xml:space="preserve">• </w:t>
      </w:r>
      <w:r>
        <w:t xml:space="preserve">Was: </w:t>
      </w:r>
      <w:r>
        <w:rPr>
          <w:rFonts w:ascii="Consolas" w:hAnsi="Consolas"/>
          <w:sz w:val="18"/>
        </w:rPr>
        <w:t>PerShareGrowth= ( {Metric_0/Shares_0} )^{1/n}-1</w:t>
      </w:r>
      <w:r>
        <w:t xml:space="preserve"> (missing the ending-period value entirely, not just an operator)</w:t>
      </w:r>
    </w:p>
    <w:p>
      <w:pPr>
        <w:pStyle w:val="ListBody"/>
        <w:ind w:left="490" w:hanging="317"/>
      </w:pPr>
      <w:r>
        <w:rPr>
          <w:b/>
        </w:rPr>
        <w:t xml:space="preserve">• </w:t>
      </w:r>
      <w:r>
        <w:t xml:space="preserve">Now: </w:t>
      </w:r>
      <w:r>
        <w:rPr>
          <w:rFonts w:ascii="Consolas" w:hAnsi="Consolas"/>
          <w:sz w:val="18"/>
        </w:rPr>
        <w:t>PerShareGrowth = ((Metric_n/Shares_n) / (Metric_0/Shares_0))^{1/n} - 1</w:t>
      </w:r>
    </w:p>
    <w:p>
      <w:pPr>
        <w:pStyle w:val="ListBody"/>
        <w:ind w:left="490" w:hanging="317"/>
      </w:pPr>
      <w:r>
        <w:rPr>
          <w:b/>
        </w:rPr>
        <w:t xml:space="preserve">• </w:t>
      </w:r>
      <w:r>
        <w:t>Basis: a per-share CAGR needs both endpoints; only the base-period term survived.</w:t>
      </w:r>
    </w:p>
    <w:p>
      <w:pPr>
        <w:spacing w:after="0"/>
      </w:pPr>
    </w:p>
    <w:p>
      <w:pPr>
        <w:pStyle w:val="Heading3"/>
      </w:pPr>
      <w:r>
        <w:rPr>
          <w:b/>
        </w:rPr>
        <w:t>§31 Valuation</w:t>
      </w:r>
    </w:p>
    <w:p>
      <w:pPr>
        <w:pStyle w:val="ListBody"/>
        <w:ind w:left="490" w:hanging="317"/>
      </w:pPr>
      <w:r>
        <w:rPr>
          <w:b/>
        </w:rPr>
        <w:t xml:space="preserve">• </w:t>
      </w:r>
      <w:r>
        <w:t xml:space="preserve">Was: </w:t>
      </w:r>
      <w:r>
        <w:rPr>
          <w:rFonts w:ascii="Consolas" w:hAnsi="Consolas"/>
          <w:sz w:val="18"/>
        </w:rPr>
        <w:t>ValuationScore= 0.40SectorRelative</w:t>
      </w:r>
      <w:r>
        <w:t xml:space="preserve"> / </w:t>
      </w:r>
      <w:r>
        <w:rPr>
          <w:rFonts w:ascii="Consolas" w:hAnsi="Consolas"/>
          <w:sz w:val="18"/>
        </w:rPr>
        <w:t>0.25HistoricalRelative</w:t>
      </w:r>
      <w:r>
        <w:t xml:space="preserve"> / </w:t>
      </w:r>
      <w:r>
        <w:rPr>
          <w:rFonts w:ascii="Consolas" w:hAnsi="Consolas"/>
          <w:sz w:val="18"/>
        </w:rPr>
        <w:t>0.20UniverseRelative</w:t>
      </w:r>
      <w:r>
        <w:t xml:space="preserve"> / </w:t>
      </w:r>
      <w:r>
        <w:rPr>
          <w:rFonts w:ascii="Consolas" w:hAnsi="Consolas"/>
          <w:sz w:val="18"/>
        </w:rPr>
        <w:t>0.15CashYield</w:t>
      </w:r>
      <w:r>
        <w:t xml:space="preserve"> (four bullet fragments)</w:t>
      </w:r>
    </w:p>
    <w:p>
      <w:pPr>
        <w:pStyle w:val="ListBody"/>
        <w:ind w:left="490" w:hanging="317"/>
      </w:pPr>
      <w:r>
        <w:rPr>
          <w:b/>
        </w:rPr>
        <w:t xml:space="preserve">• </w:t>
      </w:r>
      <w:r>
        <w:t xml:space="preserve">Now: </w:t>
      </w:r>
      <w:r>
        <w:rPr>
          <w:rFonts w:ascii="Consolas" w:hAnsi="Consolas"/>
          <w:sz w:val="18"/>
        </w:rPr>
        <w:t>ValuationScore = 0.40 x SectorRelative + 0.25 x HistoricalRelative + 0.20 x UniverseRelative + 0.15 x CashYield</w:t>
      </w:r>
    </w:p>
    <w:p>
      <w:pPr>
        <w:pStyle w:val="ListBody"/>
        <w:ind w:left="490" w:hanging="317"/>
      </w:pPr>
      <w:r>
        <w:rPr>
          <w:b/>
        </w:rPr>
        <w:t xml:space="preserve">• </w:t>
      </w:r>
      <w:r>
        <w:t>Basis: weights sum to 1.00, same pattern as §26.</w:t>
      </w:r>
    </w:p>
    <w:p>
      <w:pPr>
        <w:pStyle w:val="ListBody"/>
        <w:ind w:left="490" w:hanging="317"/>
      </w:pPr>
      <w:r>
        <w:rPr>
          <w:b/>
        </w:rPr>
        <w:t xml:space="preserve">• </w:t>
      </w:r>
      <w:r>
        <w:rPr>
          <w:rFonts w:ascii="Consolas" w:hAnsi="Consolas"/>
          <w:sz w:val="18"/>
        </w:rPr>
        <w:t>AdjustedValue= ValueScore ( 0.5+ 0.5 )</w:t>
      </w:r>
      <w:r>
        <w:t xml:space="preserve"> → Now: </w:t>
      </w:r>
      <w:r>
        <w:rPr>
          <w:rFonts w:ascii="Consolas" w:hAnsi="Consolas"/>
          <w:sz w:val="18"/>
        </w:rPr>
        <w:t>AdjustedValue = ValueScore x (0.5 + 0.5 x QualityFactor)</w:t>
      </w:r>
    </w:p>
    <w:p>
      <w:pPr>
        <w:pStyle w:val="ListBody"/>
        <w:ind w:left="490" w:hanging="317"/>
      </w:pPr>
      <w:r>
        <w:rPr>
          <w:b/>
        </w:rPr>
        <w:t xml:space="preserve">• </w:t>
      </w:r>
      <w:r>
        <w:t>Basis: "prevents weak companies from ranking highly only because they appear cheap" — the missing term has to be a quality factor; without it the formula is just ValueScore × 1.</w:t>
      </w:r>
    </w:p>
    <w:p>
      <w:pPr>
        <w:spacing w:after="0"/>
      </w:pPr>
    </w:p>
    <w:p>
      <w:pPr>
        <w:pStyle w:val="Heading3"/>
      </w:pPr>
      <w:r>
        <w:rPr>
          <w:b/>
        </w:rPr>
        <w:t>§33 Capital allocation</w:t>
      </w:r>
    </w:p>
    <w:p>
      <w:pPr>
        <w:pStyle w:val="ListBody"/>
        <w:ind w:left="490" w:hanging="317"/>
      </w:pPr>
      <w:r>
        <w:rPr>
          <w:b/>
        </w:rPr>
        <w:t xml:space="preserve">• </w:t>
      </w:r>
      <w:r>
        <w:t xml:space="preserve">Was: </w:t>
      </w:r>
      <w:r>
        <w:rPr>
          <w:rFonts w:ascii="Consolas" w:hAnsi="Consolas"/>
          <w:sz w:val="18"/>
        </w:rPr>
        <w:t>ROIIC= {InvestedCapital}</w:t>
      </w:r>
      <w:r>
        <w:t xml:space="preserve"> → Now: </w:t>
      </w:r>
      <w:r>
        <w:rPr>
          <w:rFonts w:ascii="Consolas" w:hAnsi="Consolas"/>
          <w:sz w:val="18"/>
        </w:rPr>
        <w:t>ROIIC = DeltaNOPAT / DeltaInvestedCapital</w:t>
      </w:r>
    </w:p>
    <w:p>
      <w:pPr>
        <w:pStyle w:val="ListBody"/>
        <w:ind w:left="490" w:hanging="317"/>
      </w:pPr>
      <w:r>
        <w:rPr>
          <w:b/>
        </w:rPr>
        <w:t xml:space="preserve">• </w:t>
      </w:r>
      <w:r>
        <w:t>Basis: standard return-on-incremental-invested-capital definition; matches "use multi-year smoothing" note beside it.</w:t>
      </w:r>
    </w:p>
    <w:p>
      <w:pPr>
        <w:spacing w:after="0"/>
      </w:pPr>
    </w:p>
    <w:p>
      <w:pPr>
        <w:pStyle w:val="Heading3"/>
      </w:pPr>
      <w:r>
        <w:rPr>
          <w:b/>
        </w:rPr>
        <w:t>§39 Ranking</w:t>
      </w:r>
    </w:p>
    <w:p>
      <w:pPr>
        <w:pStyle w:val="ListBody"/>
        <w:ind w:left="490" w:hanging="317"/>
      </w:pPr>
      <w:r>
        <w:rPr>
          <w:b/>
        </w:rPr>
        <w:t xml:space="preserve">• </w:t>
      </w:r>
      <w:r>
        <w:t xml:space="preserve">Was: </w:t>
      </w:r>
      <w:r>
        <w:rPr>
          <w:rFonts w:ascii="Consolas" w:hAnsi="Consolas"/>
          <w:sz w:val="18"/>
        </w:rPr>
        <w:t>CompositeRank= 0.50OverallPercentile</w:t>
      </w:r>
      <w:r>
        <w:t xml:space="preserve"> / </w:t>
      </w:r>
      <w:r>
        <w:rPr>
          <w:rFonts w:ascii="Consolas" w:hAnsi="Consolas"/>
          <w:sz w:val="18"/>
        </w:rPr>
        <w:t>0.25SectorPercentile</w:t>
      </w:r>
      <w:r>
        <w:t xml:space="preserve"> / </w:t>
      </w:r>
      <w:r>
        <w:rPr>
          <w:rFonts w:ascii="Consolas" w:hAnsi="Consolas"/>
          <w:sz w:val="18"/>
        </w:rPr>
        <w:t>0.15SizePercentile</w:t>
      </w:r>
      <w:r>
        <w:t xml:space="preserve"> / </w:t>
      </w:r>
      <w:r>
        <w:rPr>
          <w:rFonts w:ascii="Consolas" w:hAnsi="Consolas"/>
          <w:sz w:val="18"/>
        </w:rPr>
        <w:t>0.10RankPersistence</w:t>
      </w:r>
      <w:r>
        <w:t xml:space="preserve"> (four bullet fragments)</w:t>
      </w:r>
    </w:p>
    <w:p>
      <w:pPr>
        <w:pStyle w:val="ListBody"/>
        <w:ind w:left="490" w:hanging="317"/>
      </w:pPr>
      <w:r>
        <w:rPr>
          <w:b/>
        </w:rPr>
        <w:t xml:space="preserve">• </w:t>
      </w:r>
      <w:r>
        <w:t xml:space="preserve">Now: </w:t>
      </w:r>
      <w:r>
        <w:rPr>
          <w:rFonts w:ascii="Consolas" w:hAnsi="Consolas"/>
          <w:sz w:val="18"/>
        </w:rPr>
        <w:t>CompositeRank = 0.50 x OverallPercentile + 0.25 x SectorPercentile + 0.15 x SizePercentile + 0.10 x RankPersistence</w:t>
      </w:r>
    </w:p>
    <w:p>
      <w:pPr>
        <w:pStyle w:val="ListBody"/>
        <w:ind w:left="490" w:hanging="317"/>
      </w:pPr>
      <w:r>
        <w:rPr>
          <w:b/>
        </w:rPr>
        <w:t xml:space="preserve">• </w:t>
      </w:r>
      <w:r>
        <w:t>Basis: weights sum to 1.00.</w:t>
      </w:r>
    </w:p>
    <w:p>
      <w:pPr>
        <w:spacing w:after="0"/>
      </w:pPr>
    </w:p>
    <w:p>
      <w:pPr/>
      <w:r>
        <w:rPr>
          <w:b/>
        </w:rPr>
        <w:t>§40 Rank stability</w:t>
      </w:r>
      <w:r>
        <w:t xml:space="preserve"> — </w:t>
      </w:r>
      <w:r>
        <w:rPr>
          <w:rFonts w:ascii="Consolas" w:hAnsi="Consolas"/>
          <w:sz w:val="18"/>
        </w:rPr>
        <w:t>Stability= 100- Percentile(|Score_t-Score_{t-1}|)</w:t>
      </w:r>
      <w:r>
        <w:t xml:space="preserve"> was already intact, just cleaned up spacing. No substantive change.</w:t>
      </w:r>
    </w:p>
    <w:p>
      <w:pPr>
        <w:spacing w:after="0"/>
      </w:pPr>
    </w:p>
    <w:p>
      <w:pPr>
        <w:pStyle w:val="Heading3"/>
      </w:pPr>
      <w:r>
        <w:rPr>
          <w:b/>
        </w:rPr>
        <w:t>§42 Deep-research promotion</w:t>
      </w:r>
    </w:p>
    <w:p>
      <w:pPr>
        <w:pStyle w:val="ListBody"/>
        <w:ind w:left="490" w:hanging="317"/>
      </w:pPr>
      <w:r>
        <w:rPr>
          <w:b/>
        </w:rPr>
        <w:t xml:space="preserve">• </w:t>
      </w:r>
      <w:r>
        <w:t>Was: seven bullet fragments (</w:t>
      </w:r>
      <w:r>
        <w:rPr>
          <w:rFonts w:ascii="Consolas" w:hAnsi="Consolas"/>
          <w:sz w:val="18"/>
        </w:rPr>
        <w:t>0.45CandidateScore</w:t>
      </w:r>
      <w:r>
        <w:t xml:space="preserve">, </w:t>
      </w:r>
      <w:r>
        <w:rPr>
          <w:rFonts w:ascii="Consolas" w:hAnsi="Consolas"/>
          <w:sz w:val="18"/>
        </w:rPr>
        <w:t>0.15SectorPercentile</w:t>
      </w:r>
      <w:r>
        <w:t xml:space="preserve">, ... </w:t>
      </w:r>
      <w:r>
        <w:rPr>
          <w:rFonts w:ascii="Consolas" w:hAnsi="Consolas"/>
          <w:sz w:val="18"/>
        </w:rPr>
        <w:t>0.05PortfolioPriority</w:t>
      </w:r>
      <w:r>
        <w:t>)</w:t>
      </w:r>
    </w:p>
    <w:p>
      <w:pPr>
        <w:pStyle w:val="ListBody"/>
        <w:ind w:left="490" w:hanging="317"/>
      </w:pPr>
      <w:r>
        <w:rPr>
          <w:b/>
        </w:rPr>
        <w:t xml:space="preserve">• </w:t>
      </w:r>
      <w:r>
        <w:t xml:space="preserve">Now: </w:t>
      </w:r>
      <w:r>
        <w:rPr>
          <w:rFonts w:ascii="Consolas" w:hAnsi="Consolas"/>
          <w:sz w:val="18"/>
        </w:rPr>
        <w:t>PromotionScore = 0.45 x CandidateScore + 0.15 x SectorPercentile + 0.10 x DataConfidence + 0.10 x RankPersistence + 0.10 x Liquidity + 0.05 x EventPriority + 0.05 x PortfolioPriority</w:t>
      </w:r>
    </w:p>
    <w:p>
      <w:pPr>
        <w:pStyle w:val="ListBody"/>
        <w:ind w:left="490" w:hanging="317"/>
      </w:pPr>
      <w:r>
        <w:rPr>
          <w:b/>
        </w:rPr>
        <w:t xml:space="preserve">• </w:t>
      </w:r>
      <w:r>
        <w:t>Basis: weights sum to 1.00.</w:t>
      </w:r>
    </w:p>
    <w:p>
      <w:pPr>
        <w:spacing w:after="0"/>
      </w:pPr>
    </w:p>
    <w:p>
      <w:pPr>
        <w:pStyle w:val="Heading3"/>
      </w:pPr>
      <w:r>
        <w:rPr>
          <w:b/>
        </w:rPr>
        <w:t>§44 Deep Research Score</w:t>
      </w:r>
    </w:p>
    <w:p>
      <w:pPr>
        <w:pStyle w:val="ListBody"/>
        <w:ind w:left="490" w:hanging="317"/>
      </w:pPr>
      <w:r>
        <w:rPr>
          <w:b/>
        </w:rPr>
        <w:t xml:space="preserve">• </w:t>
      </w:r>
      <w:r>
        <w:t xml:space="preserve">Was: </w:t>
      </w:r>
      <w:r>
        <w:rPr>
          <w:rFonts w:ascii="Consolas" w:hAnsi="Consolas"/>
          <w:sz w:val="18"/>
        </w:rPr>
        <w:t>AdjustedResearchScore= 50+(RawResearchScore-50)</w:t>
      </w:r>
    </w:p>
    <w:p>
      <w:pPr>
        <w:pStyle w:val="ListBody"/>
        <w:ind w:left="490" w:hanging="317"/>
      </w:pPr>
      <w:r>
        <w:rPr>
          <w:b/>
        </w:rPr>
        <w:t xml:space="preserve">• </w:t>
      </w:r>
      <w:r>
        <w:t xml:space="preserve">Now: </w:t>
      </w:r>
      <w:r>
        <w:rPr>
          <w:rFonts w:ascii="Consolas" w:hAnsi="Consolas"/>
          <w:sz w:val="18"/>
        </w:rPr>
        <w:t>AdjustedResearchScore = 50 + EvidenceConfidence x (RawResearchScore - 50)</w:t>
      </w:r>
    </w:p>
    <w:p>
      <w:pPr>
        <w:pStyle w:val="ListBody"/>
        <w:ind w:left="490" w:hanging="317"/>
      </w:pPr>
      <w:r>
        <w:rPr>
          <w:b/>
        </w:rPr>
        <w:t xml:space="preserve">• </w:t>
      </w:r>
      <w:r>
        <w:t>Basis: same shrinkage-to-neutral pattern used three other places in the document (§24.2, §28, §56). "EvidenceConfidence" is my label for the missing multiplier — the concept is clearly a confidence/completeness gate, but the exact original variable name didn't survive, so treat that one name as a placeholder to rename if you have a more specific term in mind.</w:t>
      </w:r>
    </w:p>
    <w:p>
      <w:pPr>
        <w:spacing w:after="0"/>
      </w:pPr>
    </w:p>
    <w:p>
      <w:pPr>
        <w:pStyle w:val="Heading3"/>
      </w:pPr>
      <w:r>
        <w:rPr>
          <w:b/>
        </w:rPr>
        <w:t>§48 Valuation scenarios</w:t>
      </w:r>
    </w:p>
    <w:p>
      <w:pPr>
        <w:pStyle w:val="ListBody"/>
        <w:ind w:left="490" w:hanging="317"/>
      </w:pPr>
      <w:r>
        <w:rPr>
          <w:b/>
        </w:rPr>
        <w:t xml:space="preserve">• </w:t>
      </w:r>
      <w:r>
        <w:t xml:space="preserve">Was: </w:t>
      </w:r>
      <w:r>
        <w:rPr>
          <w:rFonts w:ascii="Consolas" w:hAnsi="Consolas"/>
          <w:sz w:val="18"/>
        </w:rPr>
        <w:t>WeightedFairValue= _s Probability_sFairValue_s</w:t>
      </w:r>
    </w:p>
    <w:p>
      <w:pPr>
        <w:pStyle w:val="ListBody"/>
        <w:ind w:left="490" w:hanging="317"/>
      </w:pPr>
      <w:r>
        <w:rPr>
          <w:b/>
        </w:rPr>
        <w:t xml:space="preserve">• </w:t>
      </w:r>
      <w:r>
        <w:t xml:space="preserve">Now: </w:t>
      </w:r>
      <w:r>
        <w:rPr>
          <w:rFonts w:ascii="Consolas" w:hAnsi="Consolas"/>
          <w:sz w:val="18"/>
        </w:rPr>
        <w:t>WeightedFairValue = SUM over s of (Probability_s x FairValue_s)</w:t>
      </w:r>
    </w:p>
    <w:p>
      <w:pPr>
        <w:pStyle w:val="ListBody"/>
        <w:ind w:left="490" w:hanging="317"/>
      </w:pPr>
      <w:r>
        <w:rPr>
          <w:b/>
        </w:rPr>
        <w:t xml:space="preserve">• </w:t>
      </w:r>
      <w:r>
        <w:t>Basis: "probabilities must total 100%" directly below — a probability-weighted expected value across the bull/base/bear/severe-downside scenarios.</w:t>
      </w:r>
    </w:p>
    <w:p>
      <w:pPr>
        <w:spacing w:after="0"/>
      </w:pPr>
    </w:p>
    <w:p>
      <w:pPr>
        <w:pStyle w:val="Heading3"/>
      </w:pPr>
      <w:r>
        <w:rPr>
          <w:b/>
        </w:rPr>
        <w:t>§49.4 Expected annualized return</w:t>
      </w:r>
    </w:p>
    <w:p>
      <w:pPr>
        <w:pStyle w:val="ListBody"/>
        <w:ind w:left="490" w:hanging="317"/>
      </w:pPr>
      <w:r>
        <w:rPr>
          <w:b/>
        </w:rPr>
        <w:t xml:space="preserve">• </w:t>
      </w:r>
      <w:r>
        <w:t xml:space="preserve">Was: </w:t>
      </w:r>
      <w:r>
        <w:rPr>
          <w:rFonts w:ascii="Consolas" w:hAnsi="Consolas"/>
          <w:sz w:val="18"/>
        </w:rPr>
        <w:t>ExpectedAnnualizedReturn= ( {CurrentPrice} )^{1/Horizon}-1</w:t>
      </w:r>
      <w:r>
        <w:t xml:space="preserve"> (again missing the target-value numerator)</w:t>
      </w:r>
    </w:p>
    <w:p>
      <w:pPr>
        <w:pStyle w:val="ListBody"/>
        <w:ind w:left="490" w:hanging="317"/>
      </w:pPr>
      <w:r>
        <w:rPr>
          <w:b/>
        </w:rPr>
        <w:t xml:space="preserve">• </w:t>
      </w:r>
      <w:r>
        <w:t xml:space="preserve">Now: </w:t>
      </w:r>
      <w:r>
        <w:rPr>
          <w:rFonts w:ascii="Consolas" w:hAnsi="Consolas"/>
          <w:sz w:val="18"/>
        </w:rPr>
        <w:t>ExpectedAnnualizedReturn = (WeightedFairValue / CurrentPrice)^{1/Horizon} - 1</w:t>
      </w:r>
    </w:p>
    <w:p>
      <w:pPr>
        <w:pStyle w:val="ListBody"/>
        <w:ind w:left="490" w:hanging="317"/>
      </w:pPr>
      <w:r>
        <w:rPr>
          <w:b/>
        </w:rPr>
        <w:t xml:space="preserve">• </w:t>
      </w:r>
      <w:r>
        <w:t>Basis: annualized return implied by moving from current price to the fair value computed one section earlier.</w:t>
      </w:r>
    </w:p>
    <w:p>
      <w:pPr>
        <w:spacing w:after="0"/>
      </w:pPr>
    </w:p>
    <w:p>
      <w:pPr/>
      <w:r>
        <w:rPr>
          <w:b/>
        </w:rPr>
        <w:t>§56 Horizon Signal Score</w:t>
      </w:r>
      <w:r>
        <w:t xml:space="preserve"> (four formulas)</w:t>
      </w:r>
    </w:p>
    <w:p>
      <w:pPr>
        <w:pStyle w:val="ListBody"/>
        <w:ind w:left="490" w:hanging="317"/>
      </w:pPr>
      <w:r>
        <w:rPr>
          <w:b/>
        </w:rPr>
        <w:t xml:space="preserve">• </w:t>
      </w:r>
      <w:r>
        <w:t xml:space="preserve">Was: </w:t>
      </w:r>
      <w:r>
        <w:rPr>
          <w:rFonts w:ascii="Consolas" w:hAnsi="Consolas"/>
          <w:sz w:val="18"/>
        </w:rPr>
        <w:t>HSS_{i,h}= *k w*{h,k}S_{i,k}</w:t>
      </w:r>
      <w:r>
        <w:t xml:space="preserve"> → Now: </w:t>
      </w:r>
      <w:r>
        <w:rPr>
          <w:rFonts w:ascii="Consolas" w:hAnsi="Consolas"/>
          <w:sz w:val="18"/>
        </w:rPr>
        <w:t>HSS_{i,h} = SUM over k of (w_{h,k} x S_{i,k})</w:t>
      </w:r>
      <w:r>
        <w:t xml:space="preserve"> — matches the Q/V/E/T/M/C/R/L/P horizon-weight table (each column sums to 100).</w:t>
      </w:r>
    </w:p>
    <w:p>
      <w:pPr>
        <w:pStyle w:val="ListBody"/>
        <w:ind w:left="490" w:hanging="317"/>
      </w:pPr>
      <w:r>
        <w:rPr>
          <w:b/>
        </w:rPr>
        <w:t xml:space="preserve">• </w:t>
      </w:r>
      <w:r>
        <w:t xml:space="preserve">Was: </w:t>
      </w:r>
      <w:r>
        <w:rPr>
          <w:rFonts w:ascii="Consolas" w:hAnsi="Consolas"/>
          <w:sz w:val="18"/>
        </w:rPr>
        <w:t>Confidence_{i,h} = 100 ^{1/n}</w:t>
      </w:r>
      <w:r>
        <w:t xml:space="preserve"> → Now: </w:t>
      </w:r>
      <w:r>
        <w:rPr>
          <w:rFonts w:ascii="Consolas" w:hAnsi="Consolas"/>
          <w:sz w:val="18"/>
        </w:rPr>
        <w:t>Confidence_{i,h} = 100 x (PRODUCT of (c_k/100) for k=1..n)^{1/n}</w:t>
      </w:r>
      <w:r>
        <w:t xml:space="preserve"> — the surviving </w:t>
      </w:r>
      <w:r>
        <w:rPr>
          <w:rFonts w:ascii="Consolas" w:hAnsi="Consolas"/>
          <w:sz w:val="18"/>
        </w:rPr>
        <w:t>^{1/n}</w:t>
      </w:r>
      <w:r>
        <w:t xml:space="preserve"> is the signature of a geometric mean across the 7 listed confidence inputs; geometric mean is the right choice here since it punishes one very weak input more than an average would.</w:t>
      </w:r>
    </w:p>
    <w:p>
      <w:pPr>
        <w:pStyle w:val="ListBody"/>
        <w:ind w:left="490" w:hanging="317"/>
      </w:pPr>
      <w:r>
        <w:rPr>
          <w:b/>
        </w:rPr>
        <w:t xml:space="preserve">• </w:t>
      </w:r>
      <w:r>
        <w:t xml:space="preserve">Was: </w:t>
      </w:r>
      <w:r>
        <w:rPr>
          <w:rFonts w:ascii="Consolas" w:hAnsi="Consolas"/>
          <w:sz w:val="18"/>
        </w:rPr>
        <w:t>AdjustedHSS= 50+(HSS-50)</w:t>
      </w:r>
      <w:r>
        <w:t xml:space="preserve"> → Now: </w:t>
      </w:r>
      <w:r>
        <w:rPr>
          <w:rFonts w:ascii="Consolas" w:hAnsi="Consolas"/>
          <w:sz w:val="18"/>
        </w:rPr>
        <w:t>AdjustedHSS_{i,h} = 50 + (Confidence_{i,h}/100) x (HSS_{i,h} - 50)</w:t>
      </w:r>
      <w:r>
        <w:t xml:space="preserve"> — same shrinkage pattern again.</w:t>
      </w:r>
    </w:p>
    <w:p>
      <w:pPr>
        <w:pStyle w:val="ListBody"/>
        <w:ind w:left="490" w:hanging="317"/>
      </w:pPr>
      <w:r>
        <w:rPr>
          <w:b/>
        </w:rPr>
        <w:t xml:space="preserve">• </w:t>
      </w:r>
      <w:r>
        <w:t xml:space="preserve">Was: </w:t>
      </w:r>
      <w:r>
        <w:rPr>
          <w:rFonts w:ascii="Consolas" w:hAnsi="Consolas"/>
          <w:sz w:val="18"/>
        </w:rPr>
        <w:t>FinalHSS= ( AdjustedHSS-StalePenalty-EventPenalty-RiskPenalty, HardGateCap )</w:t>
      </w:r>
      <w:r>
        <w:t xml:space="preserve"> → Now: </w:t>
      </w:r>
      <w:r>
        <w:rPr>
          <w:rFonts w:ascii="Consolas" w:hAnsi="Consolas"/>
          <w:sz w:val="18"/>
        </w:rPr>
        <w:t>FinalHSS_{i,h} = min(AdjustedHSS_{i,h} - StalePenalty - EventPenalty - RiskPenalty, HardGateCap_{i,h})</w:t>
      </w:r>
    </w:p>
    <w:p>
      <w:pPr>
        <w:spacing w:after="0"/>
      </w:pPr>
    </w:p>
    <w:p>
      <w:pPr>
        <w:pStyle w:val="Heading3"/>
      </w:pPr>
      <w:r>
        <w:rPr>
          <w:b/>
        </w:rPr>
        <w:t>§71 Position sizing</w:t>
      </w:r>
    </w:p>
    <w:p>
      <w:pPr>
        <w:pStyle w:val="ListBody"/>
        <w:ind w:left="490" w:hanging="317"/>
      </w:pPr>
      <w:r>
        <w:rPr>
          <w:b/>
        </w:rPr>
        <w:t xml:space="preserve">• </w:t>
      </w:r>
      <w:r>
        <w:t xml:space="preserve">Was: </w:t>
      </w:r>
      <w:r>
        <w:rPr>
          <w:rFonts w:ascii="Consolas" w:hAnsi="Consolas"/>
          <w:sz w:val="18"/>
        </w:rPr>
        <w:t>RiskPositionValue= EntryPrice</w:t>
      </w:r>
      <w:r>
        <w:t xml:space="preserve"> (missing almost everything — only the trailing multiplication survived)</w:t>
      </w:r>
    </w:p>
    <w:p>
      <w:pPr>
        <w:pStyle w:val="ListBody"/>
        <w:ind w:left="490" w:hanging="317"/>
      </w:pPr>
      <w:r>
        <w:rPr>
          <w:b/>
        </w:rPr>
        <w:t xml:space="preserve">• </w:t>
      </w:r>
      <w:r>
        <w:t xml:space="preserve">Now: </w:t>
      </w:r>
      <w:r>
        <w:rPr>
          <w:rFonts w:ascii="Consolas" w:hAnsi="Consolas"/>
          <w:sz w:val="18"/>
        </w:rPr>
        <w:t>RiskPositionValue = (AccountRiskCapital / (EntryPrice - StopPrice)) x EntryPrice</w:t>
      </w:r>
    </w:p>
    <w:p>
      <w:pPr>
        <w:pStyle w:val="ListBody"/>
        <w:ind w:left="490" w:hanging="317"/>
      </w:pPr>
      <w:r>
        <w:rPr>
          <w:b/>
        </w:rPr>
        <w:t xml:space="preserve">• </w:t>
      </w:r>
      <w:r>
        <w:t>Basis: textbook risk-based position sizing — size the position so a stop-out loses exactly the account's risk budget for that trade.</w:t>
      </w:r>
    </w:p>
    <w:p>
      <w:pPr>
        <w:pStyle w:val="ListBody"/>
        <w:ind w:left="490" w:hanging="317"/>
      </w:pPr>
      <w:r>
        <w:rPr>
          <w:b/>
        </w:rPr>
        <w:t xml:space="preserve">• </w:t>
      </w:r>
      <w:r>
        <w:t xml:space="preserve">Was: </w:t>
      </w:r>
      <w:r>
        <w:rPr>
          <w:rFonts w:ascii="Consolas" w:hAnsi="Consolas"/>
          <w:sz w:val="18"/>
        </w:rPr>
        <w:t>FinalPosition= ( RiskPosition, LiquidityCap, CompanyCap, SectorCap, HorizonCap, CorrelationCap, EventRiskCap )</w:t>
      </w:r>
      <w:r>
        <w:t xml:space="preserve"> → Now: </w:t>
      </w:r>
      <w:r>
        <w:rPr>
          <w:rFonts w:ascii="Consolas" w:hAnsi="Consolas"/>
          <w:sz w:val="18"/>
        </w:rPr>
        <w:t>FinalPosition = min(RiskPositionValue, LiquidityCap, CompanyCap, SectorCap, HorizonCap, CorrelationCap, EventRiskCap)</w:t>
      </w:r>
    </w:p>
    <w:p>
      <w:pPr>
        <w:pStyle w:val="ListBody"/>
        <w:ind w:left="490" w:hanging="317"/>
      </w:pPr>
      <w:r>
        <w:rPr>
          <w:b/>
        </w:rPr>
        <w:t xml:space="preserve">• </w:t>
      </w:r>
      <w:r>
        <w:t xml:space="preserve">Basis: final size is whichever constraint binds tightest — the same min-cap logic used for </w:t>
      </w:r>
      <w:r>
        <w:rPr>
          <w:rFonts w:ascii="Consolas" w:hAnsi="Consolas"/>
          <w:sz w:val="18"/>
        </w:rPr>
        <w:t>FinalCS_i</w:t>
      </w:r>
      <w:r>
        <w:t xml:space="preserve"> and </w:t>
      </w:r>
      <w:r>
        <w:rPr>
          <w:rFonts w:ascii="Consolas" w:hAnsi="Consolas"/>
          <w:sz w:val="18"/>
        </w:rPr>
        <w:t>FinalHSS</w:t>
      </w:r>
      <w:r>
        <w:t>.</w:t>
      </w:r>
    </w:p>
    <w:p>
      <w:pPr>
        <w:spacing w:after="0"/>
      </w:pPr>
    </w:p>
    <w:p>
      <w:pPr>
        <w:pStyle w:val="Heading2"/>
      </w:pPr>
      <w:r>
        <w:t>Reconstructed lists (not formulas, but were blank)</w:t>
      </w:r>
    </w:p>
    <w:p>
      <w:pPr>
        <w:spacing w:after="0"/>
      </w:pPr>
    </w:p>
    <w:p>
      <w:pPr/>
      <w:r>
        <w:rPr>
          <w:b/>
        </w:rPr>
        <w:t>§3.1 Evidence classification</w:t>
      </w:r>
      <w:r>
        <w:t xml:space="preserve"> — was two empty brackets with no content. The exact same "claim type" taxonomy appears fully intact later in the document under the Evidence Ledger (§45): *reported fact, calculated metric, management assertion, third-party estimate, analyst estimate, AI inference, unverified allegation.* That list has been copied up into §3.1, since §3.1 is clearly meant to introduce the same taxonomy it's referenced by 40+ sections later.</w:t>
      </w:r>
    </w:p>
    <w:p>
      <w:pPr>
        <w:spacing w:after="0"/>
      </w:pPr>
    </w:p>
    <w:p>
      <w:pPr/>
      <w:r>
        <w:rPr>
          <w:b/>
        </w:rPr>
        <w:t>§3.2 Decision-layer separation</w:t>
      </w:r>
      <w:r>
        <w:t xml:space="preserve"> — also blank. The six examples immediately below it (a high-quality company can be overvalued; a cheap stock can be a value trap; a daily reduce can coexist with a long-term buy; a high score can be unsuitable due to liquidity; a strong signal can be blocked by a governance gate; a suitable stock can get zero position on concentration limits) imply exactly six decision layers. Filled in as: *company quality, valuation, signal or timing per horizon, suitability (liquidity and capacity), governance or hard-gate status, portfolio position and final size.*</w:t>
      </w:r>
    </w:p>
    <w:p>
      <w:pPr>
        <w:spacing w:after="0"/>
      </w:pPr>
    </w:p>
    <w:p>
      <w:pPr>
        <w:pStyle w:val="Heading2"/>
      </w:pPr>
      <w:r>
        <w:t>Not formula corrections — genuinely new content (flagged in the document itself)</w:t>
      </w:r>
    </w:p>
    <w:p>
      <w:pPr>
        <w:spacing w:after="0"/>
      </w:pPr>
    </w:p>
    <w:p>
      <w:pPr/>
      <w:r>
        <w:t xml:space="preserve">These two had nothing to recover — no fragment, no adjacent clue beyond the section title. Both are marked </w:t>
      </w:r>
      <w:r>
        <w:rPr>
          <w:rFonts w:ascii="Consolas" w:hAnsi="Consolas"/>
          <w:sz w:val="18"/>
        </w:rPr>
        <w:t>DRAFT</w:t>
      </w:r>
      <w:r>
        <w:t xml:space="preserve"> directly in the corrected </w:t>
      </w:r>
      <w:r>
        <w:rPr>
          <w:rFonts w:ascii="Consolas" w:hAnsi="Consolas"/>
          <w:sz w:val="18"/>
        </w:rPr>
        <w:t>.docx</w:t>
      </w:r>
      <w:r>
        <w:t xml:space="preserve"> so they can't be mistaken for recovered original text.</w:t>
      </w:r>
    </w:p>
    <w:p>
      <w:pPr>
        <w:spacing w:after="0"/>
      </w:pPr>
    </w:p>
    <w:p>
      <w:pPr/>
      <w:r>
        <w:rPr>
          <w:b/>
        </w:rPr>
        <w:t>§73 Portfolio suitability score</w:t>
      </w:r>
      <w:r>
        <w:t xml:space="preserve"> — the source read </w:t>
      </w:r>
      <w:r>
        <w:rPr>
          <w:rFonts w:ascii="Consolas" w:hAnsi="Consolas"/>
          <w:sz w:val="18"/>
        </w:rPr>
        <w:t xml:space="preserve">PositionSuitability_i = </w:t>
      </w:r>
      <w:r>
        <w:t xml:space="preserve"> with nothing after the equals sign. Proposed:</w:t>
      </w:r>
    </w:p>
    <w:p>
      <w:pPr/>
      <w:r>
        <w:rPr>
          <w:rFonts w:ascii="Consolas" w:hAnsi="Consolas"/>
          <w:sz w:val="18"/>
        </w:rPr>
        <w:t>PositionSuitability_i = 0.30 x HorizonConfidence_i + 0.25 x DataConfidence_i + 0.20 x LiquidityFit_i + 0.15 x PortfolioHeadroom_i - 0.10 x CorrelationToHoldings_i</w:t>
      </w:r>
    </w:p>
    <w:p>
      <w:pPr/>
      <w:r>
        <w:t>This is a reasonable starting shape (rewards confidence and headroom, penalizes crowding into already-correlated exposure) but the weights are mine, not recovered — they need the same walk-forward validation the document requires for every other weight table, before you'd trust them with real position sizing.</w:t>
      </w:r>
    </w:p>
    <w:p>
      <w:pPr>
        <w:spacing w:after="0"/>
      </w:pPr>
    </w:p>
    <w:p>
      <w:pPr/>
      <w:r>
        <w:rPr>
          <w:b/>
        </w:rPr>
        <w:t>§120 Final production architecture</w:t>
      </w:r>
      <w:r>
        <w:t xml:space="preserve"> — was completely blank. Replaced with a short prose synthesis of the pipeline implied by Sections 5–119 (ingestion → point-in-time data → hard gates → candidate scores → ranking → deep research, in parallel with price/regime → horizon signals → portfolio constraints → mode-gated execution, with the dashboard/database/scheduler underneath and the Section 119 acceptance gates controlling what reaches production). This is a synthesis for a starting point, not a recovery — worth reviewing against what you actually intended before treating it as final.</w:t>
      </w:r>
    </w:p>
    <w:p>
      <w:pPr>
        <w:spacing w:after="0"/>
      </w:pPr>
    </w:p>
    <w:p>
      <w:pPr>
        <w:pStyle w:val="Heading2"/>
      </w:pPr>
      <w:r>
        <w:t>Checked and already correct — no change made</w:t>
      </w:r>
    </w:p>
    <w:p>
      <w:pPr>
        <w:spacing w:after="0"/>
      </w:pPr>
    </w:p>
    <w:p>
      <w:pPr>
        <w:pStyle w:val="ListBody"/>
        <w:ind w:left="490" w:hanging="317"/>
      </w:pPr>
      <w:r>
        <w:rPr>
          <w:b/>
        </w:rPr>
        <w:t xml:space="preserve">• </w:t>
      </w:r>
      <w:r>
        <w:rPr>
          <w:rFonts w:ascii="Consolas" w:hAnsi="Consolas"/>
          <w:sz w:val="18"/>
        </w:rPr>
        <w:t>TTM=Q_t+Q_{t-1}+Q_{t-2}+Q_{t-3}</w:t>
      </w:r>
      <w:r>
        <w:t xml:space="preserve"> (§19.4)</w:t>
      </w:r>
    </w:p>
    <w:p>
      <w:pPr>
        <w:pStyle w:val="ListBody"/>
        <w:ind w:left="490" w:hanging="317"/>
      </w:pPr>
      <w:r>
        <w:rPr>
          <w:b/>
        </w:rPr>
        <w:t xml:space="preserve">• </w:t>
      </w:r>
      <w:r>
        <w:rPr>
          <w:rFonts w:ascii="Consolas" w:hAnsi="Consolas"/>
          <w:sz w:val="18"/>
        </w:rPr>
        <w:t>FreshnessFactor=e^{-ExcessAge}</w:t>
      </w:r>
      <w:r>
        <w:t xml:space="preserve"> (§24.3)</w:t>
      </w:r>
    </w:p>
    <w:p>
      <w:pPr>
        <w:pStyle w:val="ListBody"/>
        <w:ind w:left="490" w:hanging="317"/>
      </w:pPr>
      <w:r>
        <w:rPr>
          <w:b/>
        </w:rPr>
        <w:t xml:space="preserve">• </w:t>
      </w:r>
      <w:r>
        <w:rPr>
          <w:rFonts w:ascii="Consolas" w:hAnsi="Consolas"/>
          <w:sz w:val="18"/>
        </w:rPr>
        <w:t>Score_{i,m}=100-P_{i,m}</w:t>
      </w:r>
      <w:r>
        <w:t xml:space="preserve"> (§26)</w:t>
      </w:r>
    </w:p>
    <w:p>
      <w:pPr>
        <w:pStyle w:val="ListBody"/>
        <w:ind w:left="490" w:hanging="317"/>
      </w:pPr>
      <w:r>
        <w:rPr>
          <w:b/>
        </w:rPr>
        <w:t xml:space="preserve">• </w:t>
      </w:r>
      <w:r>
        <w:rPr>
          <w:rFonts w:ascii="Consolas" w:hAnsi="Consolas"/>
          <w:sz w:val="18"/>
        </w:rPr>
        <w:t>MaximumCandidateScore=69</w:t>
      </w:r>
      <w:r>
        <w:t xml:space="preserve"> (§27, illustrative example value, not a formula)</w:t>
      </w:r>
    </w:p>
    <w:p>
      <w:pPr>
        <w:spacing w:after="0"/>
      </w:pPr>
    </w:p>
    <w:p>
      <w:pPr>
        <w:pStyle w:val="Heading2"/>
      </w:pPr>
      <w:r>
        <w:t>What this doesn't fix</w:t>
      </w:r>
    </w:p>
    <w:p>
      <w:pPr>
        <w:spacing w:after="0"/>
      </w:pPr>
    </w:p>
    <w:p>
      <w:pPr/>
      <w:r>
        <w:t>Every weight (0.40, 0.25, 20, 18, etc.) in the document was left exactly as it was — none of those were corrupted, and none were second-guessed here. What was fixed is purely the *operators* connecting them. Whether 0.40 is the right weight for SectorRelative, whether a geometric mean is really what you want for Confidence, whether the ROIIC smoothing window should be 3 years or 5 — none of that was touched, and all of it still needs the walk-forward validation the source document itself calls for before any of these numbers should drive a real position.</w:t>
      </w:r>
    </w:p>
    <w:p>
      <w:pPr>
        <w:pStyle w:val="PartTitle"/>
        <w:pBdr>
          <w:bottom w:val="single" w:sz="12" w:space="5" w:color="285E74"/>
        </w:pBdr>
      </w:pPr>
      <w:r>
        <w:t>PART IV</w:t>
      </w:r>
    </w:p>
    <w:p>
      <w:pPr>
        <w:pStyle w:val="Heading1"/>
      </w:pPr>
      <w:r>
        <w:t>Canonical Implementation Precedence Matrix</w:t>
      </w:r>
    </w:p>
    <w:p>
      <w:r>
        <w:rPr>
          <w:b/>
        </w:rPr>
        <w:t xml:space="preserve">This matrix converts the consolidated document into an implementable rule hierarchy. </w:t>
      </w:r>
      <w:r>
        <w:t>It does not delete any source content; it determines which clause governs when duplicate or differently framed requirements are encountered during engineering.</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blHeader w:val="true"/>
        </w:trPr>
        <w:tc>
          <w:tcPr>
            <w:tcW w:type="dxa" w:w="2498"/>
            <w:shd w:fill="D9E8EF"/>
          </w:tcPr>
          <w:p>
            <w:r>
              <w:rPr>
                <w:rFonts w:ascii="Cambria" w:hAnsi="Cambria"/>
                <w:b/>
                <w:sz w:val="18"/>
              </w:rPr>
              <w:t>Domain</w:t>
            </w:r>
          </w:p>
        </w:tc>
        <w:tc>
          <w:tcPr>
            <w:tcW w:type="dxa" w:w="2498"/>
            <w:shd w:fill="D9E8EF"/>
          </w:tcPr>
          <w:p>
            <w:r>
              <w:rPr>
                <w:rFonts w:ascii="Cambria" w:hAnsi="Cambria"/>
                <w:b/>
                <w:sz w:val="18"/>
              </w:rPr>
              <w:t>Primary governing source</w:t>
            </w:r>
          </w:p>
        </w:tc>
        <w:tc>
          <w:tcPr>
            <w:tcW w:type="dxa" w:w="2498"/>
            <w:shd w:fill="D9E8EF"/>
          </w:tcPr>
          <w:p>
            <w:r>
              <w:rPr>
                <w:rFonts w:ascii="Cambria" w:hAnsi="Cambria"/>
                <w:b/>
                <w:sz w:val="18"/>
              </w:rPr>
              <w:t>Supporting detail</w:t>
            </w:r>
          </w:p>
        </w:tc>
        <w:tc>
          <w:tcPr>
            <w:tcW w:type="dxa" w:w="2498"/>
            <w:shd w:fill="D9E8EF"/>
          </w:tcPr>
          <w:p>
            <w:r>
              <w:rPr>
                <w:rFonts w:ascii="Cambria" w:hAnsi="Cambria"/>
                <w:b/>
                <w:sz w:val="18"/>
              </w:rPr>
              <w:t>Mandatory implementation rule</w:t>
            </w:r>
          </w:p>
        </w:tc>
      </w:tr>
      <w:tr>
        <w:tc>
          <w:tcPr>
            <w:tcW w:type="dxa" w:w="2498"/>
            <w:tcMar>
              <w:top w:w="55" w:type="dxa"/>
              <w:start w:w="55" w:type="dxa"/>
              <w:bottom w:w="55" w:type="dxa"/>
              <w:end w:w="55" w:type="dxa"/>
            </w:tcMar>
          </w:tcPr>
          <w:p>
            <w:r>
              <w:rPr>
                <w:rFonts w:ascii="Cambria" w:hAnsi="Cambria"/>
                <w:b/>
                <w:sz w:val="16"/>
              </w:rPr>
              <w:t>Formula expressions</w:t>
            </w:r>
          </w:p>
        </w:tc>
        <w:tc>
          <w:tcPr>
            <w:tcW w:type="dxa" w:w="2498"/>
            <w:tcMar>
              <w:top w:w="55" w:type="dxa"/>
              <w:start w:w="55" w:type="dxa"/>
              <w:bottom w:w="55" w:type="dxa"/>
              <w:end w:w="55" w:type="dxa"/>
            </w:tcMar>
          </w:tcPr>
          <w:p>
            <w:r>
              <w:rPr>
                <w:rFonts w:ascii="Cambria" w:hAnsi="Cambria"/>
                <w:sz w:val="16"/>
              </w:rPr>
              <w:t>Canonical formula decisions in the front matter + 7.2 formula-safe definitions</w:t>
            </w:r>
          </w:p>
        </w:tc>
        <w:tc>
          <w:tcPr>
            <w:tcW w:type="dxa" w:w="2498"/>
            <w:tcMar>
              <w:top w:w="55" w:type="dxa"/>
              <w:start w:w="55" w:type="dxa"/>
              <w:bottom w:w="55" w:type="dxa"/>
              <w:end w:w="55" w:type="dxa"/>
            </w:tcMar>
          </w:tcPr>
          <w:p>
            <w:r>
              <w:rPr>
                <w:rFonts w:ascii="Cambria" w:hAnsi="Cambria"/>
                <w:sz w:val="16"/>
              </w:rPr>
              <w:t>7.1.1 formulas-fixed and correction changelog as provenance</w:t>
            </w:r>
          </w:p>
        </w:tc>
        <w:tc>
          <w:tcPr>
            <w:tcW w:type="dxa" w:w="2498"/>
            <w:tcMar>
              <w:top w:w="55" w:type="dxa"/>
              <w:start w:w="55" w:type="dxa"/>
              <w:bottom w:w="55" w:type="dxa"/>
              <w:end w:w="55" w:type="dxa"/>
            </w:tcMar>
          </w:tcPr>
          <w:p>
            <w:r>
              <w:rPr>
                <w:rFonts w:ascii="Cambria" w:hAnsi="Cambria"/>
                <w:sz w:val="16"/>
              </w:rPr>
              <w:t>Use the canonical override register for execution; store each formula in executable, structured, and plain-ASCII forms; block release on operator loss, scale mismatch, unit failure, or empty right-hand sides.</w:t>
            </w:r>
          </w:p>
        </w:tc>
      </w:tr>
      <w:tr>
        <w:tc>
          <w:tcPr>
            <w:tcW w:type="dxa" w:w="2498"/>
            <w:tcMar>
              <w:top w:w="55" w:type="dxa"/>
              <w:start w:w="55" w:type="dxa"/>
              <w:bottom w:w="55" w:type="dxa"/>
              <w:end w:w="55" w:type="dxa"/>
            </w:tcMar>
          </w:tcPr>
          <w:p>
            <w:r>
              <w:rPr>
                <w:rFonts w:ascii="Cambria" w:hAnsi="Cambria"/>
                <w:b/>
                <w:sz w:val="16"/>
              </w:rPr>
              <w:t>Formula governance</w:t>
            </w:r>
          </w:p>
        </w:tc>
        <w:tc>
          <w:tcPr>
            <w:tcW w:type="dxa" w:w="2498"/>
            <w:tcMar>
              <w:top w:w="55" w:type="dxa"/>
              <w:start w:w="55" w:type="dxa"/>
              <w:bottom w:w="55" w:type="dxa"/>
              <w:end w:w="55" w:type="dxa"/>
            </w:tcMar>
          </w:tcPr>
          <w:p>
            <w:r>
              <w:rPr>
                <w:rFonts w:ascii="Cambria" w:hAnsi="Cambria"/>
                <w:sz w:val="16"/>
              </w:rPr>
              <w:t>7.2 + canonical formula decisions</w:t>
            </w:r>
          </w:p>
        </w:tc>
        <w:tc>
          <w:tcPr>
            <w:tcW w:type="dxa" w:w="2498"/>
            <w:tcMar>
              <w:top w:w="55" w:type="dxa"/>
              <w:start w:w="55" w:type="dxa"/>
              <w:bottom w:w="55" w:type="dxa"/>
              <w:end w:w="55" w:type="dxa"/>
            </w:tcMar>
          </w:tcPr>
          <w:p>
            <w:r>
              <w:rPr>
                <w:rFonts w:ascii="Cambria" w:hAnsi="Cambria"/>
                <w:sz w:val="16"/>
              </w:rPr>
              <w:t>7.1.1 feature/version controls</w:t>
            </w:r>
          </w:p>
        </w:tc>
        <w:tc>
          <w:tcPr>
            <w:tcW w:type="dxa" w:w="2498"/>
            <w:tcMar>
              <w:top w:w="55" w:type="dxa"/>
              <w:start w:w="55" w:type="dxa"/>
              <w:bottom w:w="55" w:type="dxa"/>
              <w:end w:w="55" w:type="dxa"/>
            </w:tcMar>
          </w:tcPr>
          <w:p>
            <w:r>
              <w:rPr>
                <w:rFonts w:ascii="Cambria" w:hAnsi="Cambria"/>
                <w:sz w:val="16"/>
              </w:rPr>
              <w:t>Every formula change creates a version, tests, approval record, and new point-in-time backtest.</w:t>
            </w:r>
          </w:p>
        </w:tc>
      </w:tr>
      <w:tr>
        <w:tc>
          <w:tcPr>
            <w:tcW w:type="dxa" w:w="2498"/>
            <w:tcMar>
              <w:top w:w="55" w:type="dxa"/>
              <w:start w:w="55" w:type="dxa"/>
              <w:bottom w:w="55" w:type="dxa"/>
              <w:end w:w="55" w:type="dxa"/>
            </w:tcMar>
          </w:tcPr>
          <w:p>
            <w:r>
              <w:rPr>
                <w:rFonts w:ascii="Cambria" w:hAnsi="Cambria"/>
                <w:b/>
                <w:sz w:val="16"/>
              </w:rPr>
              <w:t>System architecture</w:t>
            </w:r>
          </w:p>
        </w:tc>
        <w:tc>
          <w:tcPr>
            <w:tcW w:type="dxa" w:w="2498"/>
            <w:tcMar>
              <w:top w:w="55" w:type="dxa"/>
              <w:start w:w="55" w:type="dxa"/>
              <w:bottom w:w="55" w:type="dxa"/>
              <w:end w:w="55" w:type="dxa"/>
            </w:tcMar>
          </w:tcPr>
          <w:p>
            <w:r>
              <w:rPr>
                <w:rFonts w:ascii="Cambria" w:hAnsi="Cambria"/>
                <w:sz w:val="16"/>
              </w:rPr>
              <w:t>7.1.1 detailed baseline</w:t>
            </w:r>
          </w:p>
        </w:tc>
        <w:tc>
          <w:tcPr>
            <w:tcW w:type="dxa" w:w="2498"/>
            <w:tcMar>
              <w:top w:w="55" w:type="dxa"/>
              <w:start w:w="55" w:type="dxa"/>
              <w:bottom w:w="55" w:type="dxa"/>
              <w:end w:w="55" w:type="dxa"/>
            </w:tcMar>
          </w:tcPr>
          <w:p>
            <w:r>
              <w:rPr>
                <w:rFonts w:ascii="Cambria" w:hAnsi="Cambria"/>
                <w:sz w:val="16"/>
              </w:rPr>
              <w:t>7.2 complete architecture</w:t>
            </w:r>
          </w:p>
        </w:tc>
        <w:tc>
          <w:tcPr>
            <w:tcW w:type="dxa" w:w="2498"/>
            <w:tcMar>
              <w:top w:w="55" w:type="dxa"/>
              <w:start w:w="55" w:type="dxa"/>
              <w:bottom w:w="55" w:type="dxa"/>
              <w:end w:w="55" w:type="dxa"/>
            </w:tcMar>
          </w:tcPr>
          <w:p>
            <w:r>
              <w:rPr>
                <w:rFonts w:ascii="Cambria" w:hAnsi="Cambria"/>
                <w:sz w:val="16"/>
              </w:rPr>
              <w:t>Implement the union of both architectures; use the stricter control where both address the same failure mode.</w:t>
            </w:r>
          </w:p>
        </w:tc>
      </w:tr>
      <w:tr>
        <w:tc>
          <w:tcPr>
            <w:tcW w:type="dxa" w:w="2498"/>
            <w:tcMar>
              <w:top w:w="55" w:type="dxa"/>
              <w:start w:w="55" w:type="dxa"/>
              <w:bottom w:w="55" w:type="dxa"/>
              <w:end w:w="55" w:type="dxa"/>
            </w:tcMar>
          </w:tcPr>
          <w:p>
            <w:r>
              <w:rPr>
                <w:rFonts w:ascii="Cambria" w:hAnsi="Cambria"/>
                <w:b/>
                <w:sz w:val="16"/>
              </w:rPr>
              <w:t>Coverage depth</w:t>
            </w:r>
          </w:p>
        </w:tc>
        <w:tc>
          <w:tcPr>
            <w:tcW w:type="dxa" w:w="2498"/>
            <w:tcMar>
              <w:top w:w="55" w:type="dxa"/>
              <w:start w:w="55" w:type="dxa"/>
              <w:bottom w:w="55" w:type="dxa"/>
              <w:end w:w="55" w:type="dxa"/>
            </w:tcMar>
          </w:tcPr>
          <w:p>
            <w:r>
              <w:rPr>
                <w:rFonts w:ascii="Cambria" w:hAnsi="Cambria"/>
                <w:sz w:val="16"/>
              </w:rPr>
              <w:t>7.2 realistic coverage model</w:t>
            </w:r>
          </w:p>
        </w:tc>
        <w:tc>
          <w:tcPr>
            <w:tcW w:type="dxa" w:w="2498"/>
            <w:tcMar>
              <w:top w:w="55" w:type="dxa"/>
              <w:start w:w="55" w:type="dxa"/>
              <w:bottom w:w="55" w:type="dxa"/>
              <w:end w:w="55" w:type="dxa"/>
            </w:tcMar>
          </w:tcPr>
          <w:p>
            <w:r>
              <w:rPr>
                <w:rFonts w:ascii="Cambria" w:hAnsi="Cambria"/>
                <w:sz w:val="16"/>
              </w:rPr>
              <w:t>7.1.1 universe and research sections</w:t>
            </w:r>
          </w:p>
        </w:tc>
        <w:tc>
          <w:tcPr>
            <w:tcW w:type="dxa" w:w="2498"/>
            <w:tcMar>
              <w:top w:w="55" w:type="dxa"/>
              <w:start w:w="55" w:type="dxa"/>
              <w:bottom w:w="55" w:type="dxa"/>
              <w:end w:w="55" w:type="dxa"/>
            </w:tcMar>
          </w:tcPr>
          <w:p>
            <w:r>
              <w:rPr>
                <w:rFonts w:ascii="Cambria" w:hAnsi="Cambria"/>
                <w:sz w:val="16"/>
              </w:rPr>
              <w:t>Do not display deep-research conviction outside the approved deep-research coverage set.</w:t>
            </w:r>
          </w:p>
        </w:tc>
      </w:tr>
      <w:tr>
        <w:tc>
          <w:tcPr>
            <w:tcW w:type="dxa" w:w="2498"/>
            <w:tcMar>
              <w:top w:w="55" w:type="dxa"/>
              <w:start w:w="55" w:type="dxa"/>
              <w:bottom w:w="55" w:type="dxa"/>
              <w:end w:w="55" w:type="dxa"/>
            </w:tcMar>
          </w:tcPr>
          <w:p>
            <w:r>
              <w:rPr>
                <w:rFonts w:ascii="Cambria" w:hAnsi="Cambria"/>
                <w:b/>
                <w:sz w:val="16"/>
              </w:rPr>
              <w:t>Data sources and rights</w:t>
            </w:r>
          </w:p>
        </w:tc>
        <w:tc>
          <w:tcPr>
            <w:tcW w:type="dxa" w:w="2498"/>
            <w:tcMar>
              <w:top w:w="55" w:type="dxa"/>
              <w:start w:w="55" w:type="dxa"/>
              <w:bottom w:w="55" w:type="dxa"/>
              <w:end w:w="55" w:type="dxa"/>
            </w:tcMar>
          </w:tcPr>
          <w:p>
            <w:r>
              <w:rPr>
                <w:rFonts w:ascii="Cambria" w:hAnsi="Cambria"/>
                <w:sz w:val="16"/>
              </w:rPr>
              <w:t>7.2 accessible-source and license controls</w:t>
            </w:r>
          </w:p>
        </w:tc>
        <w:tc>
          <w:tcPr>
            <w:tcW w:type="dxa" w:w="2498"/>
            <w:tcMar>
              <w:top w:w="55" w:type="dxa"/>
              <w:start w:w="55" w:type="dxa"/>
              <w:bottom w:w="55" w:type="dxa"/>
              <w:end w:w="55" w:type="dxa"/>
            </w:tcMar>
          </w:tcPr>
          <w:p>
            <w:r>
              <w:rPr>
                <w:rFonts w:ascii="Cambria" w:hAnsi="Cambria"/>
                <w:sz w:val="16"/>
              </w:rPr>
              <w:t>7.1.1 source hierarchy and adapter contract</w:t>
            </w:r>
          </w:p>
        </w:tc>
        <w:tc>
          <w:tcPr>
            <w:tcW w:type="dxa" w:w="2498"/>
            <w:tcMar>
              <w:top w:w="55" w:type="dxa"/>
              <w:start w:w="55" w:type="dxa"/>
              <w:bottom w:w="55" w:type="dxa"/>
              <w:end w:w="55" w:type="dxa"/>
            </w:tcMar>
          </w:tcPr>
          <w:p>
            <w:r>
              <w:rPr>
                <w:rFonts w:ascii="Cambria" w:hAnsi="Cambria"/>
                <w:sz w:val="16"/>
              </w:rPr>
              <w:t>No unauthorized scraping, silent substitution, or use outside permitted rights; degrade gracefully when sources are absent.</w:t>
            </w:r>
          </w:p>
        </w:tc>
      </w:tr>
      <w:tr>
        <w:tc>
          <w:tcPr>
            <w:tcW w:type="dxa" w:w="2498"/>
            <w:tcMar>
              <w:top w:w="55" w:type="dxa"/>
              <w:start w:w="55" w:type="dxa"/>
              <w:bottom w:w="55" w:type="dxa"/>
              <w:end w:w="55" w:type="dxa"/>
            </w:tcMar>
          </w:tcPr>
          <w:p>
            <w:r>
              <w:rPr>
                <w:rFonts w:ascii="Cambria" w:hAnsi="Cambria"/>
                <w:b/>
                <w:sz w:val="16"/>
              </w:rPr>
              <w:t>Point-in-time data</w:t>
            </w:r>
          </w:p>
        </w:tc>
        <w:tc>
          <w:tcPr>
            <w:tcW w:type="dxa" w:w="2498"/>
            <w:tcMar>
              <w:top w:w="55" w:type="dxa"/>
              <w:start w:w="55" w:type="dxa"/>
              <w:bottom w:w="55" w:type="dxa"/>
              <w:end w:w="55" w:type="dxa"/>
            </w:tcMar>
          </w:tcPr>
          <w:p>
            <w:r>
              <w:rPr>
                <w:rFonts w:ascii="Cambria" w:hAnsi="Cambria"/>
                <w:sz w:val="16"/>
              </w:rPr>
              <w:t>Both; stricter clause prevails</w:t>
            </w:r>
          </w:p>
        </w:tc>
        <w:tc>
          <w:tcPr>
            <w:tcW w:type="dxa" w:w="2498"/>
            <w:tcMar>
              <w:top w:w="55" w:type="dxa"/>
              <w:start w:w="55" w:type="dxa"/>
              <w:bottom w:w="55" w:type="dxa"/>
              <w:end w:w="55" w:type="dxa"/>
            </w:tcMar>
          </w:tcPr>
          <w:p>
            <w:r>
              <w:rPr>
                <w:rFonts w:ascii="Cambria" w:hAnsi="Cambria"/>
                <w:sz w:val="16"/>
              </w:rPr>
              <w:t>7.1.1 detailed knowledge-time model</w:t>
            </w:r>
          </w:p>
        </w:tc>
        <w:tc>
          <w:tcPr>
            <w:tcW w:type="dxa" w:w="2498"/>
            <w:tcMar>
              <w:top w:w="55" w:type="dxa"/>
              <w:start w:w="55" w:type="dxa"/>
              <w:bottom w:w="55" w:type="dxa"/>
              <w:end w:w="55" w:type="dxa"/>
            </w:tcMar>
          </w:tcPr>
          <w:p>
            <w:r>
              <w:rPr>
                <w:rFonts w:ascii="Cambria" w:hAnsi="Cambria"/>
                <w:sz w:val="16"/>
              </w:rPr>
              <w:t>Historical decisions use only information legally and operationally available at the decision time.</w:t>
            </w:r>
          </w:p>
        </w:tc>
      </w:tr>
      <w:tr>
        <w:tc>
          <w:tcPr>
            <w:tcW w:type="dxa" w:w="2498"/>
            <w:tcMar>
              <w:top w:w="55" w:type="dxa"/>
              <w:start w:w="55" w:type="dxa"/>
              <w:bottom w:w="55" w:type="dxa"/>
              <w:end w:w="55" w:type="dxa"/>
            </w:tcMar>
          </w:tcPr>
          <w:p>
            <w:r>
              <w:rPr>
                <w:rFonts w:ascii="Cambria" w:hAnsi="Cambria"/>
                <w:b/>
                <w:sz w:val="16"/>
              </w:rPr>
              <w:t>Evidence and AI</w:t>
            </w:r>
          </w:p>
        </w:tc>
        <w:tc>
          <w:tcPr>
            <w:tcW w:type="dxa" w:w="2498"/>
            <w:tcMar>
              <w:top w:w="55" w:type="dxa"/>
              <w:start w:w="55" w:type="dxa"/>
              <w:bottom w:w="55" w:type="dxa"/>
              <w:end w:w="55" w:type="dxa"/>
            </w:tcMar>
          </w:tcPr>
          <w:p>
            <w:r>
              <w:rPr>
                <w:rFonts w:ascii="Cambria" w:hAnsi="Cambria"/>
                <w:sz w:val="16"/>
              </w:rPr>
              <w:t>7.2 expanded taxonomy</w:t>
            </w:r>
          </w:p>
        </w:tc>
        <w:tc>
          <w:tcPr>
            <w:tcW w:type="dxa" w:w="2498"/>
            <w:tcMar>
              <w:top w:w="55" w:type="dxa"/>
              <w:start w:w="55" w:type="dxa"/>
              <w:bottom w:w="55" w:type="dxa"/>
              <w:end w:w="55" w:type="dxa"/>
            </w:tcMar>
          </w:tcPr>
          <w:p>
            <w:r>
              <w:rPr>
                <w:rFonts w:ascii="Cambria" w:hAnsi="Cambria"/>
                <w:sz w:val="16"/>
              </w:rPr>
              <w:t>7.1.1 evidence ledger</w:t>
            </w:r>
          </w:p>
        </w:tc>
        <w:tc>
          <w:tcPr>
            <w:tcW w:type="dxa" w:w="2498"/>
            <w:tcMar>
              <w:top w:w="55" w:type="dxa"/>
              <w:start w:w="55" w:type="dxa"/>
              <w:bottom w:w="55" w:type="dxa"/>
              <w:end w:w="55" w:type="dxa"/>
            </w:tcMar>
          </w:tcPr>
          <w:p>
            <w:r>
              <w:rPr>
                <w:rFonts w:ascii="Cambria" w:hAnsi="Cambria"/>
                <w:sz w:val="16"/>
              </w:rPr>
              <w:t>Every material conclusion exposes evidence type, source, confidence, contradictions, and review status. AI inference never becomes reported fact.</w:t>
            </w:r>
          </w:p>
        </w:tc>
      </w:tr>
      <w:tr>
        <w:tc>
          <w:tcPr>
            <w:tcW w:type="dxa" w:w="2498"/>
            <w:tcMar>
              <w:top w:w="55" w:type="dxa"/>
              <w:start w:w="55" w:type="dxa"/>
              <w:bottom w:w="55" w:type="dxa"/>
              <w:end w:w="55" w:type="dxa"/>
            </w:tcMar>
          </w:tcPr>
          <w:p>
            <w:r>
              <w:rPr>
                <w:rFonts w:ascii="Cambria" w:hAnsi="Cambria"/>
                <w:b/>
                <w:sz w:val="16"/>
              </w:rPr>
              <w:t>Scoring and ranking</w:t>
            </w:r>
          </w:p>
        </w:tc>
        <w:tc>
          <w:tcPr>
            <w:tcW w:type="dxa" w:w="2498"/>
            <w:tcMar>
              <w:top w:w="55" w:type="dxa"/>
              <w:start w:w="55" w:type="dxa"/>
              <w:bottom w:w="55" w:type="dxa"/>
              <w:end w:w="55" w:type="dxa"/>
            </w:tcMar>
          </w:tcPr>
          <w:p>
            <w:r>
              <w:rPr>
                <w:rFonts w:ascii="Cambria" w:hAnsi="Cambria"/>
                <w:sz w:val="16"/>
              </w:rPr>
              <w:t>7.1.1 detailed formulas and weights</w:t>
            </w:r>
          </w:p>
        </w:tc>
        <w:tc>
          <w:tcPr>
            <w:tcW w:type="dxa" w:w="2498"/>
            <w:tcMar>
              <w:top w:w="55" w:type="dxa"/>
              <w:start w:w="55" w:type="dxa"/>
              <w:bottom w:w="55" w:type="dxa"/>
              <w:end w:w="55" w:type="dxa"/>
            </w:tcMar>
          </w:tcPr>
          <w:p>
            <w:r>
              <w:rPr>
                <w:rFonts w:ascii="Cambria" w:hAnsi="Cambria"/>
                <w:sz w:val="16"/>
              </w:rPr>
              <w:t>7.2 score separation</w:t>
            </w:r>
          </w:p>
        </w:tc>
        <w:tc>
          <w:tcPr>
            <w:tcW w:type="dxa" w:w="2498"/>
            <w:tcMar>
              <w:top w:w="55" w:type="dxa"/>
              <w:start w:w="55" w:type="dxa"/>
              <w:bottom w:w="55" w:type="dxa"/>
              <w:end w:w="55" w:type="dxa"/>
            </w:tcMar>
          </w:tcPr>
          <w:p>
            <w:r>
              <w:rPr>
                <w:rFonts w:ascii="Cambria" w:hAnsi="Cambria"/>
                <w:sz w:val="16"/>
              </w:rPr>
              <w:t>Keep quality, valuation, timing, suitability, governance, and position size separate; apply confidence shrinkage and hard-gate caps.</w:t>
            </w:r>
          </w:p>
        </w:tc>
      </w:tr>
      <w:tr>
        <w:tc>
          <w:tcPr>
            <w:tcW w:type="dxa" w:w="2498"/>
            <w:tcMar>
              <w:top w:w="55" w:type="dxa"/>
              <w:start w:w="55" w:type="dxa"/>
              <w:bottom w:w="55" w:type="dxa"/>
              <w:end w:w="55" w:type="dxa"/>
            </w:tcMar>
          </w:tcPr>
          <w:p>
            <w:r>
              <w:rPr>
                <w:rFonts w:ascii="Cambria" w:hAnsi="Cambria"/>
                <w:b/>
                <w:sz w:val="16"/>
              </w:rPr>
              <w:t>Signals and state machines</w:t>
            </w:r>
          </w:p>
        </w:tc>
        <w:tc>
          <w:tcPr>
            <w:tcW w:type="dxa" w:w="2498"/>
            <w:tcMar>
              <w:top w:w="55" w:type="dxa"/>
              <w:start w:w="55" w:type="dxa"/>
              <w:bottom w:w="55" w:type="dxa"/>
              <w:end w:w="55" w:type="dxa"/>
            </w:tcMar>
          </w:tcPr>
          <w:p>
            <w:r>
              <w:rPr>
                <w:rFonts w:ascii="Cambria" w:hAnsi="Cambria"/>
                <w:sz w:val="16"/>
              </w:rPr>
              <w:t>7.1.1</w:t>
            </w:r>
          </w:p>
        </w:tc>
        <w:tc>
          <w:tcPr>
            <w:tcW w:type="dxa" w:w="2498"/>
            <w:tcMar>
              <w:top w:w="55" w:type="dxa"/>
              <w:start w:w="55" w:type="dxa"/>
              <w:bottom w:w="55" w:type="dxa"/>
              <w:end w:w="55" w:type="dxa"/>
            </w:tcMar>
          </w:tcPr>
          <w:p>
            <w:r>
              <w:rPr>
                <w:rFonts w:ascii="Cambria" w:hAnsi="Cambria"/>
                <w:sz w:val="16"/>
              </w:rPr>
              <w:t>7.2 pending-review and cross-horizon controls</w:t>
            </w:r>
          </w:p>
        </w:tc>
        <w:tc>
          <w:tcPr>
            <w:tcW w:type="dxa" w:w="2498"/>
            <w:tcMar>
              <w:top w:w="55" w:type="dxa"/>
              <w:start w:w="55" w:type="dxa"/>
              <w:bottom w:w="55" w:type="dxa"/>
              <w:end w:w="55" w:type="dxa"/>
            </w:tcMar>
          </w:tcPr>
          <w:p>
            <w:r>
              <w:rPr>
                <w:rFonts w:ascii="Cambria" w:hAnsi="Cambria"/>
                <w:sz w:val="16"/>
              </w:rPr>
              <w:t>Use confirmed data only, preserve horizon-specific states, and block action when required evidence or freshness is missing.</w:t>
            </w:r>
          </w:p>
        </w:tc>
      </w:tr>
      <w:tr>
        <w:tc>
          <w:tcPr>
            <w:tcW w:type="dxa" w:w="2498"/>
            <w:tcMar>
              <w:top w:w="55" w:type="dxa"/>
              <w:start w:w="55" w:type="dxa"/>
              <w:bottom w:w="55" w:type="dxa"/>
              <w:end w:w="55" w:type="dxa"/>
            </w:tcMar>
          </w:tcPr>
          <w:p>
            <w:r>
              <w:rPr>
                <w:rFonts w:ascii="Cambria" w:hAnsi="Cambria"/>
                <w:b/>
                <w:sz w:val="16"/>
              </w:rPr>
              <w:t>Portfolio and sizing</w:t>
            </w:r>
          </w:p>
        </w:tc>
        <w:tc>
          <w:tcPr>
            <w:tcW w:type="dxa" w:w="2498"/>
            <w:tcMar>
              <w:top w:w="55" w:type="dxa"/>
              <w:start w:w="55" w:type="dxa"/>
              <w:bottom w:w="55" w:type="dxa"/>
              <w:end w:w="55" w:type="dxa"/>
            </w:tcMar>
          </w:tcPr>
          <w:p>
            <w:r>
              <w:rPr>
                <w:rFonts w:ascii="Cambria" w:hAnsi="Cambria"/>
                <w:sz w:val="16"/>
              </w:rPr>
              <w:t>7.1.1 corrected formulas</w:t>
            </w:r>
          </w:p>
        </w:tc>
        <w:tc>
          <w:tcPr>
            <w:tcW w:type="dxa" w:w="2498"/>
            <w:tcMar>
              <w:top w:w="55" w:type="dxa"/>
              <w:start w:w="55" w:type="dxa"/>
              <w:bottom w:w="55" w:type="dxa"/>
              <w:end w:w="55" w:type="dxa"/>
            </w:tcMar>
          </w:tcPr>
          <w:p>
            <w:r>
              <w:rPr>
                <w:rFonts w:ascii="Cambria" w:hAnsi="Cambria"/>
                <w:sz w:val="16"/>
              </w:rPr>
              <w:t>7.2 concentration/capacity controls</w:t>
            </w:r>
          </w:p>
        </w:tc>
        <w:tc>
          <w:tcPr>
            <w:tcW w:type="dxa" w:w="2498"/>
            <w:tcMar>
              <w:top w:w="55" w:type="dxa"/>
              <w:start w:w="55" w:type="dxa"/>
              <w:bottom w:w="55" w:type="dxa"/>
              <w:end w:w="55" w:type="dxa"/>
            </w:tcMar>
          </w:tcPr>
          <w:p>
            <w:r>
              <w:rPr>
                <w:rFonts w:ascii="Cambria" w:hAnsi="Cambria"/>
                <w:sz w:val="16"/>
              </w:rPr>
              <w:t>Final position is the minimum of all binding risk, liquidity, concentration, horizon, correlation, and event caps.</w:t>
            </w:r>
          </w:p>
        </w:tc>
      </w:tr>
      <w:tr>
        <w:tc>
          <w:tcPr>
            <w:tcW w:type="dxa" w:w="2498"/>
            <w:tcMar>
              <w:top w:w="55" w:type="dxa"/>
              <w:start w:w="55" w:type="dxa"/>
              <w:bottom w:w="55" w:type="dxa"/>
              <w:end w:w="55" w:type="dxa"/>
            </w:tcMar>
          </w:tcPr>
          <w:p>
            <w:r>
              <w:rPr>
                <w:rFonts w:ascii="Cambria" w:hAnsi="Cambria"/>
                <w:b/>
                <w:sz w:val="16"/>
              </w:rPr>
              <w:t>Broker execution</w:t>
            </w:r>
          </w:p>
        </w:tc>
        <w:tc>
          <w:tcPr>
            <w:tcW w:type="dxa" w:w="2498"/>
            <w:tcMar>
              <w:top w:w="55" w:type="dxa"/>
              <w:start w:w="55" w:type="dxa"/>
              <w:bottom w:w="55" w:type="dxa"/>
              <w:end w:w="55" w:type="dxa"/>
            </w:tcMar>
          </w:tcPr>
          <w:p>
            <w:r>
              <w:rPr>
                <w:rFonts w:ascii="Cambria" w:hAnsi="Cambria"/>
                <w:sz w:val="16"/>
              </w:rPr>
              <w:t>7.2 retail-algo and broker controls</w:t>
            </w:r>
          </w:p>
        </w:tc>
        <w:tc>
          <w:tcPr>
            <w:tcW w:type="dxa" w:w="2498"/>
            <w:tcMar>
              <w:top w:w="55" w:type="dxa"/>
              <w:start w:w="55" w:type="dxa"/>
              <w:bottom w:w="55" w:type="dxa"/>
              <w:end w:w="55" w:type="dxa"/>
            </w:tcMar>
          </w:tcPr>
          <w:p>
            <w:r>
              <w:rPr>
                <w:rFonts w:ascii="Cambria" w:hAnsi="Cambria"/>
                <w:sz w:val="16"/>
              </w:rPr>
              <w:t>7.1.1 order lifecycle, reconciliation, failover</w:t>
            </w:r>
          </w:p>
        </w:tc>
        <w:tc>
          <w:tcPr>
            <w:tcW w:type="dxa" w:w="2498"/>
            <w:tcMar>
              <w:top w:w="55" w:type="dxa"/>
              <w:start w:w="55" w:type="dxa"/>
              <w:bottom w:w="55" w:type="dxa"/>
              <w:end w:w="55" w:type="dxa"/>
            </w:tcMar>
          </w:tcPr>
          <w:p>
            <w:r>
              <w:rPr>
                <w:rFonts w:ascii="Cambria" w:hAnsi="Cambria"/>
                <w:sz w:val="16"/>
              </w:rPr>
              <w:t>Classify every order, enforce current broker/exchange requirements, use idempotency, reconcile fills, and keep automatic mode disabled until approved.</w:t>
            </w:r>
          </w:p>
        </w:tc>
      </w:tr>
      <w:tr>
        <w:tc>
          <w:tcPr>
            <w:tcW w:type="dxa" w:w="2498"/>
            <w:tcMar>
              <w:top w:w="55" w:type="dxa"/>
              <w:start w:w="55" w:type="dxa"/>
              <w:bottom w:w="55" w:type="dxa"/>
              <w:end w:w="55" w:type="dxa"/>
            </w:tcMar>
          </w:tcPr>
          <w:p>
            <w:r>
              <w:rPr>
                <w:rFonts w:ascii="Cambria" w:hAnsi="Cambria"/>
                <w:b/>
                <w:sz w:val="16"/>
              </w:rPr>
              <w:t>Backtesting</w:t>
            </w:r>
          </w:p>
        </w:tc>
        <w:tc>
          <w:tcPr>
            <w:tcW w:type="dxa" w:w="2498"/>
            <w:tcMar>
              <w:top w:w="55" w:type="dxa"/>
              <w:start w:w="55" w:type="dxa"/>
              <w:bottom w:w="55" w:type="dxa"/>
              <w:end w:w="55" w:type="dxa"/>
            </w:tcMar>
          </w:tcPr>
          <w:p>
            <w:r>
              <w:rPr>
                <w:rFonts w:ascii="Cambria" w:hAnsi="Cambria"/>
                <w:sz w:val="16"/>
              </w:rPr>
              <w:t>Both</w:t>
            </w:r>
          </w:p>
        </w:tc>
        <w:tc>
          <w:tcPr>
            <w:tcW w:type="dxa" w:w="2498"/>
            <w:tcMar>
              <w:top w:w="55" w:type="dxa"/>
              <w:start w:w="55" w:type="dxa"/>
              <w:bottom w:w="55" w:type="dxa"/>
              <w:end w:w="55" w:type="dxa"/>
            </w:tcMar>
          </w:tcPr>
          <w:p>
            <w:r>
              <w:rPr>
                <w:rFonts w:ascii="Cambria" w:hAnsi="Cambria"/>
                <w:sz w:val="16"/>
              </w:rPr>
              <w:t>7.1.1 detailed test architecture</w:t>
            </w:r>
          </w:p>
        </w:tc>
        <w:tc>
          <w:tcPr>
            <w:tcW w:type="dxa" w:w="2498"/>
            <w:tcMar>
              <w:top w:w="55" w:type="dxa"/>
              <w:start w:w="55" w:type="dxa"/>
              <w:bottom w:w="55" w:type="dxa"/>
              <w:end w:w="55" w:type="dxa"/>
            </w:tcMar>
          </w:tcPr>
          <w:p>
            <w:r>
              <w:rPr>
                <w:rFonts w:ascii="Cambria" w:hAnsi="Cambria"/>
                <w:sz w:val="16"/>
              </w:rPr>
              <w:t>Use point-in-time, survivorship-controlled, corporate-action-aware, cost-aware, walk-forward testing; no in-sample result is investment validation.</w:t>
            </w:r>
          </w:p>
        </w:tc>
      </w:tr>
      <w:tr>
        <w:tc>
          <w:tcPr>
            <w:tcW w:type="dxa" w:w="2498"/>
            <w:tcMar>
              <w:top w:w="55" w:type="dxa"/>
              <w:start w:w="55" w:type="dxa"/>
              <w:bottom w:w="55" w:type="dxa"/>
              <w:end w:w="55" w:type="dxa"/>
            </w:tcMar>
          </w:tcPr>
          <w:p>
            <w:r>
              <w:rPr>
                <w:rFonts w:ascii="Cambria" w:hAnsi="Cambria"/>
                <w:b/>
                <w:sz w:val="16"/>
              </w:rPr>
              <w:t>Deployment resources</w:t>
            </w:r>
          </w:p>
        </w:tc>
        <w:tc>
          <w:tcPr>
            <w:tcW w:type="dxa" w:w="2498"/>
            <w:tcMar>
              <w:top w:w="55" w:type="dxa"/>
              <w:start w:w="55" w:type="dxa"/>
              <w:bottom w:w="55" w:type="dxa"/>
              <w:end w:w="55" w:type="dxa"/>
            </w:tcMar>
          </w:tcPr>
          <w:p>
            <w:r>
              <w:rPr>
                <w:rFonts w:ascii="Cambria" w:hAnsi="Cambria"/>
                <w:sz w:val="16"/>
              </w:rPr>
              <w:t>7.2 profiles and laptop realism</w:t>
            </w:r>
          </w:p>
        </w:tc>
        <w:tc>
          <w:tcPr>
            <w:tcW w:type="dxa" w:w="2498"/>
            <w:tcMar>
              <w:top w:w="55" w:type="dxa"/>
              <w:start w:w="55" w:type="dxa"/>
              <w:bottom w:w="55" w:type="dxa"/>
              <w:end w:w="55" w:type="dxa"/>
            </w:tcMar>
          </w:tcPr>
          <w:p>
            <w:r>
              <w:rPr>
                <w:rFonts w:ascii="Cambria" w:hAnsi="Cambria"/>
                <w:sz w:val="16"/>
              </w:rPr>
              <w:t>7.1.1 resource modes/governor</w:t>
            </w:r>
          </w:p>
        </w:tc>
        <w:tc>
          <w:tcPr>
            <w:tcW w:type="dxa" w:w="2498"/>
            <w:tcMar>
              <w:top w:w="55" w:type="dxa"/>
              <w:start w:w="55" w:type="dxa"/>
              <w:bottom w:w="55" w:type="dxa"/>
              <w:end w:w="55" w:type="dxa"/>
            </w:tcMar>
          </w:tcPr>
          <w:p>
            <w:r>
              <w:rPr>
                <w:rFonts w:ascii="Cambria" w:hAnsi="Cambria"/>
                <w:sz w:val="16"/>
              </w:rPr>
              <w:t>Prioritize workloads by coverage tier and mode; do not promise equal-depth live research on all securities from a single laptop.</w:t>
            </w:r>
          </w:p>
        </w:tc>
      </w:tr>
      <w:tr>
        <w:tc>
          <w:tcPr>
            <w:tcW w:type="dxa" w:w="2498"/>
            <w:tcMar>
              <w:top w:w="55" w:type="dxa"/>
              <w:start w:w="55" w:type="dxa"/>
              <w:bottom w:w="55" w:type="dxa"/>
              <w:end w:w="55" w:type="dxa"/>
            </w:tcMar>
          </w:tcPr>
          <w:p>
            <w:r>
              <w:rPr>
                <w:rFonts w:ascii="Cambria" w:hAnsi="Cambria"/>
                <w:b/>
                <w:sz w:val="16"/>
              </w:rPr>
              <w:t>Security, audit, backup</w:t>
            </w:r>
          </w:p>
        </w:tc>
        <w:tc>
          <w:tcPr>
            <w:tcW w:type="dxa" w:w="2498"/>
            <w:tcMar>
              <w:top w:w="55" w:type="dxa"/>
              <w:start w:w="55" w:type="dxa"/>
              <w:bottom w:w="55" w:type="dxa"/>
              <w:end w:w="55" w:type="dxa"/>
            </w:tcMar>
          </w:tcPr>
          <w:p>
            <w:r>
              <w:rPr>
                <w:rFonts w:ascii="Cambria" w:hAnsi="Cambria"/>
                <w:sz w:val="16"/>
              </w:rPr>
              <w:t>Stricter union of both</w:t>
            </w:r>
          </w:p>
        </w:tc>
        <w:tc>
          <w:tcPr>
            <w:tcW w:type="dxa" w:w="2498"/>
            <w:tcMar>
              <w:top w:w="55" w:type="dxa"/>
              <w:start w:w="55" w:type="dxa"/>
              <w:bottom w:w="55" w:type="dxa"/>
              <w:end w:w="55" w:type="dxa"/>
            </w:tcMar>
          </w:tcPr>
          <w:p>
            <w:r>
              <w:rPr>
                <w:rFonts w:ascii="Cambria" w:hAnsi="Cambria"/>
                <w:sz w:val="16"/>
              </w:rPr>
              <w:t>All relevant detailed sections</w:t>
            </w:r>
          </w:p>
        </w:tc>
        <w:tc>
          <w:tcPr>
            <w:tcW w:type="dxa" w:w="2498"/>
            <w:tcMar>
              <w:top w:w="55" w:type="dxa"/>
              <w:start w:w="55" w:type="dxa"/>
              <w:bottom w:w="55" w:type="dxa"/>
              <w:end w:w="55" w:type="dxa"/>
            </w:tcMar>
          </w:tcPr>
          <w:p>
            <w:r>
              <w:rPr>
                <w:rFonts w:ascii="Cambria" w:hAnsi="Cambria"/>
                <w:sz w:val="16"/>
              </w:rPr>
              <w:t>Immutable logs, least privilege, secret isolation, recovery tests, model/data lineage, and kill-switch controls are mandatory.</w:t>
            </w:r>
          </w:p>
        </w:tc>
      </w:tr>
      <w:tr>
        <w:tc>
          <w:tcPr>
            <w:tcW w:type="dxa" w:w="2498"/>
            <w:tcMar>
              <w:top w:w="55" w:type="dxa"/>
              <w:start w:w="55" w:type="dxa"/>
              <w:bottom w:w="55" w:type="dxa"/>
              <w:end w:w="55" w:type="dxa"/>
            </w:tcMar>
          </w:tcPr>
          <w:p>
            <w:r>
              <w:rPr>
                <w:rFonts w:ascii="Cambria" w:hAnsi="Cambria"/>
                <w:b/>
                <w:sz w:val="16"/>
              </w:rPr>
              <w:t>Release decision</w:t>
            </w:r>
          </w:p>
        </w:tc>
        <w:tc>
          <w:tcPr>
            <w:tcW w:type="dxa" w:w="2498"/>
            <w:tcMar>
              <w:top w:w="55" w:type="dxa"/>
              <w:start w:w="55" w:type="dxa"/>
              <w:bottom w:w="55" w:type="dxa"/>
              <w:end w:w="55" w:type="dxa"/>
            </w:tcMar>
          </w:tcPr>
          <w:p>
            <w:r>
              <w:rPr>
                <w:rFonts w:ascii="Cambria" w:hAnsi="Cambria"/>
                <w:sz w:val="16"/>
              </w:rPr>
              <w:t>This precedence matrix + both acceptance-gate sections</w:t>
            </w:r>
          </w:p>
        </w:tc>
        <w:tc>
          <w:tcPr>
            <w:tcW w:type="dxa" w:w="2498"/>
            <w:tcMar>
              <w:top w:w="55" w:type="dxa"/>
              <w:start w:w="55" w:type="dxa"/>
              <w:bottom w:w="55" w:type="dxa"/>
              <w:end w:w="55" w:type="dxa"/>
            </w:tcMar>
          </w:tcPr>
          <w:p>
            <w:r>
              <w:rPr>
                <w:rFonts w:ascii="Cambria" w:hAnsi="Cambria"/>
                <w:sz w:val="16"/>
              </w:rPr>
              <w:t>Formula changelog caveats</w:t>
            </w:r>
          </w:p>
        </w:tc>
        <w:tc>
          <w:tcPr>
            <w:tcW w:type="dxa" w:w="2498"/>
            <w:tcMar>
              <w:top w:w="55" w:type="dxa"/>
              <w:start w:w="55" w:type="dxa"/>
              <w:bottom w:w="55" w:type="dxa"/>
              <w:end w:w="55" w:type="dxa"/>
            </w:tcMar>
          </w:tcPr>
          <w:p>
            <w:r>
              <w:rPr>
                <w:rFonts w:ascii="Cambria" w:hAnsi="Cambria"/>
                <w:sz w:val="16"/>
              </w:rPr>
              <w:t>Release only after Architecture, Data, Code, and Investment validation states are independently satisfied and displayed.</w:t>
            </w:r>
          </w:p>
        </w:tc>
      </w:tr>
    </w:tbl>
    <w:p>
      <w:pPr>
        <w:pStyle w:val="Heading1"/>
      </w:pPr>
      <w:r>
        <w:t>Final release rule</w:t>
      </w:r>
    </w:p>
    <w:p>
      <w:r>
        <w:rPr>
          <w:b/>
        </w:rPr>
        <w:t xml:space="preserve">The rebuilt specification is complete as a design baseline, but it is not itself proof of production or investment validation. </w:t>
      </w:r>
      <w:r>
        <w:t>The implementation must remain in research, alert, or paper mode until all source permissions, data mappings, formula tests, point-in-time backtests, broker controls, failure tests, security checks, and controlled validation gates applicable to the selected deployment profile have passed. Any unresolved formula, data, legal, broker, or model-governance issue must block automatic execution.</w:t>
      </w:r>
    </w:p>
    <w:p>
      <w:pPr>
        <w:pStyle w:val="Heading1"/>
      </w:pPr>
      <w:r>
        <w:t>End of consolidated specification</w:t>
      </w:r>
    </w:p>
    <w:p>
      <w:pPr>
        <w:pStyle w:val="SmallNote"/>
      </w:pPr>
      <w:r>
        <w:t>Build record: Part I copied 1910 body paragraphs (1809 non-empty) and 14 tables; Part II copied 2581 body paragraphs (2461 non-empty) and 18 tables; Part III preserved 153 changelog lines.</w:t>
      </w:r>
    </w:p>
    <w:sectPr w:rsidR="00FC693F" w:rsidRPr="0006063C" w:rsidSect="00034616">
      <w:headerReference w:type="default" r:id="rId9"/>
      <w:footerReference w:type="default" r:id="rId10"/>
      <w:pgSz w:w="12240" w:h="15840"/>
      <w:pgMar w:top="979" w:right="1123" w:bottom="893" w:left="112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Indian Equity Intelligence System 7.1.4   •   Page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4F6D7C"/>
        <w:sz w:val="15"/>
      </w:rPr>
      <w:t>IEIS 7.1.4  |  Corrected Master / Legacy Annex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mbria" w:hAnsi="Cambria"/>
      <w:color w:val="1919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mbria" w:hAnsi="Cambria"/>
      <w:b/>
      <w:bCs/>
      <w:color w:val="144E69"/>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mbria" w:hAnsi="Cambria"/>
      <w:b/>
      <w:bCs/>
      <w:color w:val="144E69"/>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Cambria" w:hAnsi="Cambria"/>
      <w:b/>
      <w:bCs/>
      <w:color w:val="144E69"/>
      <w:sz w:val="23"/>
    </w:rPr>
  </w:style>
  <w:style w:type="paragraph" w:styleId="Heading4">
    <w:name w:val="heading 4"/>
    <w:basedOn w:val="Normal"/>
    <w:next w:val="Normal"/>
    <w:link w:val="Heading4Char"/>
    <w:uiPriority w:val="9"/>
    <w:semiHidden/>
    <w:unhideWhenUsed/>
    <w:qFormat/>
    <w:rsid w:val="00FC693F"/>
    <w:pPr>
      <w:keepNext/>
      <w:keepLines/>
      <w:spacing w:before="160" w:after="100"/>
      <w:outlineLvl w:val="3"/>
    </w:pPr>
    <w:rPr>
      <w:rFonts w:asciiTheme="majorHAnsi" w:eastAsiaTheme="majorEastAsia" w:hAnsiTheme="majorHAnsi" w:cstheme="majorBidi" w:ascii="Cambria" w:hAnsi="Cambria"/>
      <w:b/>
      <w:bCs/>
      <w:i/>
      <w:iCs/>
      <w:color w:val="16324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Cambria" w:hAnsi="Cambria"/>
      <w:b/>
      <w:color w:val="144E6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Cambria" w:hAnsi="Cambria"/>
      <w:i/>
      <w:iCs/>
      <w:color w:val="4F6D7C"/>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Title">
    <w:name w:val="Part Title"/>
    <w:pPr>
      <w:keepNext/>
      <w:pageBreakBefore/>
      <w:spacing w:before="0" w:after="200"/>
    </w:pPr>
    <w:rPr>
      <w:rFonts w:ascii="Cambria" w:hAnsi="Cambria"/>
      <w:b/>
      <w:color w:val="144E69"/>
      <w:sz w:val="46"/>
    </w:rPr>
  </w:style>
  <w:style w:type="paragraph" w:customStyle="1" w:styleId="SourceNote">
    <w:name w:val="Source Note"/>
    <w:pPr>
      <w:spacing w:after="160"/>
    </w:pPr>
    <w:rPr>
      <w:rFonts w:ascii="Cambria" w:hAnsi="Cambria"/>
      <w:i/>
      <w:color w:val="5F5F5F"/>
      <w:sz w:val="19"/>
    </w:rPr>
  </w:style>
  <w:style w:type="paragraph" w:customStyle="1" w:styleId="FormulaBlock">
    <w:name w:val="Formula Block"/>
    <w:pPr>
      <w:keepLines/>
      <w:spacing w:before="60" w:after="100"/>
      <w:ind w:left="288" w:right="288"/>
    </w:pPr>
    <w:rPr>
      <w:rFonts w:ascii="Consolas" w:hAnsi="Consolas"/>
      <w:color w:val="163243"/>
      <w:sz w:val="18"/>
    </w:rPr>
  </w:style>
  <w:style w:type="paragraph" w:customStyle="1" w:styleId="CodeLine">
    <w:name w:val="Code Line"/>
    <w:pPr>
      <w:keepLines/>
      <w:spacing w:after="20"/>
      <w:ind w:left="360"/>
    </w:pPr>
    <w:rPr>
      <w:rFonts w:ascii="Consolas" w:hAnsi="Consolas"/>
      <w:color w:val="163243"/>
      <w:sz w:val="17"/>
    </w:rPr>
  </w:style>
  <w:style w:type="paragraph" w:customStyle="1" w:styleId="ListBody">
    <w:name w:val="List Body"/>
    <w:pPr>
      <w:spacing w:after="40" w:line="250" w:lineRule="auto"/>
    </w:pPr>
    <w:rPr>
      <w:rFonts w:ascii="Cambria" w:hAnsi="Cambria"/>
      <w:sz w:val="21"/>
    </w:rPr>
  </w:style>
  <w:style w:type="paragraph" w:customStyle="1" w:styleId="SmallNote">
    <w:name w:val="Small Note"/>
    <w:pPr>
      <w:spacing w:after="80"/>
    </w:pPr>
    <w:rPr>
      <w:rFonts w:ascii="Cambria" w:hAnsi="Cambria"/>
      <w:color w:val="5F5F5F"/>
      <w:sz w:val="17"/>
    </w:rPr>
  </w:style>
  <w:style w:type="paragraph" w:customStyle="1" w:styleId="PatchTitle">
    <w:name w:val="PatchTitle"/>
    <w:basedOn w:val="Title"/>
    <w:pPr>
      <w:spacing w:after="240" w:before="0"/>
    </w:pPr>
    <w:rPr>
      <w:rFonts w:ascii="Aptos" w:hAnsi="Aptos"/>
      <w:b/>
      <w:color w:val="14324F"/>
      <w:sz w:val="46"/>
    </w:rPr>
  </w:style>
  <w:style w:type="paragraph" w:customStyle="1" w:styleId="PatchSubtitle">
    <w:name w:val="PatchSubtitle"/>
    <w:basedOn w:val="Subtitle"/>
    <w:pPr>
      <w:spacing w:after="160" w:before="0"/>
    </w:pPr>
    <w:rPr>
      <w:rFonts w:ascii="Aptos" w:hAnsi="Aptos"/>
      <w:b w:val="0"/>
      <w:color w:val="44617A"/>
      <w:sz w:val="24"/>
    </w:rPr>
  </w:style>
  <w:style w:type="paragraph" w:customStyle="1" w:styleId="PatchH1">
    <w:name w:val="PatchH1"/>
    <w:basedOn w:val="Heading1"/>
    <w:pPr>
      <w:spacing w:after="180" w:before="140"/>
    </w:pPr>
    <w:rPr>
      <w:rFonts w:ascii="Aptos" w:hAnsi="Aptos"/>
      <w:b/>
      <w:color w:val="14324F"/>
      <w:sz w:val="28"/>
    </w:rPr>
  </w:style>
  <w:style w:type="paragraph" w:customStyle="1" w:styleId="PatchH2">
    <w:name w:val="PatchH2"/>
    <w:basedOn w:val="Heading2"/>
    <w:pPr>
      <w:spacing w:after="120" w:before="140"/>
    </w:pPr>
    <w:rPr>
      <w:rFonts w:ascii="Aptos" w:hAnsi="Aptos"/>
      <w:b/>
      <w:color w:val="1E6077"/>
      <w:sz w:val="22"/>
    </w:rPr>
  </w:style>
  <w:style w:type="paragraph" w:customStyle="1" w:styleId="PatchBody">
    <w:name w:val="PatchBody"/>
    <w:basedOn w:val="Normal"/>
    <w:pPr>
      <w:spacing w:after="100" w:before="0"/>
    </w:pPr>
    <w:rPr>
      <w:rFonts w:ascii="Aptos" w:hAnsi="Aptos"/>
      <w:b w:val="0"/>
      <w:color w:val="263647"/>
      <w:sz w:val="18"/>
    </w:rPr>
  </w:style>
  <w:style w:type="paragraph" w:customStyle="1" w:styleId="PatchSmall">
    <w:name w:val="PatchSmall"/>
    <w:basedOn w:val="Normal"/>
    <w:pPr>
      <w:spacing w:after="80" w:before="0"/>
    </w:pPr>
    <w:rPr>
      <w:rFonts w:ascii="Aptos" w:hAnsi="Aptos"/>
      <w:b w:val="0"/>
      <w:color w:val="38475A"/>
      <w:sz w:val="15"/>
    </w:rPr>
  </w:style>
  <w:style w:type="paragraph" w:customStyle="1" w:styleId="PatchCode">
    <w:name w:val="PatchCode"/>
    <w:basedOn w:val="Normal"/>
    <w:pPr>
      <w:spacing w:after="100" w:before="0"/>
      <w:ind w:left="216"/>
    </w:pPr>
    <w:rPr>
      <w:rFonts w:ascii="Consolas" w:hAnsi="Consolas"/>
      <w:b w:val="0"/>
      <w:color w:val="1F4753"/>
      <w:sz w:val="16"/>
    </w:rPr>
  </w:style>
  <w:style w:type="paragraph" w:customStyle="1" w:styleId="PatchFlag">
    <w:name w:val="PatchFlag"/>
    <w:basedOn w:val="Normal"/>
    <w:pPr>
      <w:spacing w:after="160" w:before="0"/>
    </w:pPr>
    <w:rPr>
      <w:rFonts w:ascii="Aptos" w:hAnsi="Aptos"/>
      <w:b/>
      <w:color w:val="AA4E24"/>
      <w:sz w:val="19"/>
    </w:rPr>
  </w:style>
  <w:style w:type="paragraph" w:customStyle="1" w:styleId="V714Title">
    <w:name w:val="V714Title"/>
    <w:basedOn w:val="Title"/>
    <w:pPr>
      <w:spacing w:before="0" w:after="240"/>
    </w:pPr>
    <w:rPr>
      <w:rFonts w:ascii="Aptos" w:hAnsi="Aptos"/>
      <w:b/>
      <w:color w:val="112C46"/>
      <w:sz w:val="50"/>
    </w:rPr>
  </w:style>
  <w:style w:type="paragraph" w:customStyle="1" w:styleId="V714Subtitle">
    <w:name w:val="V714Subtitle"/>
    <w:basedOn w:val="Subtitle"/>
    <w:pPr>
      <w:spacing w:before="0" w:after="120"/>
    </w:pPr>
    <w:rPr>
      <w:rFonts w:ascii="Aptos" w:hAnsi="Aptos"/>
      <w:b w:val="0"/>
      <w:color w:val="4C6077"/>
      <w:sz w:val="24"/>
    </w:rPr>
  </w:style>
  <w:style w:type="paragraph" w:customStyle="1" w:styleId="V714Head">
    <w:name w:val="V714Head"/>
    <w:basedOn w:val="Heading1"/>
    <w:pPr>
      <w:spacing w:before="260" w:after="120"/>
    </w:pPr>
    <w:rPr>
      <w:rFonts w:ascii="Aptos" w:hAnsi="Aptos"/>
      <w:b/>
      <w:color w:val="173D57"/>
      <w:sz w:val="30"/>
    </w:rPr>
  </w:style>
  <w:style w:type="paragraph" w:customStyle="1" w:styleId="V714Subhead">
    <w:name w:val="V714Subhead"/>
    <w:basedOn w:val="Heading2"/>
    <w:pPr>
      <w:spacing w:before="180" w:after="80"/>
    </w:pPr>
    <w:rPr>
      <w:rFonts w:ascii="Aptos" w:hAnsi="Aptos"/>
      <w:b/>
      <w:color w:val="2D687C"/>
      <w:sz w:val="22"/>
    </w:rPr>
  </w:style>
  <w:style w:type="paragraph" w:customStyle="1" w:styleId="V714Text">
    <w:name w:val="V714Text"/>
    <w:basedOn w:val="Normal"/>
    <w:pPr>
      <w:spacing w:before="0" w:after="80"/>
    </w:pPr>
    <w:rPr>
      <w:rFonts w:ascii="Aptos" w:hAnsi="Aptos"/>
      <w:b w:val="0"/>
      <w:color w:val="273545"/>
      <w:sz w:val="18"/>
    </w:rPr>
  </w:style>
  <w:style w:type="paragraph" w:customStyle="1" w:styleId="V714Small">
    <w:name w:val="V714Small"/>
    <w:basedOn w:val="Normal"/>
    <w:pPr>
      <w:spacing w:before="0" w:after="60"/>
    </w:pPr>
    <w:rPr>
      <w:rFonts w:ascii="Aptos" w:hAnsi="Aptos"/>
      <w:b w:val="0"/>
      <w:color w:val="546477"/>
      <w:sz w:val="16"/>
    </w:rPr>
  </w:style>
  <w:style w:type="paragraph" w:customStyle="1" w:styleId="V714Code">
    <w:name w:val="V714Code"/>
    <w:basedOn w:val="Normal"/>
    <w:pPr>
      <w:spacing w:before="0" w:after="80"/>
      <w:ind w:left="259"/>
    </w:pPr>
    <w:rPr>
      <w:rFonts w:ascii="Consolas" w:hAnsi="Consolas"/>
      <w:b w:val="0"/>
      <w:color w:val="184657"/>
      <w:sz w:val="16"/>
    </w:rPr>
  </w:style>
  <w:style w:type="paragraph" w:customStyle="1" w:styleId="V714Warning">
    <w:name w:val="V714Warning"/>
    <w:basedOn w:val="Normal"/>
    <w:pPr>
      <w:spacing w:before="0" w:after="160"/>
    </w:pPr>
    <w:rPr>
      <w:rFonts w:ascii="Aptos" w:hAnsi="Aptos"/>
      <w:b/>
      <w:color w:val="94370C"/>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IEIS 7.1.4 - Corrected Master Specification with Historical Annex</dc:title>
  <dc:subject>October 2026 12-finding independent re-audit remediation and 26 reference formula vectors</dc:subject>
  <dc:creator>OpenAI</dc:creator>
  <cp:keywords>Indian equities; point-in-time data; ranking; signals; portfolio risk; broker integration; formula registry; backtesting</cp:keywords>
  <dc:description>Design and offline reference only. Broker submissions disabled; historical 7.1.3 and 7.1.2 annexes preserved.</dc:description>
  <cp:lastModifiedBy/>
  <cp:revision>1</cp:revision>
  <dcterms:created xsi:type="dcterms:W3CDTF">2013-12-23T23:15:00Z</dcterms:created>
  <dcterms:modified xsi:type="dcterms:W3CDTF">2013-12-23T23:15:00Z</dcterms:modified>
  <cp:category/>
</cp:coreProperties>
</file>