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7C5D12"/>
          <w:sz w:val="16"/>
          <w:szCs w:val="16"/>
        </w:rPr>
        <w:t xml:space="preserve">LAKMĒ LEVER PRIVATE LIMITED · LEGAL</w:t>
      </w:r>
    </w:p>
    <w:p>
      <w:pPr>
        <w:spacing w:after="40"/>
      </w:pPr>
      <w:r>
        <w:rPr>
          <w:rFonts w:ascii="Calibri" w:cs="Calibri" w:eastAsia="Calibri" w:hAnsi="Calibri"/>
          <w:b/>
          <w:bCs/>
          <w:color w:val="23201A"/>
          <w:sz w:val="44"/>
          <w:szCs w:val="44"/>
        </w:rPr>
        <w:t xml:space="preserve">Concord CLM</w:t>
      </w:r>
    </w:p>
    <w:p>
      <w:pPr>
        <w:spacing w:after="60" w:before="0"/>
      </w:pPr>
      <w:r>
        <w:rPr>
          <w:rFonts w:ascii="Calibri" w:cs="Calibri" w:eastAsia="Calibri" w:hAnsi="Calibri"/>
          <w:b/>
          <w:bCs/>
          <w:i w:val="false"/>
          <w:iCs w:val="false"/>
          <w:color w:val="55503F"/>
          <w:sz w:val="26"/>
          <w:szCs w:val="26"/>
        </w:rPr>
        <w:t xml:space="preserve">Response to the Remaining Production Exit Conditions</w:t>
      </w:r>
    </w:p>
    <w:p>
      <w:pPr>
        <w:spacing w:after="220" w:before="0"/>
      </w:pPr>
      <w:r>
        <w:rPr>
          <w:rFonts w:ascii="Calibri" w:cs="Calibri" w:eastAsia="Calibri" w:hAnsi="Calibri"/>
          <w:b w:val="false"/>
          <w:bCs w:val="false"/>
          <w:i w:val="false"/>
          <w:iCs w:val="false"/>
          <w:color w:val="55503F"/>
          <w:sz w:val="18"/>
          <w:szCs w:val="18"/>
        </w:rPr>
        <w:t xml:space="preserve">Every one of the 16 conditions verified against the codebase, with evidence. Four were repository defects and are now closed; one was a security control that reported itself as present while being absent, and is now implemented and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Field</w:t>
            </w:r>
          </w:p>
        </w:tc>
        <w:tc>
          <w:tcPr>
            <w:tcW w:type="dxa" w:w="76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Detail</w:t>
            </w:r>
          </w:p>
        </w:tc>
      </w:tr>
      <w:tr>
        <w:tc>
          <w:tcPr>
            <w:tcW w:type="dxa" w:w="1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Prepared by</w:t>
            </w:r>
          </w:p>
        </w:tc>
        <w:tc>
          <w:tcPr>
            <w:tcW w:type="dxa" w:w="7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Legal (Concord product owner), in response to the reviewer’s exit-condition note</w:t>
            </w:r>
          </w:p>
        </w:tc>
      </w:tr>
      <w:tr>
        <w:tc>
          <w:tcPr>
            <w:tcW w:type="dxa" w:w="1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Scope</w:t>
            </w:r>
          </w:p>
        </w:tc>
        <w:tc>
          <w:tcPr>
            <w:tcW w:type="dxa" w:w="7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All 16 conditions. Sections A (operational) and B (repository).</w:t>
            </w:r>
          </w:p>
        </w:tc>
      </w:tr>
      <w:tr>
        <w:tc>
          <w:tcPr>
            <w:tcW w:type="dxa" w:w="1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Method</w:t>
            </w:r>
          </w:p>
        </w:tc>
        <w:tc>
          <w:tcPr>
            <w:tcW w:type="dxa" w:w="7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Each claim checked against the source before acceptance. Nothing accepted on assertion.</w:t>
            </w:r>
          </w:p>
        </w:tc>
      </w:tr>
      <w:tr>
        <w:tc>
          <w:tcPr>
            <w:tcW w:type="dxa" w:w="1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Gate at time of writing</w:t>
            </w:r>
          </w:p>
        </w:tc>
        <w:tc>
          <w:tcPr>
            <w:tcW w:type="dxa" w:w="7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pnpm verify 11/12 green (1 skip: DB drift, needs staging) · 137 tests · 17 suites</w:t>
            </w:r>
          </w:p>
        </w:tc>
      </w:tr>
      <w:tr>
        <w:tc>
          <w:tcPr>
            <w:tcW w:type="dxa" w:w="1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Position</w:t>
            </w:r>
          </w:p>
        </w:tc>
        <w:tc>
          <w:tcPr>
            <w:tcW w:type="dxa" w:w="7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We agree the release stays on hold. The hold is now supported by a shorter, sharper list.</w:t>
            </w:r>
          </w:p>
        </w:tc>
      </w:tr>
    </w:tbl>
    <w:p>
      <w:pPr>
        <w:pStyle w:val="Heading1"/>
        <w:spacing w:after="140" w:before="320"/>
      </w:pPr>
      <w:r>
        <w:rPr>
          <w:rFonts w:ascii="Calibri" w:cs="Calibri" w:eastAsia="Calibri" w:hAnsi="Calibri"/>
          <w:b/>
          <w:bCs/>
          <w:color w:val="23201A"/>
          <w:sz w:val="30"/>
          <w:szCs w:val="30"/>
        </w:rPr>
        <w:t xml:space="preserve">1.  Summary</w:t>
      </w:r>
    </w:p>
    <w:p>
      <w:pPr>
        <w:spacing w:after="90" w:before="0"/>
      </w:pPr>
      <w:r>
        <w:rPr>
          <w:rFonts w:ascii="Calibri" w:cs="Calibri" w:eastAsia="Calibri" w:hAnsi="Calibri"/>
          <w:b w:val="false"/>
          <w:bCs w:val="false"/>
          <w:i w:val="false"/>
          <w:iCs w:val="false"/>
          <w:color w:val="23201A"/>
          <w:sz w:val="18"/>
          <w:szCs w:val="18"/>
        </w:rPr>
        <w:t xml:space="preserve">We accept the AMBER HOLD and the release rule. The note is right that the remaining risk is operational rather than architectural, and it is right that engineering claims should not be relied on without evidence. Applying exactly that standard to the note itself, we checked all 16 conditions against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4426"/>
      </w:tblGrid>
      <w:tr>
        <w:trPr>
          <w:tblHeader/>
        </w:trPr>
        <w:tc>
          <w:tcPr>
            <w:tcW w:type="dxa" w:w="7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w:t>
            </w:r>
          </w:p>
        </w:tc>
        <w:tc>
          <w:tcPr>
            <w:tcW w:type="dxa" w:w="24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Finding class</w:t>
            </w:r>
          </w:p>
        </w:tc>
        <w:tc>
          <w:tcPr>
            <w:tcW w:type="dxa" w:w="15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Disposition</w:t>
            </w:r>
          </w:p>
        </w:tc>
        <w:tc>
          <w:tcPr>
            <w:tcW w:type="dxa" w:w="44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Basis</w:t>
            </w:r>
          </w:p>
        </w:tc>
      </w:tr>
      <w:tr>
        <w:tc>
          <w:tcPr>
            <w:tcW w:type="dxa" w:w="7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A</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Conditions 1–12 (operational)</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9A6A06"/>
                <w:sz w:val="17"/>
                <w:szCs w:val="17"/>
              </w:rPr>
              <w:t xml:space="preserve">OPEN</w:t>
            </w:r>
          </w:p>
        </w:tc>
        <w:tc>
          <w:tcPr>
            <w:tcW w:type="dxa" w:w="44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Correct. These are assurance, platform and provisioning activities that cannot be closed inside a repository. Owners named in §4.</w:t>
            </w:r>
          </w:p>
        </w:tc>
      </w:tr>
      <w:tr>
        <w:tc>
          <w:tcPr>
            <w:tcW w:type="dxa" w:w="7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B</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Condition 13 (@types/node)</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4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Confirmed and fixed. apps/web carried @types/node ^20 against engines "&gt;=22 &lt;23".</w:t>
            </w:r>
          </w:p>
        </w:tc>
      </w:tr>
      <w:tr>
        <w:tc>
          <w:tcPr>
            <w:tcW w:type="dxa" w:w="7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C</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Condition 14 (README)</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4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Confirmed and fixed, and worse than reported — see §2.</w:t>
            </w:r>
          </w:p>
        </w:tc>
      </w:tr>
      <w:tr>
        <w:tc>
          <w:tcPr>
            <w:tcW w:type="dxa" w:w="7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D</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Condition 15 (cloud position)</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9A6A06"/>
                <w:sz w:val="17"/>
                <w:szCs w:val="17"/>
              </w:rPr>
              <w:t xml:space="preserve">PARTLY</w:t>
            </w:r>
          </w:p>
        </w:tc>
        <w:tc>
          <w:tcPr>
            <w:tcW w:type="dxa" w:w="44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The decision was already made in ADR-001. The downstream doc had not caught up; now corrected.</w:t>
            </w:r>
          </w:p>
        </w:tc>
      </w:tr>
      <w:tr>
        <w:tc>
          <w:tcPr>
            <w:tcW w:type="dxa" w:w="7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E</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Condition 16 (blank P0 section)</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4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Confirmed. Section 2 of the readiness response was genuinely empty; written and reissued.</w:t>
            </w:r>
          </w:p>
        </w:tc>
      </w:tr>
      <w:tr>
        <w:tc>
          <w:tcPr>
            <w:tcW w:type="dxa" w:w="7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F</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Not in the note</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A32A20"/>
                <w:sz w:val="17"/>
                <w:szCs w:val="17"/>
              </w:rPr>
              <w:t xml:space="preserve">CONFIRMED</w:t>
            </w:r>
          </w:p>
        </w:tc>
        <w:tc>
          <w:tcPr>
            <w:tcW w:type="dxa" w:w="44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Malware scanning was a stub that ignored a configured endpoint. Found while auditing condition 5. See §3.</w:t>
            </w:r>
          </w:p>
        </w:tc>
      </w:tr>
    </w:tbl>
    <w:p>
      <w:pPr>
        <w:pStyle w:val="Heading1"/>
        <w:spacing w:after="140" w:before="320"/>
      </w:pPr>
      <w:r>
        <w:rPr>
          <w:rFonts w:ascii="Calibri" w:cs="Calibri" w:eastAsia="Calibri" w:hAnsi="Calibri"/>
          <w:b/>
          <w:bCs/>
          <w:color w:val="23201A"/>
          <w:sz w:val="30"/>
          <w:szCs w:val="30"/>
        </w:rPr>
        <w:t xml:space="preserve">2.  Repository conditions — what we found</w:t>
      </w:r>
    </w:p>
    <w:p>
      <w:pPr>
        <w:pStyle w:val="Heading2"/>
        <w:spacing w:after="110" w:before="240"/>
      </w:pPr>
      <w:r>
        <w:rPr>
          <w:rFonts w:ascii="Calibri" w:cs="Calibri" w:eastAsia="Calibri" w:hAnsi="Calibri"/>
          <w:b/>
          <w:bCs/>
          <w:color w:val="7C5D12"/>
          <w:sz w:val="23"/>
          <w:szCs w:val="23"/>
        </w:rPr>
        <w:t xml:space="preserve">13 · Node.js type dependency</w:t>
      </w:r>
    </w:p>
    <w:p>
      <w:pPr>
        <w:spacing w:after="90" w:before="0"/>
      </w:pPr>
      <w:r>
        <w:rPr>
          <w:rFonts w:ascii="Calibri" w:cs="Calibri" w:eastAsia="Calibri" w:hAnsi="Calibri"/>
          <w:b w:val="false"/>
          <w:bCs w:val="false"/>
          <w:i w:val="false"/>
          <w:iCs w:val="false"/>
          <w:color w:val="23201A"/>
          <w:sz w:val="18"/>
          <w:szCs w:val="18"/>
        </w:rPr>
        <w:t xml:space="preserve">Confirmed. The root manifest requires Node "&gt;=22 &lt;23", the API used @types/node ^22, and apps/web used ^20. The web type-check passed anyway, because Node 20’s type surface is close enough that nothing errored — which is why it survived. Types that describe a different runtime than the one shipped is a silent-divergence defect, not a cosmetic one.</w:t>
      </w:r>
    </w:p>
    <w:p>
      <w:pPr>
        <w:spacing w:after="90" w:before="0"/>
      </w:pPr>
      <w:r>
        <w:rPr>
          <w:rFonts w:ascii="Calibri" w:cs="Calibri" w:eastAsia="Calibri" w:hAnsi="Calibri"/>
          <w:b/>
          <w:bCs/>
          <w:i w:val="false"/>
          <w:iCs w:val="false"/>
          <w:color w:val="23201A"/>
          <w:sz w:val="18"/>
          <w:szCs w:val="18"/>
        </w:rPr>
        <w:t xml:space="preserve">Closed. </w:t>
      </w:r>
      <w:r>
        <w:rPr>
          <w:rFonts w:ascii="Calibri" w:cs="Calibri" w:eastAsia="Calibri" w:hAnsi="Calibri"/>
          <w:b w:val="false"/>
          <w:bCs w:val="false"/>
          <w:i w:val="false"/>
          <w:iCs w:val="false"/>
          <w:color w:val="23201A"/>
          <w:sz w:val="18"/>
          <w:szCs w:val="18"/>
        </w:rPr>
        <w:t xml:space="preserve">Aligned to ^22.5.0; type-check and production build re-run green. A new gate invariant now fails the build if @types/node in any workspace, or the Node version stated in the README, disagrees with engines.node. Verified by reverting each and confirming the specific failure.</w:t>
      </w:r>
    </w:p>
    <w:p>
      <w:pPr>
        <w:pStyle w:val="Heading2"/>
        <w:spacing w:after="110" w:before="240"/>
      </w:pPr>
      <w:r>
        <w:rPr>
          <w:rFonts w:ascii="Calibri" w:cs="Calibri" w:eastAsia="Calibri" w:hAnsi="Calibri"/>
          <w:b/>
          <w:bCs/>
          <w:color w:val="7C5D12"/>
          <w:sz w:val="23"/>
          <w:szCs w:val="23"/>
        </w:rPr>
        <w:t xml:space="preserve">14 · README</w:t>
      </w:r>
    </w:p>
    <w:p>
      <w:pPr>
        <w:spacing w:after="90" w:before="0"/>
      </w:pPr>
      <w:r>
        <w:rPr>
          <w:rFonts w:ascii="Calibri" w:cs="Calibri" w:eastAsia="Calibri" w:hAnsi="Calibri"/>
          <w:b w:val="false"/>
          <w:bCs w:val="false"/>
          <w:i w:val="false"/>
          <w:iCs w:val="false"/>
          <w:color w:val="23201A"/>
          <w:sz w:val="18"/>
          <w:szCs w:val="18"/>
        </w:rPr>
        <w:t xml:space="preserve">Confirmed, and materially worse than the note describes. Two defects:</w:t>
      </w:r>
    </w:p>
    <w:p>
      <w:pPr>
        <w:spacing w:after="60" w:before="0"/>
      </w:pPr>
      <w:r>
        <w:rPr>
          <w:rFonts w:ascii="Calibri" w:cs="Calibri" w:eastAsia="Calibri" w:hAnsi="Calibri"/>
          <w:b/>
          <w:bCs/>
          <w:i w:val="false"/>
          <w:iCs w:val="false"/>
          <w:color w:val="23201A"/>
          <w:sz w:val="18"/>
          <w:szCs w:val="18"/>
        </w:rPr>
        <w:t xml:space="preserve">a) </w:t>
      </w:r>
      <w:r>
        <w:rPr>
          <w:rFonts w:ascii="Calibri" w:cs="Calibri" w:eastAsia="Calibri" w:hAnsi="Calibri"/>
          <w:b w:val="false"/>
          <w:bCs w:val="false"/>
          <w:i w:val="false"/>
          <w:iCs w:val="false"/>
          <w:color w:val="23201A"/>
          <w:sz w:val="18"/>
          <w:szCs w:val="18"/>
        </w:rPr>
        <w:t xml:space="preserve">It stated "Node.js 20+". A developer following it installs a runtime the gate rejects at step 1.</w:t>
      </w:r>
    </w:p>
    <w:p>
      <w:pPr>
        <w:spacing w:after="60" w:before="0"/>
      </w:pPr>
      <w:r>
        <w:rPr>
          <w:rFonts w:ascii="Calibri" w:cs="Calibri" w:eastAsia="Calibri" w:hAnsi="Calibri"/>
          <w:b/>
          <w:bCs/>
          <w:i w:val="false"/>
          <w:iCs w:val="false"/>
          <w:color w:val="23201A"/>
          <w:sz w:val="18"/>
          <w:szCs w:val="18"/>
        </w:rPr>
        <w:t xml:space="preserve">b) </w:t>
      </w:r>
      <w:r>
        <w:rPr>
          <w:rFonts w:ascii="Calibri" w:cs="Calibri" w:eastAsia="Calibri" w:hAnsi="Calibri"/>
          <w:b w:val="false"/>
          <w:bCs w:val="false"/>
          <w:i w:val="false"/>
          <w:iCs w:val="false"/>
          <w:color w:val="23201A"/>
          <w:sz w:val="18"/>
          <w:szCs w:val="18"/>
        </w:rPr>
        <w:t xml:space="preserve">It stated that docker compose brings up Postgres with the "schema pushed &amp; seeded". That behaviour was deliberately removed during the hardening round and replaced with a one-shot versioned-migration job. So the README was advertising, in writing, the precise control that exit condition 4 exists to prevent. An auditor reading it would reasonably conclude the application reshapes the database at startup — and would block the release on evidence that already exists.</w:t>
      </w:r>
    </w:p>
    <w:p>
      <w:pPr>
        <w:spacing w:after="90" w:before="0"/>
      </w:pPr>
      <w:r>
        <w:rPr>
          <w:rFonts w:ascii="Calibri" w:cs="Calibri" w:eastAsia="Calibri" w:hAnsi="Calibri"/>
          <w:b/>
          <w:bCs/>
          <w:i w:val="false"/>
          <w:iCs w:val="false"/>
          <w:color w:val="23201A"/>
          <w:sz w:val="18"/>
          <w:szCs w:val="18"/>
        </w:rPr>
        <w:t xml:space="preserve">Closed. </w:t>
      </w:r>
      <w:r>
        <w:rPr>
          <w:rFonts w:ascii="Calibri" w:cs="Calibri" w:eastAsia="Calibri" w:hAnsi="Calibri"/>
          <w:b w:val="false"/>
          <w:bCs w:val="false"/>
          <w:i w:val="false"/>
          <w:iCs w:val="false"/>
          <w:color w:val="23201A"/>
          <w:sz w:val="18"/>
          <w:szCs w:val="18"/>
        </w:rPr>
        <w:t xml:space="preserve">Prerequisite corrected to 22; the compose section now describes the migration job and the SEED_ON_START gate; demo credentials are explicitly marked local-development-only alongside a note that production uses Entra ID SSO and refuses to start with demo logins present. A gate invariant now rejects any README that claims schema push or names a Node major other than the pinned one.</w:t>
      </w:r>
    </w:p>
    <w:p>
      <w:pPr>
        <w:pStyle w:val="Heading2"/>
        <w:spacing w:after="110" w:before="240"/>
      </w:pPr>
      <w:r>
        <w:rPr>
          <w:rFonts w:ascii="Calibri" w:cs="Calibri" w:eastAsia="Calibri" w:hAnsi="Calibri"/>
          <w:b/>
          <w:bCs/>
          <w:color w:val="7C5D12"/>
          <w:sz w:val="23"/>
          <w:szCs w:val="23"/>
        </w:rPr>
        <w:t xml:space="preserve">15 · Cloud decision</w:t>
      </w:r>
    </w:p>
    <w:p>
      <w:pPr>
        <w:spacing w:after="90" w:before="0"/>
      </w:pPr>
      <w:r>
        <w:rPr>
          <w:rFonts w:ascii="Calibri" w:cs="Calibri" w:eastAsia="Calibri" w:hAnsi="Calibri"/>
          <w:b w:val="false"/>
          <w:bCs w:val="false"/>
          <w:i w:val="false"/>
          <w:iCs w:val="false"/>
          <w:color w:val="23201A"/>
          <w:sz w:val="18"/>
          <w:szCs w:val="18"/>
        </w:rPr>
        <w:t xml:space="preserve">Partly correct, and worth stating precisely. The decision is not open: ADR-001 records Azure / Central India as the production target and AWS as the approved business-continuity fallback, activated under change control and never run active-active. It has a "Why Azure primary (not AWS)" section and explicitly supersedes the earlier mixed language.</w:t>
      </w:r>
    </w:p>
    <w:p>
      <w:pPr>
        <w:spacing w:after="90" w:before="0"/>
      </w:pPr>
      <w:r>
        <w:rPr>
          <w:rFonts w:ascii="Calibri" w:cs="Calibri" w:eastAsia="Calibri" w:hAnsi="Calibri"/>
          <w:b w:val="false"/>
          <w:bCs w:val="false"/>
          <w:i w:val="false"/>
          <w:iCs w:val="false"/>
          <w:color w:val="23201A"/>
          <w:sz w:val="18"/>
          <w:szCs w:val="18"/>
        </w:rPr>
        <w:t xml:space="preserve">What was true is that ADR-001’s own Consequences section committed to updating deployment.md, and that had not been done. Section 10 was still titled "Portability — AWS, Azure, or either" and read as a menu of co-equal options. A reviewer meeting that section without the ADR in front of them draws exactly the conclusion the note drew.</w:t>
      </w:r>
    </w:p>
    <w:p>
      <w:pPr>
        <w:spacing w:after="90" w:before="0"/>
      </w:pPr>
      <w:r>
        <w:rPr>
          <w:rFonts w:ascii="Calibri" w:cs="Calibri" w:eastAsia="Calibri" w:hAnsi="Calibri"/>
          <w:b/>
          <w:bCs/>
          <w:i w:val="false"/>
          <w:iCs w:val="false"/>
          <w:color w:val="23201A"/>
          <w:sz w:val="18"/>
          <w:szCs w:val="18"/>
        </w:rPr>
        <w:t xml:space="preserve">Closed. </w:t>
      </w:r>
      <w:r>
        <w:rPr>
          <w:rFonts w:ascii="Calibri" w:cs="Calibri" w:eastAsia="Calibri" w:hAnsi="Calibri"/>
          <w:b w:val="false"/>
          <w:bCs w:val="false"/>
          <w:i w:val="false"/>
          <w:iCs w:val="false"/>
          <w:color w:val="23201A"/>
          <w:sz w:val="18"/>
          <w:szCs w:val="18"/>
        </w:rPr>
        <w:t xml:space="preserve">Section 10 is retitled and now opens by stating the approved position and its subordination to ADR-001, reframing the AWS mapping as fallback evidence and exit-cost material rather than an alternative. The ADR’s open consequence is marked done.</w:t>
      </w:r>
    </w:p>
    <w:p>
      <w:pPr>
        <w:pStyle w:val="Heading2"/>
        <w:spacing w:after="110" w:before="240"/>
      </w:pPr>
      <w:r>
        <w:rPr>
          <w:rFonts w:ascii="Calibri" w:cs="Calibri" w:eastAsia="Calibri" w:hAnsi="Calibri"/>
          <w:b/>
          <w:bCs/>
          <w:color w:val="7C5D12"/>
          <w:sz w:val="23"/>
          <w:szCs w:val="23"/>
        </w:rPr>
        <w:t xml:space="preserve">16 · Blank P0 section</w:t>
      </w:r>
    </w:p>
    <w:p>
      <w:pPr>
        <w:spacing w:after="90" w:before="0"/>
      </w:pPr>
      <w:r>
        <w:rPr>
          <w:rFonts w:ascii="Calibri" w:cs="Calibri" w:eastAsia="Calibri" w:hAnsi="Calibri"/>
          <w:b w:val="false"/>
          <w:bCs w:val="false"/>
          <w:i w:val="false"/>
          <w:iCs w:val="false"/>
          <w:color w:val="23201A"/>
          <w:sz w:val="18"/>
          <w:szCs w:val="18"/>
        </w:rPr>
        <w:t xml:space="preserve">Confirmed. In Concord-Production-Readiness-Response.docx, heading "2. P0 release blockers — point by point" was followed immediately by heading "3." — no paragraphs, no table, nothing. Every other numbered section carried a table. The empty one was the section that actually answers the eight blockers, in a document written for reliance by IT, Cyber and TPRM.</w:t>
      </w:r>
    </w:p>
    <w:p>
      <w:pPr>
        <w:spacing w:after="90" w:before="0"/>
      </w:pPr>
      <w:r>
        <w:rPr>
          <w:rFonts w:ascii="Calibri" w:cs="Calibri" w:eastAsia="Calibri" w:hAnsi="Calibri"/>
          <w:b/>
          <w:bCs/>
          <w:i w:val="false"/>
          <w:iCs w:val="false"/>
          <w:color w:val="23201A"/>
          <w:sz w:val="18"/>
          <w:szCs w:val="18"/>
        </w:rPr>
        <w:t xml:space="preserve">Closed. </w:t>
      </w:r>
      <w:r>
        <w:rPr>
          <w:rFonts w:ascii="Calibri" w:cs="Calibri" w:eastAsia="Calibri" w:hAnsi="Calibri"/>
          <w:b w:val="false"/>
          <w:bCs w:val="false"/>
          <w:i w:val="false"/>
          <w:iCs w:val="false"/>
          <w:color w:val="23201A"/>
          <w:sz w:val="18"/>
          <w:szCs w:val="18"/>
        </w:rPr>
        <w:t xml:space="preserve">Section 2 now contains a per-blocker table: what changed in the codebase and the automated check that holds it. While reissuing, we also corrected a stale appendix that still claimed "8 suites · 38 tests"; the suite is 17 suites and 137 tests.</w:t>
      </w:r>
    </w:p>
    <w:p>
      <w:r>
        <w:br w:type="page"/>
      </w:r>
    </w:p>
    <w:p>
      <w:pPr>
        <w:pStyle w:val="Heading1"/>
        <w:spacing w:after="140" w:before="320"/>
      </w:pPr>
      <w:r>
        <w:rPr>
          <w:rFonts w:ascii="Calibri" w:cs="Calibri" w:eastAsia="Calibri" w:hAnsi="Calibri"/>
          <w:b/>
          <w:bCs/>
          <w:color w:val="23201A"/>
          <w:sz w:val="30"/>
          <w:szCs w:val="30"/>
        </w:rPr>
        <w:t xml:space="preserve">3.  A finding the note did not reach</w:t>
      </w:r>
    </w:p>
    <w:p>
      <w:pPr>
        <w:spacing w:after="90" w:before="0"/>
      </w:pPr>
      <w:r>
        <w:rPr>
          <w:rFonts w:ascii="Calibri" w:cs="Calibri" w:eastAsia="Calibri" w:hAnsi="Calibri"/>
          <w:b w:val="false"/>
          <w:bCs w:val="false"/>
          <w:i w:val="false"/>
          <w:iCs w:val="false"/>
          <w:color w:val="23201A"/>
          <w:sz w:val="18"/>
          <w:szCs w:val="18"/>
        </w:rPr>
        <w:t xml:space="preserve">Condition 5 asks us to connect uploads to the approved malware-scanning service and verify fail-closed behaviour. Auditing our side of that surfaced something more serious than a missing integration.</w:t>
      </w:r>
    </w:p>
    <w:p>
      <w:pPr>
        <w:spacing w:after="90" w:before="0"/>
      </w:pPr>
      <w:r>
        <w:rPr>
          <w:rFonts w:ascii="Calibri" w:cs="Calibri" w:eastAsia="Calibri" w:hAnsi="Calibri"/>
          <w:b/>
          <w:bCs/>
          <w:i w:val="false"/>
          <w:iCs w:val="false"/>
          <w:color w:val="23201A"/>
          <w:sz w:val="18"/>
          <w:szCs w:val="18"/>
        </w:rPr>
        <w:t xml:space="preserve">The scan method was a seam with the real HTTP call commented out. </w:t>
      </w:r>
      <w:r>
        <w:rPr>
          <w:rFonts w:ascii="Calibri" w:cs="Calibri" w:eastAsia="Calibri" w:hAnsi="Calibri"/>
          <w:b w:val="false"/>
          <w:bCs w:val="false"/>
          <w:i w:val="false"/>
          <w:iCs w:val="false"/>
          <w:color w:val="23201A"/>
          <w:sz w:val="18"/>
          <w:szCs w:val="18"/>
        </w:rPr>
        <w:t xml:space="preserve">With no endpoint configured it returned "unscanned", which is honest. With an endpoint configured it also returned "unscanned" — having contacted nothing, logged nothing and thrown nothing.</w:t>
      </w:r>
    </w:p>
    <w:p>
      <w:pPr>
        <w:spacing w:after="90" w:before="0"/>
      </w:pPr>
      <w:r>
        <w:rPr>
          <w:rFonts w:ascii="Calibri" w:cs="Calibri" w:eastAsia="Calibri" w:hAnsi="Calibri"/>
          <w:b w:val="false"/>
          <w:bCs w:val="false"/>
          <w:i w:val="false"/>
          <w:iCs w:val="false"/>
          <w:color w:val="23201A"/>
          <w:sz w:val="18"/>
          <w:szCs w:val="18"/>
        </w:rPr>
        <w:t xml:space="preserve">That is the most dangerous shape a security control can take. An operator sets MALWARE_SCAN_URL, sees a clean boot and successful uploads, and reasonably concludes scanning is on. It is not, and the absence is invisible precisely because the control reports itself as present. It is worse than having no control, because it stops anyone looking for one.</w:t>
      </w:r>
    </w:p>
    <w:p>
      <w:pPr>
        <w:spacing w:after="90" w:before="0"/>
      </w:pPr>
      <w:r>
        <w:rPr>
          <w:rFonts w:ascii="Calibri" w:cs="Calibri" w:eastAsia="Calibri" w:hAnsi="Calibri"/>
          <w:b/>
          <w:bCs/>
          <w:i w:val="false"/>
          <w:iCs w:val="false"/>
          <w:color w:val="23201A"/>
          <w:sz w:val="18"/>
          <w:szCs w:val="18"/>
        </w:rPr>
        <w:t xml:space="preserve">Closed. </w:t>
      </w:r>
      <w:r>
        <w:rPr>
          <w:rFonts w:ascii="Calibri" w:cs="Calibri" w:eastAsia="Calibri" w:hAnsi="Calibri"/>
          <w:b w:val="false"/>
          <w:bCs w:val="false"/>
          <w:i w:val="false"/>
          <w:iCs w:val="false"/>
          <w:color w:val="23201A"/>
          <w:sz w:val="18"/>
          <w:szCs w:val="18"/>
        </w:rPr>
        <w:t xml:space="preserve">The scanner is now actually called, through the timeout-bounded outbound wrapper. Four outcomes, none of which silently pretends: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Outcome</w:t>
            </w:r>
          </w:p>
        </w:tc>
        <w:tc>
          <w:tcPr>
            <w:tcW w:type="dxa" w:w="69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Behaviour</w:t>
            </w:r>
          </w:p>
        </w:tc>
      </w:tr>
      <w:tr>
        <w:tc>
          <w:tcPr>
            <w:tcW w:type="dxa" w:w="21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Scanner says clean</w:t>
            </w:r>
          </w:p>
        </w:tc>
        <w:tc>
          <w:tcPr>
            <w:tcW w:type="dxa" w:w="69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Proceeds. Engine recorded against the verdict.</w:t>
            </w:r>
          </w:p>
        </w:tc>
      </w:tr>
      <w:tr>
        <w:tc>
          <w:tcPr>
            <w:tcW w:type="dxa" w:w="21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Scanner says infected</w:t>
            </w:r>
          </w:p>
        </w:tc>
        <w:tc>
          <w:tcPr>
            <w:tcW w:type="dxa" w:w="69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Quarantined — never stored, OCR’d or indexed. Audited.</w:t>
            </w:r>
          </w:p>
        </w:tc>
      </w:tr>
      <w:tr>
        <w:tc>
          <w:tcPr>
            <w:tcW w:type="dxa" w:w="21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No scanner configured</w:t>
            </w:r>
          </w:p>
        </w:tc>
        <w:tc>
          <w:tcPr>
            <w:tcW w:type="dxa" w:w="69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"unscanned", engine "none". Honest; UPLOAD_REQUIRE_SCAN=true turns it into a rejection.</w:t>
            </w:r>
          </w:p>
        </w:tc>
      </w:tr>
      <w:tr>
        <w:tc>
          <w:tcPr>
            <w:tcW w:type="dxa" w:w="21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Scanner down, or answers in a shape we do not recognise</w:t>
            </w:r>
          </w:p>
        </w:tc>
        <w:tc>
          <w:tcPr>
            <w:tcW w:type="dxa" w:w="69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"unscanned", engine "error", logged at error level. Never guessed clean.</w:t>
            </w:r>
          </w:p>
        </w:tc>
      </w:tr>
    </w:tbl>
    <w:p>
      <w:pPr>
        <w:spacing w:after="90" w:before="120"/>
      </w:pPr>
      <w:r>
        <w:rPr>
          <w:rFonts w:ascii="Calibri" w:cs="Calibri" w:eastAsia="Calibri" w:hAnsi="Calibri"/>
          <w:b w:val="false"/>
          <w:bCs w:val="false"/>
          <w:i w:val="false"/>
          <w:iCs w:val="false"/>
          <w:color w:val="23201A"/>
          <w:sz w:val="18"/>
          <w:szCs w:val="18"/>
        </w:rPr>
        <w:t xml:space="preserve">Two boot guards were added, because scanning can be half-configured in either direction. Production now refuses to start when UPLOAD_REQUIRE_SCAN=true with no scanner (every upload would quarantine and ingestion would silently stop), and equally when a scanner is configured but its verdict is not enforced — because then a file the scanner could not verify still reaches storage, OCR and indexing.</w:t>
      </w:r>
    </w:p>
    <w:p>
      <w:pPr>
        <w:spacing w:after="90" w:before="0"/>
      </w:pPr>
      <w:r>
        <w:rPr>
          <w:rFonts w:ascii="Calibri" w:cs="Calibri" w:eastAsia="Calibri" w:hAnsi="Calibri"/>
          <w:b/>
          <w:bCs/>
          <w:i w:val="false"/>
          <w:iCs w:val="false"/>
          <w:color w:val="23201A"/>
          <w:sz w:val="18"/>
          <w:szCs w:val="18"/>
        </w:rPr>
        <w:t xml:space="preserve">Evidence. </w:t>
      </w:r>
      <w:r>
        <w:rPr>
          <w:rFonts w:ascii="Calibri" w:cs="Calibri" w:eastAsia="Calibri" w:hAnsi="Calibri"/>
          <w:b w:val="false"/>
          <w:bCs w:val="false"/>
          <w:i w:val="false"/>
          <w:iCs w:val="false"/>
          <w:color w:val="23201A"/>
          <w:sz w:val="18"/>
          <w:szCs w:val="18"/>
        </w:rPr>
        <w:t xml:space="preserve">Five tests stand a real HTTP server up and pin each outcome, including an assertion that the scanner was actually contacted — the assertion whose absence let the stub survive. Three more pin the boot guards. All eight were mutation-tested: restoring the commented-out seam fails four of them.</w:t>
      </w:r>
    </w:p>
    <w:p>
      <w:pPr>
        <w:pStyle w:val="Heading1"/>
        <w:spacing w:after="140" w:before="320"/>
      </w:pPr>
      <w:r>
        <w:rPr>
          <w:rFonts w:ascii="Calibri" w:cs="Calibri" w:eastAsia="Calibri" w:hAnsi="Calibri"/>
          <w:b/>
          <w:bCs/>
          <w:color w:val="23201A"/>
          <w:sz w:val="30"/>
          <w:szCs w:val="30"/>
        </w:rPr>
        <w:t xml:space="preserve">4.  Operational conditions — accepted, with owners</w:t>
      </w:r>
    </w:p>
    <w:p>
      <w:pPr>
        <w:spacing w:after="90" w:before="0"/>
      </w:pPr>
      <w:r>
        <w:rPr>
          <w:rFonts w:ascii="Calibri" w:cs="Calibri" w:eastAsia="Calibri" w:hAnsi="Calibri"/>
          <w:b w:val="false"/>
          <w:bCs w:val="false"/>
          <w:i w:val="false"/>
          <w:iCs w:val="false"/>
          <w:color w:val="23201A"/>
          <w:sz w:val="18"/>
          <w:szCs w:val="18"/>
        </w:rPr>
        <w:t xml:space="preserve">We agree these cannot be closed in the repository, and we are not claiming otherwise. Where the code has a part to play, that part is done and is stated below so the remaining work is scoped accurately.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4626"/>
      </w:tblGrid>
      <w:tr>
        <w:trPr>
          <w:tblHeader/>
        </w:trPr>
        <w:tc>
          <w:tcPr>
            <w:tcW w:type="dxa" w:w="5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w:t>
            </w:r>
          </w:p>
        </w:tc>
        <w:tc>
          <w:tcPr>
            <w:tcW w:type="dxa" w:w="24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Condition</w:t>
            </w:r>
          </w:p>
        </w:tc>
        <w:tc>
          <w:tcPr>
            <w:tcW w:type="dxa" w:w="1500"/>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Code side</w:t>
            </w:r>
          </w:p>
        </w:tc>
        <w:tc>
          <w:tcPr>
            <w:tcW w:type="dxa" w:w="4626"/>
            <w:tcBorders>
              <w:top w:val="single" w:color="D9D2C2" w:sz="4"/>
              <w:left w:val="single" w:color="D9D2C2" w:sz="4"/>
              <w:bottom w:val="single" w:color="D9D2C2" w:sz="4"/>
              <w:right w:val="single" w:color="D9D2C2" w:sz="4"/>
            </w:tcBorders>
            <w:shd w:fill="2C2A22" w:color="auto" w:val="clear"/>
            <w:tcMar>
              <w:top w:type="dxa" w:w="65"/>
              <w:left w:type="dxa" w:w="90"/>
              <w:bottom w:type="dxa" w:w="65"/>
              <w:right w:type="dxa" w:w="90"/>
            </w:tcMar>
          </w:tcPr>
          <w:p>
            <w:pPr>
              <w:spacing w:after="0" w:before="0"/>
            </w:pPr>
            <w:r>
              <w:rPr>
                <w:rFonts w:ascii="Calibri" w:cs="Calibri" w:eastAsia="Calibri" w:hAnsi="Calibri"/>
                <w:b/>
                <w:bCs/>
                <w:i w:val="false"/>
                <w:iCs w:val="false"/>
                <w:color w:val="FFFFFF"/>
                <w:sz w:val="18"/>
                <w:szCs w:val="18"/>
              </w:rPr>
              <w:t xml:space="preserve">Remaining work and owner</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1</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Independent VAPT</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55503F"/>
                <w:sz w:val="17"/>
                <w:szCs w:val="17"/>
              </w:rPr>
              <w:t xml:space="preserve">NOT OURS</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Entirely an assurance activity. Owner: Cyber.</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2</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Key Vault / managed identity</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Code reads secrets from the environment and refuses placeholders in production. Provisioning and rotation: Engineering with Cyber.</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3</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Production identity controls</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Entra SSO implemented; role resolution never grants more than the claim carried; demo logins refused in production. Tenant config, MFA and Conditional Access: IT.</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4</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Production migration job</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The API does not push schemas or seed at startup — verified: no db push anywhere in apps/api/src. Provisioning the Container Apps job: Engineering.</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5</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Live malware scanning</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Implemented and tested this round (§3). Standing the scanning service up and pointing MALWARE_SCAN_URL at it: Engineering with Cyber.</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6</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Central monitoring and alerting</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9A6A06"/>
                <w:sz w:val="17"/>
                <w:szCs w:val="17"/>
              </w:rPr>
              <w:t xml:space="preserve">OPEN</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Correct — there is no Application Insights or OpenTelemetry wiring at all today. Health and readiness endpoints, correlation IDs and structured logs exist to build on. Owner: Engineering.</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7</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Backup restore and DR drill</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55503F"/>
                <w:sz w:val="17"/>
                <w:szCs w:val="17"/>
              </w:rPr>
              <w:t xml:space="preserve">NOT OURS</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Owner: Engineering with IT.</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8</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Production-like staging validation</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55503F"/>
                <w:sz w:val="17"/>
                <w:szCs w:val="17"/>
              </w:rPr>
              <w:t xml:space="preserve">NOT OURS</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The gate and browser journey run there unchanged. Owner: Engineering.</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9</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Deployment approval gate</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Workflow requires the production environment. The reviewer list is a GitHub setting. Owner: Engineering.</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10</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Security-scan closure</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1D6B34"/>
                <w:sz w:val="17"/>
                <w:szCs w:val="17"/>
              </w:rPr>
              <w:t xml:space="preserve">CLOSED</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CI runs dependency, secret, filesystem and image scans and emits an SBOM. Retaining reports and dispositioning findings: Cyber.</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11</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TPRM and PRA disposition</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55503F"/>
                <w:sz w:val="17"/>
                <w:szCs w:val="17"/>
              </w:rPr>
              <w:t xml:space="preserve">NOT OURS</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Inputs and processing inventory are in docs/governance. Owner: TPRM and Privacy.</w:t>
            </w:r>
          </w:p>
        </w:tc>
      </w:tr>
      <w:tr>
        <w:tc>
          <w:tcPr>
            <w:tcW w:type="dxa" w:w="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23201A"/>
                <w:sz w:val="18"/>
                <w:szCs w:val="18"/>
              </w:rPr>
              <w:t xml:space="preserve">12</w:t>
            </w:r>
          </w:p>
        </w:tc>
        <w:tc>
          <w:tcPr>
            <w:tcW w:type="dxa" w:w="24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23201A"/>
                <w:sz w:val="17"/>
                <w:szCs w:val="17"/>
              </w:rPr>
              <w:t xml:space="preserve">AI production validation</w:t>
            </w:r>
          </w:p>
        </w:tc>
        <w:tc>
          <w:tcPr>
            <w:tcW w:type="dxa" w:w="1500"/>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bCs/>
                <w:i w:val="false"/>
                <w:iCs w:val="false"/>
                <w:color w:val="9A6A06"/>
                <w:sz w:val="17"/>
                <w:szCs w:val="17"/>
              </w:rPr>
              <w:t xml:space="preserve">PARTLY</w:t>
            </w:r>
          </w:p>
        </w:tc>
        <w:tc>
          <w:tcPr>
            <w:tcW w:type="dxa" w:w="4626"/>
            <w:tcBorders>
              <w:top w:val="single" w:color="D9D2C2" w:sz="4"/>
              <w:left w:val="single" w:color="D9D2C2" w:sz="4"/>
              <w:bottom w:val="single" w:color="D9D2C2" w:sz="4"/>
              <w:right w:val="single" w:color="D9D2C2" w:sz="4"/>
            </w:tcBorders>
            <w:tcMar>
              <w:top w:type="dxa" w:w="65"/>
              <w:left w:type="dxa" w:w="90"/>
              <w:bottom w:type="dxa" w:w="65"/>
              <w:right w:type="dxa" w:w="90"/>
            </w:tcMar>
          </w:tcPr>
          <w:p>
            <w:pPr>
              <w:spacing w:after="0" w:before="0"/>
            </w:pPr>
            <w:r>
              <w:rPr>
                <w:rFonts w:ascii="Calibri" w:cs="Calibri" w:eastAsia="Calibri" w:hAnsi="Calibri"/>
                <w:b w:val="false"/>
                <w:bCs w:val="false"/>
                <w:i w:val="false"/>
                <w:iCs w:val="false"/>
                <w:color w:val="55503F"/>
                <w:sz w:val="17"/>
                <w:szCs w:val="17"/>
              </w:rPr>
              <w:t xml:space="preserve">AI output is advisory-only by construction, provenance is recorded in the audit trail, and guardrails are tested. The representative evaluation set and threshold validation are genuine work. Owner: Legal with Engineering.</w:t>
            </w:r>
          </w:p>
        </w:tc>
      </w:tr>
    </w:tbl>
    <w:p>
      <w:pPr>
        <w:pStyle w:val="Heading1"/>
        <w:spacing w:after="140" w:before="320"/>
      </w:pPr>
      <w:r>
        <w:rPr>
          <w:rFonts w:ascii="Calibri" w:cs="Calibri" w:eastAsia="Calibri" w:hAnsi="Calibri"/>
          <w:b/>
          <w:bCs/>
          <w:color w:val="23201A"/>
          <w:sz w:val="30"/>
          <w:szCs w:val="30"/>
        </w:rPr>
        <w:t xml:space="preserve">5.  Position</w:t>
      </w:r>
    </w:p>
    <w:p>
      <w:pPr>
        <w:spacing w:after="90" w:before="0"/>
      </w:pPr>
      <w:r>
        <w:rPr>
          <w:rFonts w:ascii="Calibri" w:cs="Calibri" w:eastAsia="Calibri" w:hAnsi="Calibri"/>
          <w:b w:val="false"/>
          <w:bCs w:val="false"/>
          <w:i w:val="false"/>
          <w:iCs w:val="false"/>
          <w:color w:val="23201A"/>
          <w:sz w:val="18"/>
          <w:szCs w:val="18"/>
        </w:rPr>
        <w:t xml:space="preserve">We do not ask for the hold to be lifted. We ask that the list it rests on be the accurate one.</w:t>
      </w:r>
    </w:p>
    <w:p>
      <w:pPr>
        <w:spacing w:after="90" w:before="0"/>
      </w:pPr>
      <w:r>
        <w:rPr>
          <w:rFonts w:ascii="Calibri" w:cs="Calibri" w:eastAsia="Calibri" w:hAnsi="Calibri"/>
          <w:b w:val="false"/>
          <w:bCs w:val="false"/>
          <w:i w:val="false"/>
          <w:iCs w:val="false"/>
          <w:color w:val="23201A"/>
          <w:sz w:val="18"/>
          <w:szCs w:val="18"/>
        </w:rPr>
        <w:t xml:space="preserve">Conditions 13 to 16 are closed, and three of the four now have an automated check that fails the build if they regress — a documentation defect that can silently return is not really closed. Condition 5 is closed in code, and closing it revealed a defect more serious than the one reported. The twelve operational conditions stand as written, with owners named above.</w:t>
      </w:r>
    </w:p>
    <w:p>
      <w:pPr>
        <w:spacing w:after="90" w:before="0"/>
      </w:pPr>
      <w:r>
        <w:rPr>
          <w:rFonts w:ascii="Calibri" w:cs="Calibri" w:eastAsia="Calibri" w:hAnsi="Calibri"/>
          <w:b/>
          <w:bCs/>
          <w:i w:val="false"/>
          <w:iCs w:val="false"/>
          <w:color w:val="23201A"/>
          <w:sz w:val="18"/>
          <w:szCs w:val="18"/>
        </w:rPr>
        <w:t xml:space="preserve">The reviewer’s core point is one we would make ourselves: </w:t>
      </w:r>
      <w:r>
        <w:rPr>
          <w:rFonts w:ascii="Calibri" w:cs="Calibri" w:eastAsia="Calibri" w:hAnsi="Calibri"/>
          <w:b w:val="false"/>
          <w:bCs w:val="false"/>
          <w:i w:val="false"/>
          <w:iCs w:val="false"/>
          <w:color w:val="23201A"/>
          <w:sz w:val="18"/>
          <w:szCs w:val="18"/>
        </w:rPr>
        <w:t xml:space="preserve">a claim in a document is not evidence. Section 2 of our own readiness response being blank is the sharpest illustration of that in this bundle, and it was our error. Every closure asserted above is backed by an automated check or a runtime proof, and the register in docs/governance/production-findings-register.md records which.</w:t>
      </w:r>
    </w:p>
    <w:p>
      <w:pPr>
        <w:spacing w:after="90" w:before="140"/>
      </w:pPr>
      <w:r>
        <w:rPr>
          <w:rFonts w:ascii="Calibri" w:cs="Calibri" w:eastAsia="Calibri" w:hAnsi="Calibri"/>
          <w:b/>
          <w:bCs/>
          <w:i w:val="false"/>
          <w:iCs w:val="false"/>
          <w:color w:val="9A6A06"/>
          <w:sz w:val="18"/>
          <w:szCs w:val="18"/>
        </w:rPr>
        <w:t xml:space="preserve">Status: AMBER HOLD, unchanged.</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01A"/>
        <w:sz w:val="20"/>
        <w:szCs w:val="20"/>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Concord CLM — Response to the Production Exit Conditions</dc:title>
  <dc:creator>Lakmē Lever Private Limited · Legal</dc:creator>
  <cp:lastModifiedBy>Un-named</cp:lastModifiedBy>
  <cp:revision>1</cp:revision>
  <dcterms:created xsi:type="dcterms:W3CDTF">2026-09-05T19:34:50.576Z</dcterms:created>
  <dcterms:modified xsi:type="dcterms:W3CDTF">2026-09-05T19:34:50.577Z</dcterms:modified>
</cp:coreProperties>
</file>

<file path=docProps/custom.xml><?xml version="1.0" encoding="utf-8"?>
<Properties xmlns="http://schemas.openxmlformats.org/officeDocument/2006/custom-properties" xmlns:vt="http://schemas.openxmlformats.org/officeDocument/2006/docPropsVTypes"/>
</file>