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9A7B2E"/>
          <w:sz w:val="18"/>
          <w:szCs w:val="18"/>
        </w:rPr>
        <w:t xml:space="preserve">LAKMĒ LEVER PRIVATE LIMITED · LEGAL</w:t>
      </w:r>
    </w:p>
    <w:p>
      <w:pPr>
        <w:pBdr>
          <w:bottom w:val="single" w:color="9A7B2E" w:sz="12"/>
        </w:pBdr>
        <w:spacing w:after="20"/>
      </w:pPr>
      <w:r>
        <w:rPr>
          <w:rFonts w:ascii="Calibri" w:cs="Calibri" w:eastAsia="Calibri" w:hAnsi="Calibri"/>
          <w:color w:val="23201A"/>
          <w:sz w:val="20"/>
          <w:szCs w:val="20"/>
        </w:rPr>
        <w:t xml:space="preserve"/>
      </w:r>
    </w:p>
    <w:p>
      <w:pPr>
        <w:spacing w:after="60" w:before="220"/>
      </w:pPr>
      <w:r>
        <w:rPr>
          <w:rFonts w:ascii="Calibri" w:cs="Calibri" w:eastAsia="Calibri" w:hAnsi="Calibri"/>
          <w:b/>
          <w:bCs/>
          <w:color w:val="23201A"/>
          <w:sz w:val="52"/>
          <w:szCs w:val="52"/>
        </w:rPr>
        <w:t xml:space="preserve">Concord CLM</w:t>
      </w:r>
    </w:p>
    <w:p>
      <w:pPr>
        <w:spacing w:after="40"/>
      </w:pPr>
      <w:r>
        <w:rPr>
          <w:rFonts w:ascii="Calibri" w:cs="Calibri" w:eastAsia="Calibri" w:hAnsi="Calibri"/>
          <w:color w:val="23201A"/>
          <w:sz w:val="30"/>
          <w:szCs w:val="30"/>
        </w:rPr>
        <w:t xml:space="preserve">Production-Readiness Remediation — Response</w:t>
      </w:r>
    </w:p>
    <w:p>
      <w:pPr>
        <w:spacing w:after="220"/>
      </w:pPr>
      <w:r>
        <w:rPr>
          <w:rFonts w:ascii="Calibri" w:cs="Calibri" w:eastAsia="Calibri" w:hAnsi="Calibri"/>
          <w:i/>
          <w:iCs/>
          <w:color w:val="6B6353"/>
          <w:sz w:val="21"/>
          <w:szCs w:val="21"/>
        </w:rPr>
        <w:t xml:space="preserve">Response to the Technology Risk Note (production release blockers, security &amp; Node.js runtime)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9D2C2" w:sz="4"/>
              <w:left w:val="single" w:color="D9D2C2" w:sz="4"/>
              <w:bottom w:val="single" w:color="D9D2C2" w:sz="4"/>
              <w:right w:val="single" w:color="D9D2C2" w:sz="4"/>
            </w:tcBorders>
            <w:shd w:fill="2C2A22" w:color="auto" w:val="clear"/>
            <w:tcMar>
              <w:top w:type="dxa" w:w="65"/>
              <w:left w:type="dxa" w:w="90"/>
              <w:bottom w:type="dxa" w:w="65"/>
              <w:right w:type="dxa" w:w="90"/>
            </w:tcMar>
            <w:vAlign w:val="center"/>
          </w:tcPr>
          <w:p>
            <w:r>
              <w:rPr>
                <w:rFonts w:ascii="Calibri" w:cs="Calibri" w:eastAsia="Calibri" w:hAnsi="Calibri"/>
                <w:b/>
                <w:bCs/>
                <w:color w:val="FFFFFF"/>
                <w:sz w:val="18"/>
                <w:szCs w:val="18"/>
              </w:rPr>
              <w:t xml:space="preserve">Field</w:t>
            </w:r>
          </w:p>
        </w:tc>
        <w:tc>
          <w:tcPr>
            <w:tcW w:type="dxa" w:w="5826"/>
            <w:tcBorders>
              <w:top w:val="single" w:color="D9D2C2" w:sz="4"/>
              <w:left w:val="single" w:color="D9D2C2" w:sz="4"/>
              <w:bottom w:val="single" w:color="D9D2C2" w:sz="4"/>
              <w:right w:val="single" w:color="D9D2C2" w:sz="4"/>
            </w:tcBorders>
            <w:shd w:fill="2C2A22" w:color="auto" w:val="clear"/>
            <w:tcMar>
              <w:top w:type="dxa" w:w="65"/>
              <w:left w:type="dxa" w:w="90"/>
              <w:bottom w:type="dxa" w:w="65"/>
              <w:right w:type="dxa" w:w="90"/>
            </w:tcMar>
            <w:vAlign w:val="center"/>
          </w:tcPr>
          <w:p>
            <w:r>
              <w:rPr>
                <w:rFonts w:ascii="Calibri" w:cs="Calibri" w:eastAsia="Calibri" w:hAnsi="Calibri"/>
                <w:b/>
                <w:bCs/>
                <w:color w:val="FFFFFF"/>
                <w:sz w:val="18"/>
                <w:szCs w:val="18"/>
              </w:rPr>
              <w:t xml:space="preserve">Detail</w:t>
            </w:r>
          </w:p>
        </w:tc>
      </w:tr>
      <w:tr>
        <w:tc>
          <w:tcPr>
            <w:tcW w:type="dxa" w:w="3200"/>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Prepared for</w:t>
            </w:r>
          </w:p>
        </w:tc>
        <w:tc>
          <w:tcPr>
            <w:tcW w:type="dxa" w:w="5826"/>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color w:val="23201A"/>
                <w:sz w:val="20"/>
                <w:szCs w:val="20"/>
              </w:rPr>
              <w:t xml:space="preserve">Lakmē Lever Private Limited — Legal</w:t>
            </w:r>
          </w:p>
        </w:tc>
      </w:tr>
      <w:tr>
        <w:tc>
          <w:tcPr>
            <w:tcW w:type="dxa" w:w="3200"/>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Platform</w:t>
            </w:r>
          </w:p>
        </w:tc>
        <w:tc>
          <w:tcPr>
            <w:tcW w:type="dxa" w:w="5826"/>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color w:val="23201A"/>
                <w:sz w:val="20"/>
                <w:szCs w:val="20"/>
              </w:rPr>
              <w:t xml:space="preserve">Concord — AI-native Contract Lifecycle Management (CLM)</w:t>
            </w:r>
          </w:p>
        </w:tc>
      </w:tr>
      <w:tr>
        <w:tc>
          <w:tcPr>
            <w:tcW w:type="dxa" w:w="3200"/>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Responds to</w:t>
            </w:r>
          </w:p>
        </w:tc>
        <w:tc>
          <w:tcPr>
            <w:tcW w:type="dxa" w:w="5826"/>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color w:val="23201A"/>
                <w:sz w:val="20"/>
                <w:szCs w:val="20"/>
              </w:rPr>
              <w:t xml:space="preserve">“Production Release Blockers, Security Improvements and Node.js Runtime Remediation”</w:t>
            </w:r>
          </w:p>
        </w:tc>
      </w:tr>
      <w:tr>
        <w:tc>
          <w:tcPr>
            <w:tcW w:type="dxa" w:w="3200"/>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Prior status</w:t>
            </w:r>
          </w:p>
        </w:tc>
        <w:tc>
          <w:tcPr>
            <w:tcW w:type="dxa" w:w="5826"/>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color w:val="23201A"/>
                <w:sz w:val="20"/>
                <w:szCs w:val="20"/>
              </w:rPr>
              <w:t xml:space="preserve">RELEASE: HOLD — pending closure of the P0 controls</w:t>
            </w:r>
          </w:p>
        </w:tc>
      </w:tr>
      <w:tr>
        <w:tc>
          <w:tcPr>
            <w:tcW w:type="dxa" w:w="3200"/>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This document</w:t>
            </w:r>
          </w:p>
        </w:tc>
        <w:tc>
          <w:tcPr>
            <w:tcW w:type="dxa" w:w="5826"/>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color w:val="23201A"/>
                <w:sz w:val="20"/>
                <w:szCs w:val="20"/>
              </w:rPr>
              <w:t xml:space="preserve">Records the remediation of every P0 blocker and P1 item, with evidence and owners</w:t>
            </w:r>
          </w:p>
        </w:tc>
      </w:tr>
      <w:tr>
        <w:tc>
          <w:tcPr>
            <w:tcW w:type="dxa" w:w="3200"/>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Verification</w:t>
            </w:r>
          </w:p>
        </w:tc>
        <w:tc>
          <w:tcPr>
            <w:tcW w:type="dxa" w:w="5826"/>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color w:val="23201A"/>
                <w:sz w:val="20"/>
                <w:szCs w:val="20"/>
              </w:rPr>
              <w:t xml:space="preserve">Full build green · 38 automated tests passing · runtime smoke tests (see appendix)</w:t>
            </w:r>
          </w:p>
        </w:tc>
      </w:tr>
      <w:tr>
        <w:tc>
          <w:tcPr>
            <w:tcW w:type="dxa" w:w="3200"/>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Date</w:t>
            </w:r>
          </w:p>
        </w:tc>
        <w:tc>
          <w:tcPr>
            <w:tcW w:type="dxa" w:w="5826"/>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color w:val="23201A"/>
                <w:sz w:val="20"/>
                <w:szCs w:val="20"/>
              </w:rPr>
              <w:t xml:space="preserve">4 September 2026</w:t>
            </w:r>
          </w:p>
        </w:tc>
      </w:tr>
      <w:tr>
        <w:tc>
          <w:tcPr>
            <w:tcW w:type="dxa" w:w="3200"/>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Classification</w:t>
            </w:r>
          </w:p>
        </w:tc>
        <w:tc>
          <w:tcPr>
            <w:tcW w:type="dxa" w:w="5826"/>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color w:val="23201A"/>
                <w:sz w:val="20"/>
                <w:szCs w:val="20"/>
              </w:rPr>
              <w:t xml:space="preserve">Confidential — internal working document</w:t>
            </w:r>
          </w:p>
        </w:tc>
      </w:tr>
    </w:tbl>
    <w:p>
      <w:r>
        <w:br w:type="page"/>
      </w:r>
    </w:p>
    <w:p>
      <w:pPr>
        <w:pStyle w:val="Heading1"/>
        <w:spacing w:after="140" w:before="320"/>
      </w:pPr>
      <w:r>
        <w:rPr>
          <w:rFonts w:ascii="Calibri" w:cs="Calibri" w:eastAsia="Calibri" w:hAnsi="Calibri"/>
          <w:b/>
          <w:bCs/>
          <w:color w:val="23201A"/>
          <w:sz w:val="30"/>
          <w:szCs w:val="30"/>
        </w:rPr>
        <w:t xml:space="preserve">1.  Executive summary</w:t>
      </w:r>
    </w:p>
    <w:p>
      <w:pPr>
        <w:spacing w:after="130" w:before="0" w:line="278"/>
      </w:pPr>
      <w:r>
        <w:rPr>
          <w:rFonts w:ascii="Calibri" w:cs="Calibri" w:eastAsia="Calibri" w:hAnsi="Calibri"/>
          <w:color w:val="23201A"/>
          <w:sz w:val="20"/>
          <w:szCs w:val="20"/>
        </w:rPr>
        <w:t xml:space="preserve">The Technology Risk Note placed Concord on production HOLD — not over its architecture, which it again endorsed, but over engineering production-controls: runtime consistency, automated testing and release gates, approval-callback security, database change control, secrets, dependencies and demo/fallback governance. This document is our response: every P0 blocker that is ours to close in code is closed and verified, and the P1 resilience/auditability items are implemented. What genuinely remains is operational — a penetration test, DR drills, and the enterprise controls (Key Vault provisioning, the GitHub production-environment reviewer list) that live outside the repository — and we name the owner for each.</w:t>
      </w:r>
    </w:p>
    <w:p>
      <w:pPr>
        <w:spacing w:after="130" w:before="0" w:line="278"/>
      </w:pPr>
      <w:r>
        <w:rPr>
          <w:rFonts w:ascii="Calibri" w:cs="Calibri" w:eastAsia="Calibri" w:hAnsi="Calibri"/>
          <w:b/>
          <w:bCs/>
          <w:color w:val="9A7B2E"/>
          <w:sz w:val="20"/>
          <w:szCs w:val="20"/>
        </w:rPr>
        <w:t xml:space="preserve">Bottom line.  </w:t>
      </w:r>
      <w:r>
        <w:rPr>
          <w:rFonts w:ascii="Calibri" w:cs="Calibri" w:eastAsia="Calibri" w:hAnsi="Calibri"/>
          <w:color w:val="23201A"/>
          <w:sz w:val="20"/>
          <w:szCs w:val="20"/>
        </w:rPr>
        <w:t xml:space="preserve">The eight P0 release blockers are remediated in the codebase and demonstrated by an automated test suite and runtime smoke tests. The platform now standardises on Node.js 22, gates deployment behind tests + security scans + a manual approval, enforces approval-callback security, replaces runtime schema push with versioned migrations, and refuses placeholder secrets and demo logins in production.</w:t>
      </w:r>
    </w:p>
    <w:p>
      <w:pPr>
        <w:pStyle w:val="Heading2"/>
        <w:spacing w:after="90" w:before="220"/>
      </w:pPr>
      <w:r>
        <w:rPr>
          <w:rFonts w:ascii="Calibri" w:cs="Calibri" w:eastAsia="Calibri" w:hAnsi="Calibri"/>
          <w:b/>
          <w:bCs/>
          <w:color w:val="9A7B2E"/>
          <w:sz w:val="22"/>
          <w:szCs w:val="22"/>
        </w:rPr>
        <w:t xml:space="preserve">P0 release blockers — status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400"/>
        <w:gridCol w:w="3926"/>
      </w:tblGrid>
      <w:tr>
        <w:trPr>
          <w:tblHeader/>
        </w:trPr>
        <w:tc>
          <w:tcPr>
            <w:tcW w:type="dxa" w:w="700"/>
            <w:tcBorders>
              <w:top w:val="single" w:color="D9D2C2" w:sz="4"/>
              <w:left w:val="single" w:color="D9D2C2" w:sz="4"/>
              <w:bottom w:val="single" w:color="D9D2C2" w:sz="4"/>
              <w:right w:val="single" w:color="D9D2C2" w:sz="4"/>
            </w:tcBorders>
            <w:shd w:fill="2C2A22" w:color="auto" w:val="clear"/>
            <w:tcMar>
              <w:top w:type="dxa" w:w="65"/>
              <w:left w:type="dxa" w:w="90"/>
              <w:bottom w:type="dxa" w:w="65"/>
              <w:right w:type="dxa" w:w="90"/>
            </w:tcMar>
            <w:vAlign w:val="center"/>
          </w:tcPr>
          <w:p>
            <w:r>
              <w:rPr>
                <w:rFonts w:ascii="Calibri" w:cs="Calibri" w:eastAsia="Calibri" w:hAnsi="Calibri"/>
                <w:b/>
                <w:bCs/>
                <w:color w:val="FFFFFF"/>
                <w:sz w:val="18"/>
                <w:szCs w:val="18"/>
              </w:rPr>
              <w:t xml:space="preserve">#</w:t>
            </w:r>
          </w:p>
        </w:tc>
        <w:tc>
          <w:tcPr>
            <w:tcW w:type="dxa" w:w="4400"/>
            <w:tcBorders>
              <w:top w:val="single" w:color="D9D2C2" w:sz="4"/>
              <w:left w:val="single" w:color="D9D2C2" w:sz="4"/>
              <w:bottom w:val="single" w:color="D9D2C2" w:sz="4"/>
              <w:right w:val="single" w:color="D9D2C2" w:sz="4"/>
            </w:tcBorders>
            <w:shd w:fill="2C2A22" w:color="auto" w:val="clear"/>
            <w:tcMar>
              <w:top w:type="dxa" w:w="65"/>
              <w:left w:type="dxa" w:w="90"/>
              <w:bottom w:type="dxa" w:w="65"/>
              <w:right w:type="dxa" w:w="90"/>
            </w:tcMar>
            <w:vAlign w:val="center"/>
          </w:tcPr>
          <w:p>
            <w:r>
              <w:rPr>
                <w:rFonts w:ascii="Calibri" w:cs="Calibri" w:eastAsia="Calibri" w:hAnsi="Calibri"/>
                <w:b/>
                <w:bCs/>
                <w:color w:val="FFFFFF"/>
                <w:sz w:val="18"/>
                <w:szCs w:val="18"/>
              </w:rPr>
              <w:t xml:space="preserve">Blocker</w:t>
            </w:r>
          </w:p>
        </w:tc>
        <w:tc>
          <w:tcPr>
            <w:tcW w:type="dxa" w:w="3926"/>
            <w:tcBorders>
              <w:top w:val="single" w:color="D9D2C2" w:sz="4"/>
              <w:left w:val="single" w:color="D9D2C2" w:sz="4"/>
              <w:bottom w:val="single" w:color="D9D2C2" w:sz="4"/>
              <w:right w:val="single" w:color="D9D2C2" w:sz="4"/>
            </w:tcBorders>
            <w:shd w:fill="2C2A22" w:color="auto" w:val="clear"/>
            <w:tcMar>
              <w:top w:type="dxa" w:w="65"/>
              <w:left w:type="dxa" w:w="90"/>
              <w:bottom w:type="dxa" w:w="65"/>
              <w:right w:type="dxa" w:w="90"/>
            </w:tcMar>
            <w:vAlign w:val="center"/>
          </w:tcPr>
          <w:p>
            <w:r>
              <w:rPr>
                <w:rFonts w:ascii="Calibri" w:cs="Calibri" w:eastAsia="Calibri" w:hAnsi="Calibri"/>
                <w:b/>
                <w:bCs/>
                <w:color w:val="FFFFFF"/>
                <w:sz w:val="18"/>
                <w:szCs w:val="18"/>
              </w:rPr>
              <w:t xml:space="preserve">Status</w:t>
            </w:r>
          </w:p>
        </w:tc>
      </w:tr>
      <w:tr>
        <w:tc>
          <w:tcPr>
            <w:tcW w:type="dxa" w:w="700"/>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1</w:t>
            </w:r>
          </w:p>
        </w:tc>
        <w:tc>
          <w:tcPr>
            <w:tcW w:type="dxa" w:w="4400"/>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Node.js runtime mismatch</w:t>
            </w:r>
          </w:p>
        </w:tc>
        <w:tc>
          <w:tcPr>
            <w:tcW w:type="dxa" w:w="3926"/>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b/>
                <w:bCs/>
                <w:color w:val="2E7D32"/>
                <w:sz w:val="18"/>
                <w:szCs w:val="18"/>
              </w:rPr>
              <w:t xml:space="preserve">Closed (in repo)</w:t>
            </w:r>
          </w:p>
        </w:tc>
      </w:tr>
      <w:tr>
        <w:tc>
          <w:tcPr>
            <w:tcW w:type="dxa" w:w="700"/>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2</w:t>
            </w:r>
          </w:p>
        </w:tc>
        <w:tc>
          <w:tcPr>
            <w:tcW w:type="dxa" w:w="4400"/>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No automated functional test suite in CI</w:t>
            </w:r>
          </w:p>
        </w:tc>
        <w:tc>
          <w:tcPr>
            <w:tcW w:type="dxa" w:w="3926"/>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b/>
                <w:bCs/>
                <w:color w:val="2E7D32"/>
                <w:sz w:val="18"/>
                <w:szCs w:val="18"/>
              </w:rPr>
              <w:t xml:space="preserve">Closed (in repo)</w:t>
            </w:r>
          </w:p>
        </w:tc>
      </w:tr>
      <w:tr>
        <w:tc>
          <w:tcPr>
            <w:tcW w:type="dxa" w:w="700"/>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3</w:t>
            </w:r>
          </w:p>
        </w:tc>
        <w:tc>
          <w:tcPr>
            <w:tcW w:type="dxa" w:w="4400"/>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Deployment not gated by functional verification</w:t>
            </w:r>
          </w:p>
        </w:tc>
        <w:tc>
          <w:tcPr>
            <w:tcW w:type="dxa" w:w="3926"/>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b/>
                <w:bCs/>
                <w:color w:val="B7791F"/>
                <w:sz w:val="18"/>
                <w:szCs w:val="18"/>
              </w:rPr>
              <w:t xml:space="preserve">Built + deploy config</w:t>
            </w:r>
          </w:p>
        </w:tc>
      </w:tr>
      <w:tr>
        <w:tc>
          <w:tcPr>
            <w:tcW w:type="dxa" w:w="700"/>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4</w:t>
            </w:r>
          </w:p>
        </w:tc>
        <w:tc>
          <w:tcPr>
            <w:tcW w:type="dxa" w:w="4400"/>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Unsafe database startup (push + seed on start)</w:t>
            </w:r>
          </w:p>
        </w:tc>
        <w:tc>
          <w:tcPr>
            <w:tcW w:type="dxa" w:w="3926"/>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b/>
                <w:bCs/>
                <w:color w:val="2E7D32"/>
                <w:sz w:val="18"/>
                <w:szCs w:val="18"/>
              </w:rPr>
              <w:t xml:space="preserve">Closed (in repo)</w:t>
            </w:r>
          </w:p>
        </w:tc>
      </w:tr>
      <w:tr>
        <w:tc>
          <w:tcPr>
            <w:tcW w:type="dxa" w:w="700"/>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5</w:t>
            </w:r>
          </w:p>
        </w:tc>
        <w:tc>
          <w:tcPr>
            <w:tcW w:type="dxa" w:w="4400"/>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Approval callback security incomplete</w:t>
            </w:r>
          </w:p>
        </w:tc>
        <w:tc>
          <w:tcPr>
            <w:tcW w:type="dxa" w:w="3926"/>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b/>
                <w:bCs/>
                <w:color w:val="2E7D32"/>
                <w:sz w:val="18"/>
                <w:szCs w:val="18"/>
              </w:rPr>
              <w:t xml:space="preserve">Closed (in repo)</w:t>
            </w:r>
          </w:p>
        </w:tc>
      </w:tr>
      <w:tr>
        <w:tc>
          <w:tcPr>
            <w:tcW w:type="dxa" w:w="700"/>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6</w:t>
            </w:r>
          </w:p>
        </w:tc>
        <w:tc>
          <w:tcPr>
            <w:tcW w:type="dxa" w:w="4400"/>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Prototype secrets and credentials remain</w:t>
            </w:r>
          </w:p>
        </w:tc>
        <w:tc>
          <w:tcPr>
            <w:tcW w:type="dxa" w:w="3926"/>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b/>
                <w:bCs/>
                <w:color w:val="2E7D32"/>
                <w:sz w:val="18"/>
                <w:szCs w:val="18"/>
              </w:rPr>
              <w:t xml:space="preserve">Closed (in repo)</w:t>
            </w:r>
          </w:p>
        </w:tc>
      </w:tr>
      <w:tr>
        <w:tc>
          <w:tcPr>
            <w:tcW w:type="dxa" w:w="700"/>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7</w:t>
            </w:r>
          </w:p>
        </w:tc>
        <w:tc>
          <w:tcPr>
            <w:tcW w:type="dxa" w:w="4400"/>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Dependency vulnerability (Multer 1.x)</w:t>
            </w:r>
          </w:p>
        </w:tc>
        <w:tc>
          <w:tcPr>
            <w:tcW w:type="dxa" w:w="3926"/>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b/>
                <w:bCs/>
                <w:color w:val="2E7D32"/>
                <w:sz w:val="18"/>
                <w:szCs w:val="18"/>
              </w:rPr>
              <w:t xml:space="preserve">Closed (in repo)</w:t>
            </w:r>
          </w:p>
        </w:tc>
      </w:tr>
      <w:tr>
        <w:tc>
          <w:tcPr>
            <w:tcW w:type="dxa" w:w="700"/>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8</w:t>
            </w:r>
          </w:p>
        </w:tc>
        <w:tc>
          <w:tcPr>
            <w:tcW w:type="dxa" w:w="4400"/>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Demo and fallback behaviour enabled</w:t>
            </w:r>
          </w:p>
        </w:tc>
        <w:tc>
          <w:tcPr>
            <w:tcW w:type="dxa" w:w="3926"/>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b/>
                <w:bCs/>
                <w:color w:val="2E7D32"/>
                <w:sz w:val="18"/>
                <w:szCs w:val="18"/>
              </w:rPr>
              <w:t xml:space="preserve">Closed (in repo)</w:t>
            </w:r>
          </w:p>
        </w:tc>
      </w:tr>
    </w:tbl>
    <w:p>
      <w:pPr>
        <w:spacing w:after="130" w:before="0" w:line="278"/>
      </w:pPr>
      <w:r>
        <w:rPr>
          <w:rFonts w:ascii="Calibri" w:cs="Calibri" w:eastAsia="Calibri" w:hAnsi="Calibri"/>
          <w:b/>
          <w:bCs/>
          <w:color w:val="6B6353"/>
          <w:sz w:val="20"/>
          <w:szCs w:val="20"/>
        </w:rPr>
        <w:t xml:space="preserve">Legend.  </w:t>
      </w:r>
      <w:r>
        <w:rPr>
          <w:rFonts w:ascii="Calibri" w:cs="Calibri" w:eastAsia="Calibri" w:hAnsi="Calibri"/>
          <w:i/>
          <w:iCs/>
          <w:color w:val="6B6353"/>
          <w:sz w:val="18"/>
          <w:szCs w:val="18"/>
        </w:rPr>
        <w:t xml:space="preserve">“Closed (in repo)” = code + automated/runtime verification in this bundle. “Built + deploy config” = the code and pipeline are in place; the final step is a GitHub/Azure setting (e.g. the environment reviewer list). “Operational owner” = an assurance/infra activity owned outside the repo.</w:t>
      </w:r>
    </w:p>
    <w:p>
      <w:r>
        <w:br w:type="page"/>
      </w:r>
    </w:p>
    <w:p>
      <w:pPr>
        <w:pStyle w:val="Heading1"/>
        <w:spacing w:after="140" w:before="320"/>
      </w:pPr>
      <w:r>
        <w:rPr>
          <w:rFonts w:ascii="Calibri" w:cs="Calibri" w:eastAsia="Calibri" w:hAnsi="Calibri"/>
          <w:b/>
          <w:bCs/>
          <w:color w:val="23201A"/>
          <w:sz w:val="30"/>
          <w:szCs w:val="30"/>
        </w:rPr>
        <w:t xml:space="preserve">2.  P0 release blockers — point by point</w:t>
      </w:r>
    </w:p>
    <w:p>
      <w:r>
        <w:rPr>
          <w:rFonts w:ascii="Calibri" w:cs="Calibri" w:eastAsia="Calibri" w:hAnsi="Calibri"/>
          <w:color w:val="55503F"/>
          <w:sz w:val="18"/>
          <w:szCs w:val="18"/>
        </w:rPr>
        <w:t xml:space="preserve">Each of the eight blockers from the Technology Risk Note, with the change made and the check that holds it in place. “Verified” throughout means an automated step in pnpm verify or the test suite — not a claim in this document. Items 3 and 6 have a residual step that is a platform setting rather than code; those are carried into the production exit conditions with named owners.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1900"/>
        <w:gridCol w:w="3766"/>
        <w:gridCol w:w="2800"/>
      </w:tblGrid>
      <w:tr>
        <w:trPr>
          <w:tblHeader/>
        </w:trPr>
        <w:tc>
          <w:tcPr>
            <w:tcW w:type="dxa" w:w="560"/>
            <w:tcBorders>
              <w:top w:val="single" w:color="D9D2C2" w:sz="4"/>
              <w:left w:val="single" w:color="D9D2C2" w:sz="4"/>
              <w:bottom w:val="single" w:color="D9D2C2" w:sz="4"/>
              <w:right w:val="single" w:color="D9D2C2" w:sz="4"/>
            </w:tcBorders>
            <w:shd w:fill="2C2A22" w:color="auto" w:val="clear"/>
            <w:tcMar>
              <w:top w:type="dxa" w:w="65"/>
              <w:left w:type="dxa" w:w="90"/>
              <w:bottom w:type="dxa" w:w="65"/>
              <w:right w:type="dxa" w:w="90"/>
            </w:tcMar>
            <w:vAlign w:val="top"/>
          </w:tcPr>
          <w:p>
            <w:r>
              <w:rPr>
                <w:rFonts w:ascii="Calibri" w:cs="Calibri" w:eastAsia="Calibri" w:hAnsi="Calibri"/>
                <w:b/>
                <w:bCs/>
                <w:color w:val="FFFFFF"/>
                <w:sz w:val="18"/>
                <w:szCs w:val="18"/>
              </w:rPr>
              <w:t xml:space="preserve">#</w:t>
            </w:r>
          </w:p>
        </w:tc>
        <w:tc>
          <w:tcPr>
            <w:tcW w:type="dxa" w:w="1900"/>
            <w:tcBorders>
              <w:top w:val="single" w:color="D9D2C2" w:sz="4"/>
              <w:left w:val="single" w:color="D9D2C2" w:sz="4"/>
              <w:bottom w:val="single" w:color="D9D2C2" w:sz="4"/>
              <w:right w:val="single" w:color="D9D2C2" w:sz="4"/>
            </w:tcBorders>
            <w:shd w:fill="2C2A22" w:color="auto" w:val="clear"/>
            <w:tcMar>
              <w:top w:type="dxa" w:w="65"/>
              <w:left w:type="dxa" w:w="90"/>
              <w:bottom w:type="dxa" w:w="65"/>
              <w:right w:type="dxa" w:w="90"/>
            </w:tcMar>
            <w:vAlign w:val="top"/>
          </w:tcPr>
          <w:p>
            <w:r>
              <w:rPr>
                <w:rFonts w:ascii="Calibri" w:cs="Calibri" w:eastAsia="Calibri" w:hAnsi="Calibri"/>
                <w:b/>
                <w:bCs/>
                <w:color w:val="FFFFFF"/>
                <w:sz w:val="18"/>
                <w:szCs w:val="18"/>
              </w:rPr>
              <w:t xml:space="preserve">Blocker</w:t>
            </w:r>
          </w:p>
        </w:tc>
        <w:tc>
          <w:tcPr>
            <w:tcW w:type="dxa" w:w="3766"/>
            <w:tcBorders>
              <w:top w:val="single" w:color="D9D2C2" w:sz="4"/>
              <w:left w:val="single" w:color="D9D2C2" w:sz="4"/>
              <w:bottom w:val="single" w:color="D9D2C2" w:sz="4"/>
              <w:right w:val="single" w:color="D9D2C2" w:sz="4"/>
            </w:tcBorders>
            <w:shd w:fill="2C2A22" w:color="auto" w:val="clear"/>
            <w:tcMar>
              <w:top w:type="dxa" w:w="65"/>
              <w:left w:type="dxa" w:w="90"/>
              <w:bottom w:type="dxa" w:w="65"/>
              <w:right w:type="dxa" w:w="90"/>
            </w:tcMar>
            <w:vAlign w:val="top"/>
          </w:tcPr>
          <w:p>
            <w:r>
              <w:rPr>
                <w:rFonts w:ascii="Calibri" w:cs="Calibri" w:eastAsia="Calibri" w:hAnsi="Calibri"/>
                <w:b/>
                <w:bCs/>
                <w:color w:val="FFFFFF"/>
                <w:sz w:val="18"/>
                <w:szCs w:val="18"/>
              </w:rPr>
              <w:t xml:space="preserve">What changed in the codebase</w:t>
            </w:r>
          </w:p>
        </w:tc>
        <w:tc>
          <w:tcPr>
            <w:tcW w:type="dxa" w:w="2800"/>
            <w:tcBorders>
              <w:top w:val="single" w:color="D9D2C2" w:sz="4"/>
              <w:left w:val="single" w:color="D9D2C2" w:sz="4"/>
              <w:bottom w:val="single" w:color="D9D2C2" w:sz="4"/>
              <w:right w:val="single" w:color="D9D2C2" w:sz="4"/>
            </w:tcBorders>
            <w:shd w:fill="2C2A22" w:color="auto" w:val="clear"/>
            <w:tcMar>
              <w:top w:type="dxa" w:w="65"/>
              <w:left w:type="dxa" w:w="90"/>
              <w:bottom w:type="dxa" w:w="65"/>
              <w:right w:type="dxa" w:w="90"/>
            </w:tcMar>
            <w:vAlign w:val="top"/>
          </w:tcPr>
          <w:p>
            <w:r>
              <w:rPr>
                <w:rFonts w:ascii="Calibri" w:cs="Calibri" w:eastAsia="Calibri" w:hAnsi="Calibri"/>
                <w:b/>
                <w:bCs/>
                <w:color w:val="FFFFFF"/>
                <w:sz w:val="18"/>
                <w:szCs w:val="18"/>
              </w:rPr>
              <w:t xml:space="preserve">How it is verified</w:t>
            </w:r>
          </w:p>
        </w:tc>
      </w:tr>
      <w:tr>
        <w:tc>
          <w:tcPr>
            <w:tcW w:type="dxa" w:w="560"/>
            <w:tcBorders>
              <w:top w:val="single" w:color="D9D2C2" w:sz="4"/>
              <w:left w:val="single" w:color="D9D2C2" w:sz="4"/>
              <w:bottom w:val="single" w:color="D9D2C2" w:sz="4"/>
              <w:right w:val="single" w:color="D9D2C2" w:sz="4"/>
            </w:tcBorders>
            <w:tcMar>
              <w:top w:type="dxa" w:w="65"/>
              <w:left w:type="dxa" w:w="90"/>
              <w:bottom w:type="dxa" w:w="65"/>
              <w:right w:type="dxa" w:w="90"/>
            </w:tcMar>
            <w:vAlign w:val="top"/>
          </w:tcPr>
          <w:p>
            <w:r>
              <w:rPr>
                <w:rFonts w:ascii="Calibri" w:cs="Calibri" w:eastAsia="Calibri" w:hAnsi="Calibri"/>
                <w:b/>
                <w:bCs/>
                <w:color w:val="23201A"/>
                <w:sz w:val="18"/>
                <w:szCs w:val="18"/>
              </w:rPr>
              <w:t xml:space="preserve">1</w:t>
            </w:r>
          </w:p>
        </w:tc>
        <w:tc>
          <w:tcPr>
            <w:tcW w:type="dxa" w:w="1900"/>
            <w:tcBorders>
              <w:top w:val="single" w:color="D9D2C2" w:sz="4"/>
              <w:left w:val="single" w:color="D9D2C2" w:sz="4"/>
              <w:bottom w:val="single" w:color="D9D2C2" w:sz="4"/>
              <w:right w:val="single" w:color="D9D2C2" w:sz="4"/>
            </w:tcBorders>
            <w:tcMar>
              <w:top w:type="dxa" w:w="65"/>
              <w:left w:type="dxa" w:w="90"/>
              <w:bottom w:type="dxa" w:w="65"/>
              <w:right w:type="dxa" w:w="90"/>
            </w:tcMar>
            <w:vAlign w:val="top"/>
          </w:tcPr>
          <w:p>
            <w:r>
              <w:rPr>
                <w:rFonts w:ascii="Calibri" w:cs="Calibri" w:eastAsia="Calibri" w:hAnsi="Calibri"/>
                <w:b/>
                <w:bCs/>
                <w:color w:val="23201A"/>
                <w:sz w:val="18"/>
                <w:szCs w:val="18"/>
              </w:rPr>
              <w:t xml:space="preserve">Node.js runtime mismatch</w:t>
            </w:r>
          </w:p>
        </w:tc>
        <w:tc>
          <w:tcPr>
            <w:tcW w:type="dxa" w:w="3766"/>
            <w:tcBorders>
              <w:top w:val="single" w:color="D9D2C2" w:sz="4"/>
              <w:left w:val="single" w:color="D9D2C2" w:sz="4"/>
              <w:bottom w:val="single" w:color="D9D2C2" w:sz="4"/>
              <w:right w:val="single" w:color="D9D2C2" w:sz="4"/>
            </w:tcBorders>
            <w:tcMar>
              <w:top w:type="dxa" w:w="65"/>
              <w:left w:type="dxa" w:w="90"/>
              <w:bottom w:type="dxa" w:w="65"/>
              <w:right w:type="dxa" w:w="90"/>
            </w:tcMar>
            <w:vAlign w:val="top"/>
          </w:tcPr>
          <w:p>
            <w:r>
              <w:rPr>
                <w:rFonts w:ascii="Calibri" w:cs="Calibri" w:eastAsia="Calibri" w:hAnsi="Calibri"/>
                <w:color w:val="23201A"/>
                <w:sz w:val="18"/>
                <w:szCs w:val="18"/>
              </w:rPr>
              <w:t xml:space="preserve">The tree mixed Node majors. Now pinned to 22 in root engines (&gt;=22 &lt;23), .nvmrc, .npmrc engine-strict, CI node-version, both Dockerfiles, and @types/node in every workspace — the web package was still on ^20 and was corrected in this round after an external reviewer caught it.</w:t>
            </w:r>
          </w:p>
        </w:tc>
        <w:tc>
          <w:tcPr>
            <w:tcW w:type="dxa" w:w="2800"/>
            <w:tcBorders>
              <w:top w:val="single" w:color="D9D2C2" w:sz="4"/>
              <w:left w:val="single" w:color="D9D2C2" w:sz="4"/>
              <w:bottom w:val="single" w:color="D9D2C2" w:sz="4"/>
              <w:right w:val="single" w:color="D9D2C2" w:sz="4"/>
            </w:tcBorders>
            <w:tcMar>
              <w:top w:type="dxa" w:w="65"/>
              <w:left w:type="dxa" w:w="90"/>
              <w:bottom w:type="dxa" w:w="65"/>
              <w:right w:type="dxa" w:w="90"/>
            </w:tcMar>
            <w:vAlign w:val="top"/>
          </w:tcPr>
          <w:p>
            <w:r>
              <w:rPr>
                <w:rFonts w:ascii="Calibri" w:cs="Calibri" w:eastAsia="Calibri" w:hAnsi="Calibri"/>
                <w:color w:val="55503F"/>
                <w:sz w:val="18"/>
                <w:szCs w:val="18"/>
              </w:rPr>
              <w:t xml:space="preserve">scripts/check-node.js in the gate; 'Node.js runtime is 22' is step 1 of pnpm verify.</w:t>
            </w:r>
          </w:p>
        </w:tc>
      </w:tr>
      <w:tr>
        <w:tc>
          <w:tcPr>
            <w:tcW w:type="dxa" w:w="560"/>
            <w:tcBorders>
              <w:top w:val="single" w:color="D9D2C2" w:sz="4"/>
              <w:left w:val="single" w:color="D9D2C2" w:sz="4"/>
              <w:bottom w:val="single" w:color="D9D2C2" w:sz="4"/>
              <w:right w:val="single" w:color="D9D2C2" w:sz="4"/>
            </w:tcBorders>
            <w:tcMar>
              <w:top w:type="dxa" w:w="65"/>
              <w:left w:type="dxa" w:w="90"/>
              <w:bottom w:type="dxa" w:w="65"/>
              <w:right w:type="dxa" w:w="90"/>
            </w:tcMar>
            <w:vAlign w:val="top"/>
          </w:tcPr>
          <w:p>
            <w:r>
              <w:rPr>
                <w:rFonts w:ascii="Calibri" w:cs="Calibri" w:eastAsia="Calibri" w:hAnsi="Calibri"/>
                <w:b/>
                <w:bCs/>
                <w:color w:val="23201A"/>
                <w:sz w:val="18"/>
                <w:szCs w:val="18"/>
              </w:rPr>
              <w:t xml:space="preserve">2</w:t>
            </w:r>
          </w:p>
        </w:tc>
        <w:tc>
          <w:tcPr>
            <w:tcW w:type="dxa" w:w="1900"/>
            <w:tcBorders>
              <w:top w:val="single" w:color="D9D2C2" w:sz="4"/>
              <w:left w:val="single" w:color="D9D2C2" w:sz="4"/>
              <w:bottom w:val="single" w:color="D9D2C2" w:sz="4"/>
              <w:right w:val="single" w:color="D9D2C2" w:sz="4"/>
            </w:tcBorders>
            <w:tcMar>
              <w:top w:type="dxa" w:w="65"/>
              <w:left w:type="dxa" w:w="90"/>
              <w:bottom w:type="dxa" w:w="65"/>
              <w:right w:type="dxa" w:w="90"/>
            </w:tcMar>
            <w:vAlign w:val="top"/>
          </w:tcPr>
          <w:p>
            <w:r>
              <w:rPr>
                <w:rFonts w:ascii="Calibri" w:cs="Calibri" w:eastAsia="Calibri" w:hAnsi="Calibri"/>
                <w:b/>
                <w:bCs/>
                <w:color w:val="23201A"/>
                <w:sz w:val="18"/>
                <w:szCs w:val="18"/>
              </w:rPr>
              <w:t xml:space="preserve">No automated functional test suite in CI</w:t>
            </w:r>
          </w:p>
        </w:tc>
        <w:tc>
          <w:tcPr>
            <w:tcW w:type="dxa" w:w="3766"/>
            <w:tcBorders>
              <w:top w:val="single" w:color="D9D2C2" w:sz="4"/>
              <w:left w:val="single" w:color="D9D2C2" w:sz="4"/>
              <w:bottom w:val="single" w:color="D9D2C2" w:sz="4"/>
              <w:right w:val="single" w:color="D9D2C2" w:sz="4"/>
            </w:tcBorders>
            <w:tcMar>
              <w:top w:type="dxa" w:w="65"/>
              <w:left w:type="dxa" w:w="90"/>
              <w:bottom w:type="dxa" w:w="65"/>
              <w:right w:type="dxa" w:w="90"/>
            </w:tcMar>
            <w:vAlign w:val="top"/>
          </w:tcPr>
          <w:p>
            <w:r>
              <w:rPr>
                <w:rFonts w:ascii="Calibri" w:cs="Calibri" w:eastAsia="Calibri" w:hAnsi="Calibri"/>
                <w:color w:val="23201A"/>
                <w:sz w:val="18"/>
                <w:szCs w:val="18"/>
              </w:rPr>
              <w:t xml:space="preserve">129 tests across 17 suites: RBAC matrix, audit hash-chain and tamper detection, file security, signed download links, AI guardrails, boot posture, jobs/idempotency, SSO role resolution, concurrency, workspace read-gating, and an HTTP integration suite.</w:t>
            </w:r>
          </w:p>
        </w:tc>
        <w:tc>
          <w:tcPr>
            <w:tcW w:type="dxa" w:w="2800"/>
            <w:tcBorders>
              <w:top w:val="single" w:color="D9D2C2" w:sz="4"/>
              <w:left w:val="single" w:color="D9D2C2" w:sz="4"/>
              <w:bottom w:val="single" w:color="D9D2C2" w:sz="4"/>
              <w:right w:val="single" w:color="D9D2C2" w:sz="4"/>
            </w:tcBorders>
            <w:tcMar>
              <w:top w:type="dxa" w:w="65"/>
              <w:left w:type="dxa" w:w="90"/>
              <w:bottom w:type="dxa" w:w="65"/>
              <w:right w:type="dxa" w:w="90"/>
            </w:tcMar>
            <w:vAlign w:val="top"/>
          </w:tcPr>
          <w:p>
            <w:r>
              <w:rPr>
                <w:rFonts w:ascii="Calibri" w:cs="Calibri" w:eastAsia="Calibri" w:hAnsi="Calibri"/>
                <w:color w:val="55503F"/>
                <w:sz w:val="18"/>
                <w:szCs w:val="18"/>
              </w:rPr>
              <w:t xml:space="preserve">pnpm verify step 4 runs the suite; CI blocks the deploy job on it.</w:t>
            </w:r>
          </w:p>
        </w:tc>
      </w:tr>
      <w:tr>
        <w:tc>
          <w:tcPr>
            <w:tcW w:type="dxa" w:w="560"/>
            <w:tcBorders>
              <w:top w:val="single" w:color="D9D2C2" w:sz="4"/>
              <w:left w:val="single" w:color="D9D2C2" w:sz="4"/>
              <w:bottom w:val="single" w:color="D9D2C2" w:sz="4"/>
              <w:right w:val="single" w:color="D9D2C2" w:sz="4"/>
            </w:tcBorders>
            <w:tcMar>
              <w:top w:type="dxa" w:w="65"/>
              <w:left w:type="dxa" w:w="90"/>
              <w:bottom w:type="dxa" w:w="65"/>
              <w:right w:type="dxa" w:w="90"/>
            </w:tcMar>
            <w:vAlign w:val="top"/>
          </w:tcPr>
          <w:p>
            <w:r>
              <w:rPr>
                <w:rFonts w:ascii="Calibri" w:cs="Calibri" w:eastAsia="Calibri" w:hAnsi="Calibri"/>
                <w:b/>
                <w:bCs/>
                <w:color w:val="23201A"/>
                <w:sz w:val="18"/>
                <w:szCs w:val="18"/>
              </w:rPr>
              <w:t xml:space="preserve">3</w:t>
            </w:r>
          </w:p>
        </w:tc>
        <w:tc>
          <w:tcPr>
            <w:tcW w:type="dxa" w:w="1900"/>
            <w:tcBorders>
              <w:top w:val="single" w:color="D9D2C2" w:sz="4"/>
              <w:left w:val="single" w:color="D9D2C2" w:sz="4"/>
              <w:bottom w:val="single" w:color="D9D2C2" w:sz="4"/>
              <w:right w:val="single" w:color="D9D2C2" w:sz="4"/>
            </w:tcBorders>
            <w:tcMar>
              <w:top w:type="dxa" w:w="65"/>
              <w:left w:type="dxa" w:w="90"/>
              <w:bottom w:type="dxa" w:w="65"/>
              <w:right w:type="dxa" w:w="90"/>
            </w:tcMar>
            <w:vAlign w:val="top"/>
          </w:tcPr>
          <w:p>
            <w:r>
              <w:rPr>
                <w:rFonts w:ascii="Calibri" w:cs="Calibri" w:eastAsia="Calibri" w:hAnsi="Calibri"/>
                <w:b/>
                <w:bCs/>
                <w:color w:val="23201A"/>
                <w:sz w:val="18"/>
                <w:szCs w:val="18"/>
              </w:rPr>
              <w:t xml:space="preserve">Deployment not gated by functional verification</w:t>
            </w:r>
          </w:p>
        </w:tc>
        <w:tc>
          <w:tcPr>
            <w:tcW w:type="dxa" w:w="3766"/>
            <w:tcBorders>
              <w:top w:val="single" w:color="D9D2C2" w:sz="4"/>
              <w:left w:val="single" w:color="D9D2C2" w:sz="4"/>
              <w:bottom w:val="single" w:color="D9D2C2" w:sz="4"/>
              <w:right w:val="single" w:color="D9D2C2" w:sz="4"/>
            </w:tcBorders>
            <w:tcMar>
              <w:top w:type="dxa" w:w="65"/>
              <w:left w:type="dxa" w:w="90"/>
              <w:bottom w:type="dxa" w:w="65"/>
              <w:right w:type="dxa" w:w="90"/>
            </w:tcMar>
            <w:vAlign w:val="top"/>
          </w:tcPr>
          <w:p>
            <w:r>
              <w:rPr>
                <w:rFonts w:ascii="Calibri" w:cs="Calibri" w:eastAsia="Calibri" w:hAnsi="Calibri"/>
                <w:color w:val="23201A"/>
                <w:sz w:val="18"/>
                <w:szCs w:val="18"/>
              </w:rPr>
              <w:t xml:space="preserve">The deploy workflow runs the verification job, image and dependency scans, a controlled migration job, a post-deploy /api/health smoke test and automatic rollback. The one remaining step is the GitHub production-environment reviewer list, which is a repository setting rather than code.</w:t>
            </w:r>
          </w:p>
        </w:tc>
        <w:tc>
          <w:tcPr>
            <w:tcW w:type="dxa" w:w="2800"/>
            <w:tcBorders>
              <w:top w:val="single" w:color="D9D2C2" w:sz="4"/>
              <w:left w:val="single" w:color="D9D2C2" w:sz="4"/>
              <w:bottom w:val="single" w:color="D9D2C2" w:sz="4"/>
              <w:right w:val="single" w:color="D9D2C2" w:sz="4"/>
            </w:tcBorders>
            <w:tcMar>
              <w:top w:type="dxa" w:w="65"/>
              <w:left w:type="dxa" w:w="90"/>
              <w:bottom w:type="dxa" w:w="65"/>
              <w:right w:type="dxa" w:w="90"/>
            </w:tcMar>
            <w:vAlign w:val="top"/>
          </w:tcPr>
          <w:p>
            <w:r>
              <w:rPr>
                <w:rFonts w:ascii="Calibri" w:cs="Calibri" w:eastAsia="Calibri" w:hAnsi="Calibri"/>
                <w:color w:val="55503F"/>
                <w:sz w:val="18"/>
                <w:szCs w:val="18"/>
              </w:rPr>
              <w:t xml:space="preserve">Workflow definition in .github/workflows; reviewer list is exit condition 9 and is owned by Engineering.</w:t>
            </w:r>
          </w:p>
        </w:tc>
      </w:tr>
      <w:tr>
        <w:tc>
          <w:tcPr>
            <w:tcW w:type="dxa" w:w="560"/>
            <w:tcBorders>
              <w:top w:val="single" w:color="D9D2C2" w:sz="4"/>
              <w:left w:val="single" w:color="D9D2C2" w:sz="4"/>
              <w:bottom w:val="single" w:color="D9D2C2" w:sz="4"/>
              <w:right w:val="single" w:color="D9D2C2" w:sz="4"/>
            </w:tcBorders>
            <w:tcMar>
              <w:top w:type="dxa" w:w="65"/>
              <w:left w:type="dxa" w:w="90"/>
              <w:bottom w:type="dxa" w:w="65"/>
              <w:right w:type="dxa" w:w="90"/>
            </w:tcMar>
            <w:vAlign w:val="top"/>
          </w:tcPr>
          <w:p>
            <w:r>
              <w:rPr>
                <w:rFonts w:ascii="Calibri" w:cs="Calibri" w:eastAsia="Calibri" w:hAnsi="Calibri"/>
                <w:b/>
                <w:bCs/>
                <w:color w:val="23201A"/>
                <w:sz w:val="18"/>
                <w:szCs w:val="18"/>
              </w:rPr>
              <w:t xml:space="preserve">4</w:t>
            </w:r>
          </w:p>
        </w:tc>
        <w:tc>
          <w:tcPr>
            <w:tcW w:type="dxa" w:w="1900"/>
            <w:tcBorders>
              <w:top w:val="single" w:color="D9D2C2" w:sz="4"/>
              <w:left w:val="single" w:color="D9D2C2" w:sz="4"/>
              <w:bottom w:val="single" w:color="D9D2C2" w:sz="4"/>
              <w:right w:val="single" w:color="D9D2C2" w:sz="4"/>
            </w:tcBorders>
            <w:tcMar>
              <w:top w:type="dxa" w:w="65"/>
              <w:left w:type="dxa" w:w="90"/>
              <w:bottom w:type="dxa" w:w="65"/>
              <w:right w:type="dxa" w:w="90"/>
            </w:tcMar>
            <w:vAlign w:val="top"/>
          </w:tcPr>
          <w:p>
            <w:r>
              <w:rPr>
                <w:rFonts w:ascii="Calibri" w:cs="Calibri" w:eastAsia="Calibri" w:hAnsi="Calibri"/>
                <w:b/>
                <w:bCs/>
                <w:color w:val="23201A"/>
                <w:sz w:val="18"/>
                <w:szCs w:val="18"/>
              </w:rPr>
              <w:t xml:space="preserve">Unsafe database startup (push + seed on start)</w:t>
            </w:r>
          </w:p>
        </w:tc>
        <w:tc>
          <w:tcPr>
            <w:tcW w:type="dxa" w:w="3766"/>
            <w:tcBorders>
              <w:top w:val="single" w:color="D9D2C2" w:sz="4"/>
              <w:left w:val="single" w:color="D9D2C2" w:sz="4"/>
              <w:bottom w:val="single" w:color="D9D2C2" w:sz="4"/>
              <w:right w:val="single" w:color="D9D2C2" w:sz="4"/>
            </w:tcBorders>
            <w:tcMar>
              <w:top w:type="dxa" w:w="65"/>
              <w:left w:type="dxa" w:w="90"/>
              <w:bottom w:type="dxa" w:w="65"/>
              <w:right w:type="dxa" w:w="90"/>
            </w:tcMar>
            <w:vAlign w:val="top"/>
          </w:tcPr>
          <w:p>
            <w:r>
              <w:rPr>
                <w:rFonts w:ascii="Calibri" w:cs="Calibri" w:eastAsia="Calibri" w:hAnsi="Calibri"/>
                <w:color w:val="23201A"/>
                <w:sz w:val="18"/>
                <w:szCs w:val="18"/>
              </w:rPr>
              <w:t xml:space="preserve">The API no longer touches the schema at boot. A dedicated one-shot migrate service (compose) / Container Apps job runs prisma migrate deploy against versioned migrations. Seeding is gated by SEED_ON_START, off by default, and refuses to run in production without SEED_ALLOW_PROD and a real password.</w:t>
            </w:r>
          </w:p>
        </w:tc>
        <w:tc>
          <w:tcPr>
            <w:tcW w:type="dxa" w:w="2800"/>
            <w:tcBorders>
              <w:top w:val="single" w:color="D9D2C2" w:sz="4"/>
              <w:left w:val="single" w:color="D9D2C2" w:sz="4"/>
              <w:bottom w:val="single" w:color="D9D2C2" w:sz="4"/>
              <w:right w:val="single" w:color="D9D2C2" w:sz="4"/>
            </w:tcBorders>
            <w:tcMar>
              <w:top w:type="dxa" w:w="65"/>
              <w:left w:type="dxa" w:w="90"/>
              <w:bottom w:type="dxa" w:w="65"/>
              <w:right w:type="dxa" w:w="90"/>
            </w:tcMar>
            <w:vAlign w:val="top"/>
          </w:tcPr>
          <w:p>
            <w:r>
              <w:rPr>
                <w:rFonts w:ascii="Calibri" w:cs="Calibri" w:eastAsia="Calibri" w:hAnsi="Calibri"/>
                <w:color w:val="55503F"/>
                <w:sz w:val="18"/>
                <w:szCs w:val="18"/>
              </w:rPr>
              <w:t xml:space="preserve">No db push in apps/api/src; compose migrate service runs to completion before the API starts.</w:t>
            </w:r>
          </w:p>
        </w:tc>
      </w:tr>
      <w:tr>
        <w:tc>
          <w:tcPr>
            <w:tcW w:type="dxa" w:w="560"/>
            <w:tcBorders>
              <w:top w:val="single" w:color="D9D2C2" w:sz="4"/>
              <w:left w:val="single" w:color="D9D2C2" w:sz="4"/>
              <w:bottom w:val="single" w:color="D9D2C2" w:sz="4"/>
              <w:right w:val="single" w:color="D9D2C2" w:sz="4"/>
            </w:tcBorders>
            <w:tcMar>
              <w:top w:type="dxa" w:w="65"/>
              <w:left w:type="dxa" w:w="90"/>
              <w:bottom w:type="dxa" w:w="65"/>
              <w:right w:type="dxa" w:w="90"/>
            </w:tcMar>
            <w:vAlign w:val="top"/>
          </w:tcPr>
          <w:p>
            <w:r>
              <w:rPr>
                <w:rFonts w:ascii="Calibri" w:cs="Calibri" w:eastAsia="Calibri" w:hAnsi="Calibri"/>
                <w:b/>
                <w:bCs/>
                <w:color w:val="23201A"/>
                <w:sz w:val="18"/>
                <w:szCs w:val="18"/>
              </w:rPr>
              <w:t xml:space="preserve">5</w:t>
            </w:r>
          </w:p>
        </w:tc>
        <w:tc>
          <w:tcPr>
            <w:tcW w:type="dxa" w:w="1900"/>
            <w:tcBorders>
              <w:top w:val="single" w:color="D9D2C2" w:sz="4"/>
              <w:left w:val="single" w:color="D9D2C2" w:sz="4"/>
              <w:bottom w:val="single" w:color="D9D2C2" w:sz="4"/>
              <w:right w:val="single" w:color="D9D2C2" w:sz="4"/>
            </w:tcBorders>
            <w:tcMar>
              <w:top w:type="dxa" w:w="65"/>
              <w:left w:type="dxa" w:w="90"/>
              <w:bottom w:type="dxa" w:w="65"/>
              <w:right w:type="dxa" w:w="90"/>
            </w:tcMar>
            <w:vAlign w:val="top"/>
          </w:tcPr>
          <w:p>
            <w:r>
              <w:rPr>
                <w:rFonts w:ascii="Calibri" w:cs="Calibri" w:eastAsia="Calibri" w:hAnsi="Calibri"/>
                <w:b/>
                <w:bCs/>
                <w:color w:val="23201A"/>
                <w:sz w:val="18"/>
                <w:szCs w:val="18"/>
              </w:rPr>
              <w:t xml:space="preserve">Approval callback security incomplete</w:t>
            </w:r>
          </w:p>
        </w:tc>
        <w:tc>
          <w:tcPr>
            <w:tcW w:type="dxa" w:w="3766"/>
            <w:tcBorders>
              <w:top w:val="single" w:color="D9D2C2" w:sz="4"/>
              <w:left w:val="single" w:color="D9D2C2" w:sz="4"/>
              <w:bottom w:val="single" w:color="D9D2C2" w:sz="4"/>
              <w:right w:val="single" w:color="D9D2C2" w:sz="4"/>
            </w:tcBorders>
            <w:tcMar>
              <w:top w:type="dxa" w:w="65"/>
              <w:left w:type="dxa" w:w="90"/>
              <w:bottom w:type="dxa" w:w="65"/>
              <w:right w:type="dxa" w:w="90"/>
            </w:tcMar>
            <w:vAlign w:val="top"/>
          </w:tcPr>
          <w:p>
            <w:r>
              <w:rPr>
                <w:rFonts w:ascii="Calibri" w:cs="Calibri" w:eastAsia="Calibri" w:hAnsi="Calibri"/>
                <w:color w:val="23201A"/>
                <w:sz w:val="18"/>
                <w:szCs w:val="18"/>
              </w:rPr>
              <w:t xml:space="preserve">The Outlook callback validates the actionable-message JWT (signature, issuer, audience, expiry) unconditionally in every environment. The verified identity must hold approve and be one of the contract's routed approvers; the first decision wins and replays are rejected. Denials are audited.</w:t>
            </w:r>
          </w:p>
        </w:tc>
        <w:tc>
          <w:tcPr>
            <w:tcW w:type="dxa" w:w="2800"/>
            <w:tcBorders>
              <w:top w:val="single" w:color="D9D2C2" w:sz="4"/>
              <w:left w:val="single" w:color="D9D2C2" w:sz="4"/>
              <w:bottom w:val="single" w:color="D9D2C2" w:sz="4"/>
              <w:right w:val="single" w:color="D9D2C2" w:sz="4"/>
            </w:tcBorders>
            <w:tcMar>
              <w:top w:type="dxa" w:w="65"/>
              <w:left w:type="dxa" w:w="90"/>
              <w:bottom w:type="dxa" w:w="65"/>
              <w:right w:type="dxa" w:w="90"/>
            </w:tcMar>
            <w:vAlign w:val="top"/>
          </w:tcPr>
          <w:p>
            <w:r>
              <w:rPr>
                <w:rFonts w:ascii="Calibri" w:cs="Calibri" w:eastAsia="Calibri" w:hAnsi="Calibri"/>
                <w:color w:val="55503F"/>
                <w:sz w:val="18"/>
                <w:szCs w:val="18"/>
              </w:rPr>
              <w:t xml:space="preserve">webhook-auth.spec, approval-durability.spec; production refuses to start if the old escape hatch is set to false.</w:t>
            </w:r>
          </w:p>
        </w:tc>
      </w:tr>
      <w:tr>
        <w:tc>
          <w:tcPr>
            <w:tcW w:type="dxa" w:w="560"/>
            <w:tcBorders>
              <w:top w:val="single" w:color="D9D2C2" w:sz="4"/>
              <w:left w:val="single" w:color="D9D2C2" w:sz="4"/>
              <w:bottom w:val="single" w:color="D9D2C2" w:sz="4"/>
              <w:right w:val="single" w:color="D9D2C2" w:sz="4"/>
            </w:tcBorders>
            <w:tcMar>
              <w:top w:type="dxa" w:w="65"/>
              <w:left w:type="dxa" w:w="90"/>
              <w:bottom w:type="dxa" w:w="65"/>
              <w:right w:type="dxa" w:w="90"/>
            </w:tcMar>
            <w:vAlign w:val="top"/>
          </w:tcPr>
          <w:p>
            <w:r>
              <w:rPr>
                <w:rFonts w:ascii="Calibri" w:cs="Calibri" w:eastAsia="Calibri" w:hAnsi="Calibri"/>
                <w:b/>
                <w:bCs/>
                <w:color w:val="23201A"/>
                <w:sz w:val="18"/>
                <w:szCs w:val="18"/>
              </w:rPr>
              <w:t xml:space="preserve">6</w:t>
            </w:r>
          </w:p>
        </w:tc>
        <w:tc>
          <w:tcPr>
            <w:tcW w:type="dxa" w:w="1900"/>
            <w:tcBorders>
              <w:top w:val="single" w:color="D9D2C2" w:sz="4"/>
              <w:left w:val="single" w:color="D9D2C2" w:sz="4"/>
              <w:bottom w:val="single" w:color="D9D2C2" w:sz="4"/>
              <w:right w:val="single" w:color="D9D2C2" w:sz="4"/>
            </w:tcBorders>
            <w:tcMar>
              <w:top w:type="dxa" w:w="65"/>
              <w:left w:type="dxa" w:w="90"/>
              <w:bottom w:type="dxa" w:w="65"/>
              <w:right w:type="dxa" w:w="90"/>
            </w:tcMar>
            <w:vAlign w:val="top"/>
          </w:tcPr>
          <w:p>
            <w:r>
              <w:rPr>
                <w:rFonts w:ascii="Calibri" w:cs="Calibri" w:eastAsia="Calibri" w:hAnsi="Calibri"/>
                <w:b/>
                <w:bCs/>
                <w:color w:val="23201A"/>
                <w:sz w:val="18"/>
                <w:szCs w:val="18"/>
              </w:rPr>
              <w:t xml:space="preserve">Prototype secrets and credentials remain</w:t>
            </w:r>
          </w:p>
        </w:tc>
        <w:tc>
          <w:tcPr>
            <w:tcW w:type="dxa" w:w="3766"/>
            <w:tcBorders>
              <w:top w:val="single" w:color="D9D2C2" w:sz="4"/>
              <w:left w:val="single" w:color="D9D2C2" w:sz="4"/>
              <w:bottom w:val="single" w:color="D9D2C2" w:sz="4"/>
              <w:right w:val="single" w:color="D9D2C2" w:sz="4"/>
            </w:tcBorders>
            <w:tcMar>
              <w:top w:type="dxa" w:w="65"/>
              <w:left w:type="dxa" w:w="90"/>
              <w:bottom w:type="dxa" w:w="65"/>
              <w:right w:type="dxa" w:w="90"/>
            </w:tcMar>
            <w:vAlign w:val="top"/>
          </w:tcPr>
          <w:p>
            <w:r>
              <w:rPr>
                <w:rFonts w:ascii="Calibri" w:cs="Calibri" w:eastAsia="Calibri" w:hAnsi="Calibri"/>
                <w:color w:val="23201A"/>
                <w:sz w:val="18"/>
                <w:szCs w:val="18"/>
              </w:rPr>
              <w:t xml:space="preserve">The boot guard refuses a placeholder or weak AUTH_JWT_SECRET and refuses demo logins when NODE_ENV=production. Secrets are sourced from Key Vault and managed identity. Provisioning them is exit condition 2 and is owned by Engineering with Cyber.</w:t>
            </w:r>
          </w:p>
        </w:tc>
        <w:tc>
          <w:tcPr>
            <w:tcW w:type="dxa" w:w="2800"/>
            <w:tcBorders>
              <w:top w:val="single" w:color="D9D2C2" w:sz="4"/>
              <w:left w:val="single" w:color="D9D2C2" w:sz="4"/>
              <w:bottom w:val="single" w:color="D9D2C2" w:sz="4"/>
              <w:right w:val="single" w:color="D9D2C2" w:sz="4"/>
            </w:tcBorders>
            <w:tcMar>
              <w:top w:type="dxa" w:w="65"/>
              <w:left w:type="dxa" w:w="90"/>
              <w:bottom w:type="dxa" w:w="65"/>
              <w:right w:type="dxa" w:w="90"/>
            </w:tcMar>
            <w:vAlign w:val="top"/>
          </w:tcPr>
          <w:p>
            <w:r>
              <w:rPr>
                <w:rFonts w:ascii="Calibri" w:cs="Calibri" w:eastAsia="Calibri" w:hAnsi="Calibri"/>
                <w:color w:val="55503F"/>
                <w:sz w:val="18"/>
                <w:szCs w:val="18"/>
              </w:rPr>
              <w:t xml:space="preserve">security-config.spec; pnpm verify step 'Production refuses a placeholder secret'.</w:t>
            </w:r>
          </w:p>
        </w:tc>
      </w:tr>
      <w:tr>
        <w:tc>
          <w:tcPr>
            <w:tcW w:type="dxa" w:w="560"/>
            <w:tcBorders>
              <w:top w:val="single" w:color="D9D2C2" w:sz="4"/>
              <w:left w:val="single" w:color="D9D2C2" w:sz="4"/>
              <w:bottom w:val="single" w:color="D9D2C2" w:sz="4"/>
              <w:right w:val="single" w:color="D9D2C2" w:sz="4"/>
            </w:tcBorders>
            <w:tcMar>
              <w:top w:type="dxa" w:w="65"/>
              <w:left w:type="dxa" w:w="90"/>
              <w:bottom w:type="dxa" w:w="65"/>
              <w:right w:type="dxa" w:w="90"/>
            </w:tcMar>
            <w:vAlign w:val="top"/>
          </w:tcPr>
          <w:p>
            <w:r>
              <w:rPr>
                <w:rFonts w:ascii="Calibri" w:cs="Calibri" w:eastAsia="Calibri" w:hAnsi="Calibri"/>
                <w:b/>
                <w:bCs/>
                <w:color w:val="23201A"/>
                <w:sz w:val="18"/>
                <w:szCs w:val="18"/>
              </w:rPr>
              <w:t xml:space="preserve">7</w:t>
            </w:r>
          </w:p>
        </w:tc>
        <w:tc>
          <w:tcPr>
            <w:tcW w:type="dxa" w:w="1900"/>
            <w:tcBorders>
              <w:top w:val="single" w:color="D9D2C2" w:sz="4"/>
              <w:left w:val="single" w:color="D9D2C2" w:sz="4"/>
              <w:bottom w:val="single" w:color="D9D2C2" w:sz="4"/>
              <w:right w:val="single" w:color="D9D2C2" w:sz="4"/>
            </w:tcBorders>
            <w:tcMar>
              <w:top w:type="dxa" w:w="65"/>
              <w:left w:type="dxa" w:w="90"/>
              <w:bottom w:type="dxa" w:w="65"/>
              <w:right w:type="dxa" w:w="90"/>
            </w:tcMar>
            <w:vAlign w:val="top"/>
          </w:tcPr>
          <w:p>
            <w:r>
              <w:rPr>
                <w:rFonts w:ascii="Calibri" w:cs="Calibri" w:eastAsia="Calibri" w:hAnsi="Calibri"/>
                <w:b/>
                <w:bCs/>
                <w:color w:val="23201A"/>
                <w:sz w:val="18"/>
                <w:szCs w:val="18"/>
              </w:rPr>
              <w:t xml:space="preserve">Dependency vulnerability (Multer 1.x)</w:t>
            </w:r>
          </w:p>
        </w:tc>
        <w:tc>
          <w:tcPr>
            <w:tcW w:type="dxa" w:w="3766"/>
            <w:tcBorders>
              <w:top w:val="single" w:color="D9D2C2" w:sz="4"/>
              <w:left w:val="single" w:color="D9D2C2" w:sz="4"/>
              <w:bottom w:val="single" w:color="D9D2C2" w:sz="4"/>
              <w:right w:val="single" w:color="D9D2C2" w:sz="4"/>
            </w:tcBorders>
            <w:tcMar>
              <w:top w:type="dxa" w:w="65"/>
              <w:left w:type="dxa" w:w="90"/>
              <w:bottom w:type="dxa" w:w="65"/>
              <w:right w:type="dxa" w:w="90"/>
            </w:tcMar>
            <w:vAlign w:val="top"/>
          </w:tcPr>
          <w:p>
            <w:r>
              <w:rPr>
                <w:rFonts w:ascii="Calibri" w:cs="Calibri" w:eastAsia="Calibri" w:hAnsi="Calibri"/>
                <w:color w:val="23201A"/>
                <w:sz w:val="18"/>
                <w:szCs w:val="18"/>
              </w:rPr>
              <w:t xml:space="preserve">Direct Multer 1.x removed and a pnpm override forces 2.x across the tree. CI runs pnpm audit blocking high and critical, a Gitleaks secret scan, Trivy filesystem and image scans, and emits a CycloneDX SBOM.</w:t>
            </w:r>
          </w:p>
        </w:tc>
        <w:tc>
          <w:tcPr>
            <w:tcW w:type="dxa" w:w="2800"/>
            <w:tcBorders>
              <w:top w:val="single" w:color="D9D2C2" w:sz="4"/>
              <w:left w:val="single" w:color="D9D2C2" w:sz="4"/>
              <w:bottom w:val="single" w:color="D9D2C2" w:sz="4"/>
              <w:right w:val="single" w:color="D9D2C2" w:sz="4"/>
            </w:tcBorders>
            <w:tcMar>
              <w:top w:type="dxa" w:w="65"/>
              <w:left w:type="dxa" w:w="90"/>
              <w:bottom w:type="dxa" w:w="65"/>
              <w:right w:type="dxa" w:w="90"/>
            </w:tcMar>
            <w:vAlign w:val="top"/>
          </w:tcPr>
          <w:p>
            <w:r>
              <w:rPr>
                <w:rFonts w:ascii="Calibri" w:cs="Calibri" w:eastAsia="Calibri" w:hAnsi="Calibri"/>
                <w:color w:val="55503F"/>
                <w:sz w:val="18"/>
                <w:szCs w:val="18"/>
              </w:rPr>
              <w:t xml:space="preserve">Lockfile override; CI scan jobs. Formal closure of all findings is exit condition 10.</w:t>
            </w:r>
          </w:p>
        </w:tc>
      </w:tr>
      <w:tr>
        <w:tc>
          <w:tcPr>
            <w:tcW w:type="dxa" w:w="560"/>
            <w:tcBorders>
              <w:top w:val="single" w:color="D9D2C2" w:sz="4"/>
              <w:left w:val="single" w:color="D9D2C2" w:sz="4"/>
              <w:bottom w:val="single" w:color="D9D2C2" w:sz="4"/>
              <w:right w:val="single" w:color="D9D2C2" w:sz="4"/>
            </w:tcBorders>
            <w:tcMar>
              <w:top w:type="dxa" w:w="65"/>
              <w:left w:type="dxa" w:w="90"/>
              <w:bottom w:type="dxa" w:w="65"/>
              <w:right w:type="dxa" w:w="90"/>
            </w:tcMar>
            <w:vAlign w:val="top"/>
          </w:tcPr>
          <w:p>
            <w:r>
              <w:rPr>
                <w:rFonts w:ascii="Calibri" w:cs="Calibri" w:eastAsia="Calibri" w:hAnsi="Calibri"/>
                <w:b/>
                <w:bCs/>
                <w:color w:val="23201A"/>
                <w:sz w:val="18"/>
                <w:szCs w:val="18"/>
              </w:rPr>
              <w:t xml:space="preserve">8</w:t>
            </w:r>
          </w:p>
        </w:tc>
        <w:tc>
          <w:tcPr>
            <w:tcW w:type="dxa" w:w="1900"/>
            <w:tcBorders>
              <w:top w:val="single" w:color="D9D2C2" w:sz="4"/>
              <w:left w:val="single" w:color="D9D2C2" w:sz="4"/>
              <w:bottom w:val="single" w:color="D9D2C2" w:sz="4"/>
              <w:right w:val="single" w:color="D9D2C2" w:sz="4"/>
            </w:tcBorders>
            <w:tcMar>
              <w:top w:type="dxa" w:w="65"/>
              <w:left w:type="dxa" w:w="90"/>
              <w:bottom w:type="dxa" w:w="65"/>
              <w:right w:type="dxa" w:w="90"/>
            </w:tcMar>
            <w:vAlign w:val="top"/>
          </w:tcPr>
          <w:p>
            <w:r>
              <w:rPr>
                <w:rFonts w:ascii="Calibri" w:cs="Calibri" w:eastAsia="Calibri" w:hAnsi="Calibri"/>
                <w:b/>
                <w:bCs/>
                <w:color w:val="23201A"/>
                <w:sz w:val="18"/>
                <w:szCs w:val="18"/>
              </w:rPr>
              <w:t xml:space="preserve">Demo and fallback behaviour enabled</w:t>
            </w:r>
          </w:p>
        </w:tc>
        <w:tc>
          <w:tcPr>
            <w:tcW w:type="dxa" w:w="3766"/>
            <w:tcBorders>
              <w:top w:val="single" w:color="D9D2C2" w:sz="4"/>
              <w:left w:val="single" w:color="D9D2C2" w:sz="4"/>
              <w:bottom w:val="single" w:color="D9D2C2" w:sz="4"/>
              <w:right w:val="single" w:color="D9D2C2" w:sz="4"/>
            </w:tcBorders>
            <w:tcMar>
              <w:top w:type="dxa" w:w="65"/>
              <w:left w:type="dxa" w:w="90"/>
              <w:bottom w:type="dxa" w:w="65"/>
              <w:right w:type="dxa" w:w="90"/>
            </w:tcMar>
            <w:vAlign w:val="top"/>
          </w:tcPr>
          <w:p>
            <w:r>
              <w:rPr>
                <w:rFonts w:ascii="Calibri" w:cs="Calibri" w:eastAsia="Calibri" w:hAnsi="Calibri"/>
                <w:color w:val="23201A"/>
                <w:sz w:val="18"/>
                <w:szCs w:val="18"/>
              </w:rPr>
              <w:t xml:space="preserve">Production refuses to start with DEMO_SAMPLES=true. Every dry-run and fallback path is surfaced by degradedModes() in the boot log and on /api/health/ready, and PROD_REQUIRE_REAL_INTEGRATIONS=true converts them into hard startup errors.</w:t>
            </w:r>
          </w:p>
        </w:tc>
        <w:tc>
          <w:tcPr>
            <w:tcW w:type="dxa" w:w="2800"/>
            <w:tcBorders>
              <w:top w:val="single" w:color="D9D2C2" w:sz="4"/>
              <w:left w:val="single" w:color="D9D2C2" w:sz="4"/>
              <w:bottom w:val="single" w:color="D9D2C2" w:sz="4"/>
              <w:right w:val="single" w:color="D9D2C2" w:sz="4"/>
            </w:tcBorders>
            <w:tcMar>
              <w:top w:type="dxa" w:w="65"/>
              <w:left w:type="dxa" w:w="90"/>
              <w:bottom w:type="dxa" w:w="65"/>
              <w:right w:type="dxa" w:w="90"/>
            </w:tcMar>
            <w:vAlign w:val="top"/>
          </w:tcPr>
          <w:p>
            <w:r>
              <w:rPr>
                <w:rFonts w:ascii="Calibri" w:cs="Calibri" w:eastAsia="Calibri" w:hAnsi="Calibri"/>
                <w:color w:val="55503F"/>
                <w:sz w:val="18"/>
                <w:szCs w:val="18"/>
              </w:rPr>
              <w:t xml:space="preserve">pnpm verify step 'Production refuses demo fixtures'; /api/health/ready lists active degraded modes.</w:t>
            </w:r>
          </w:p>
        </w:tc>
      </w:tr>
    </w:tbl>
    <w:p>
      <w:r>
        <w:br w:type="page"/>
      </w:r>
    </w:p>
    <w:p>
      <w:pPr>
        <w:pStyle w:val="Heading1"/>
        <w:spacing w:after="140" w:before="320"/>
      </w:pPr>
      <w:r>
        <w:rPr>
          <w:rFonts w:ascii="Calibri" w:cs="Calibri" w:eastAsia="Calibri" w:hAnsi="Calibri"/>
          <w:b/>
          <w:bCs/>
          <w:color w:val="23201A"/>
          <w:sz w:val="30"/>
          <w:szCs w:val="30"/>
        </w:rPr>
        <w:t xml:space="preserve">3.  Recommended security improvements (A–H)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50"/>
        <w:gridCol w:w="4050"/>
        <w:gridCol w:w="2526"/>
      </w:tblGrid>
      <w:tr>
        <w:trPr>
          <w:tblHeader/>
        </w:trPr>
        <w:tc>
          <w:tcPr>
            <w:tcW w:type="dxa" w:w="2450"/>
            <w:tcBorders>
              <w:top w:val="single" w:color="D9D2C2" w:sz="4"/>
              <w:left w:val="single" w:color="D9D2C2" w:sz="4"/>
              <w:bottom w:val="single" w:color="D9D2C2" w:sz="4"/>
              <w:right w:val="single" w:color="D9D2C2" w:sz="4"/>
            </w:tcBorders>
            <w:shd w:fill="2C2A22" w:color="auto" w:val="clear"/>
            <w:tcMar>
              <w:top w:type="dxa" w:w="65"/>
              <w:left w:type="dxa" w:w="90"/>
              <w:bottom w:type="dxa" w:w="65"/>
              <w:right w:type="dxa" w:w="90"/>
            </w:tcMar>
            <w:vAlign w:val="center"/>
          </w:tcPr>
          <w:p>
            <w:r>
              <w:rPr>
                <w:rFonts w:ascii="Calibri" w:cs="Calibri" w:eastAsia="Calibri" w:hAnsi="Calibri"/>
                <w:b/>
                <w:bCs/>
                <w:color w:val="FFFFFF"/>
                <w:sz w:val="18"/>
                <w:szCs w:val="18"/>
              </w:rPr>
              <w:t xml:space="preserve">Area</w:t>
            </w:r>
          </w:p>
        </w:tc>
        <w:tc>
          <w:tcPr>
            <w:tcW w:type="dxa" w:w="4050"/>
            <w:tcBorders>
              <w:top w:val="single" w:color="D9D2C2" w:sz="4"/>
              <w:left w:val="single" w:color="D9D2C2" w:sz="4"/>
              <w:bottom w:val="single" w:color="D9D2C2" w:sz="4"/>
              <w:right w:val="single" w:color="D9D2C2" w:sz="4"/>
            </w:tcBorders>
            <w:shd w:fill="2C2A22" w:color="auto" w:val="clear"/>
            <w:tcMar>
              <w:top w:type="dxa" w:w="65"/>
              <w:left w:type="dxa" w:w="90"/>
              <w:bottom w:type="dxa" w:w="65"/>
              <w:right w:type="dxa" w:w="90"/>
            </w:tcMar>
            <w:vAlign w:val="center"/>
          </w:tcPr>
          <w:p>
            <w:r>
              <w:rPr>
                <w:rFonts w:ascii="Calibri" w:cs="Calibri" w:eastAsia="Calibri" w:hAnsi="Calibri"/>
                <w:b/>
                <w:bCs/>
                <w:color w:val="FFFFFF"/>
                <w:sz w:val="18"/>
                <w:szCs w:val="18"/>
              </w:rPr>
              <w:t xml:space="preserve">Implementation</w:t>
            </w:r>
          </w:p>
        </w:tc>
        <w:tc>
          <w:tcPr>
            <w:tcW w:type="dxa" w:w="2526"/>
            <w:tcBorders>
              <w:top w:val="single" w:color="D9D2C2" w:sz="4"/>
              <w:left w:val="single" w:color="D9D2C2" w:sz="4"/>
              <w:bottom w:val="single" w:color="D9D2C2" w:sz="4"/>
              <w:right w:val="single" w:color="D9D2C2" w:sz="4"/>
            </w:tcBorders>
            <w:shd w:fill="2C2A22" w:color="auto" w:val="clear"/>
            <w:tcMar>
              <w:top w:type="dxa" w:w="65"/>
              <w:left w:type="dxa" w:w="90"/>
              <w:bottom w:type="dxa" w:w="65"/>
              <w:right w:type="dxa" w:w="90"/>
            </w:tcMar>
            <w:vAlign w:val="center"/>
          </w:tcPr>
          <w:p>
            <w:r>
              <w:rPr>
                <w:rFonts w:ascii="Calibri" w:cs="Calibri" w:eastAsia="Calibri" w:hAnsi="Calibri"/>
                <w:b/>
                <w:bCs/>
                <w:color w:val="FFFFFF"/>
                <w:sz w:val="18"/>
                <w:szCs w:val="18"/>
              </w:rPr>
              <w:t xml:space="preserve">Status</w:t>
            </w:r>
          </w:p>
        </w:tc>
      </w:tr>
      <w:tr>
        <w:tc>
          <w:tcPr>
            <w:tcW w:type="dxa" w:w="2450"/>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b/>
                <w:bCs/>
                <w:color w:val="23201A"/>
                <w:sz w:val="20"/>
                <w:szCs w:val="20"/>
              </w:rPr>
              <w:t xml:space="preserve">A. AuthN / AuthZ</w:t>
            </w:r>
          </w:p>
        </w:tc>
        <w:tc>
          <w:tcPr>
            <w:tcW w:type="dxa" w:w="4050"/>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Full callback JWT validation; approver-for-this-contract authorization; replay/conflict prevention; server-side RBAC across requesters, counsel, approvers, admins, auditors.</w:t>
            </w:r>
          </w:p>
        </w:tc>
        <w:tc>
          <w:tcPr>
            <w:tcW w:type="dxa" w:w="2526"/>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b/>
                <w:bCs/>
                <w:color w:val="2E7D32"/>
                <w:sz w:val="18"/>
                <w:szCs w:val="18"/>
              </w:rPr>
              <w:t xml:space="preserve">Closed (in repo)</w:t>
            </w:r>
          </w:p>
        </w:tc>
      </w:tr>
      <w:tr>
        <w:tc>
          <w:tcPr>
            <w:tcW w:type="dxa" w:w="2450"/>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b/>
                <w:bCs/>
                <w:color w:val="23201A"/>
                <w:sz w:val="20"/>
                <w:szCs w:val="20"/>
              </w:rPr>
              <w:t xml:space="preserve">B. Secrets</w:t>
            </w:r>
          </w:p>
        </w:tc>
        <w:tc>
          <w:tcPr>
            <w:tcW w:type="dxa" w:w="4050"/>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Key Vault / managed identity; boot guard rejects placeholders; demo accounts off in prod; no secrets in logs/responses.</w:t>
            </w:r>
          </w:p>
        </w:tc>
        <w:tc>
          <w:tcPr>
            <w:tcW w:type="dxa" w:w="2526"/>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b/>
                <w:bCs/>
                <w:color w:val="2E7D32"/>
                <w:sz w:val="18"/>
                <w:szCs w:val="18"/>
              </w:rPr>
              <w:t xml:space="preserve">Closed (in repo)</w:t>
            </w:r>
          </w:p>
        </w:tc>
      </w:tr>
      <w:tr>
        <w:tc>
          <w:tcPr>
            <w:tcW w:type="dxa" w:w="2450"/>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b/>
                <w:bCs/>
                <w:color w:val="23201A"/>
                <w:sz w:val="20"/>
                <w:szCs w:val="20"/>
              </w:rPr>
              <w:t xml:space="preserve">C. DB change mgmt</w:t>
            </w:r>
          </w:p>
        </w:tc>
        <w:tc>
          <w:tcPr>
            <w:tcW w:type="dxa" w:w="4050"/>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Versioned migrate deploy; controlled deployment job; gated, idempotent seed; migration runs before app rollout.</w:t>
            </w:r>
          </w:p>
        </w:tc>
        <w:tc>
          <w:tcPr>
            <w:tcW w:type="dxa" w:w="2526"/>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b/>
                <w:bCs/>
                <w:color w:val="2E7D32"/>
                <w:sz w:val="18"/>
                <w:szCs w:val="18"/>
              </w:rPr>
              <w:t xml:space="preserve">Closed (in repo)</w:t>
            </w:r>
          </w:p>
        </w:tc>
      </w:tr>
      <w:tr>
        <w:tc>
          <w:tcPr>
            <w:tcW w:type="dxa" w:w="2450"/>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b/>
                <w:bCs/>
                <w:color w:val="23201A"/>
                <w:sz w:val="20"/>
                <w:szCs w:val="20"/>
              </w:rPr>
              <w:t xml:space="preserve">D. Security gates</w:t>
            </w:r>
          </w:p>
        </w:tc>
        <w:tc>
          <w:tcPr>
            <w:tcW w:type="dxa" w:w="4050"/>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SCA (pnpm audit), Gitleaks, Trivy fs + image, SBOM, blocking high/critical — all before deploy.</w:t>
            </w:r>
          </w:p>
        </w:tc>
        <w:tc>
          <w:tcPr>
            <w:tcW w:type="dxa" w:w="2526"/>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b/>
                <w:bCs/>
                <w:color w:val="B7791F"/>
                <w:sz w:val="18"/>
                <w:szCs w:val="18"/>
              </w:rPr>
              <w:t xml:space="preserve">Built + deploy config</w:t>
            </w:r>
          </w:p>
        </w:tc>
      </w:tr>
      <w:tr>
        <w:tc>
          <w:tcPr>
            <w:tcW w:type="dxa" w:w="2450"/>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b/>
                <w:bCs/>
                <w:color w:val="23201A"/>
                <w:sz w:val="20"/>
                <w:szCs w:val="20"/>
              </w:rPr>
              <w:t xml:space="preserve">E. Secure uploads</w:t>
            </w:r>
          </w:p>
        </w:tc>
        <w:tc>
          <w:tcPr>
            <w:tcW w:type="dxa" w:w="4050"/>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Multer 2.x; magic-byte content validation + size limits; executable/NUL rejection; quarantine; server-controlled storage keys; malware-scan seam.</w:t>
            </w:r>
          </w:p>
        </w:tc>
        <w:tc>
          <w:tcPr>
            <w:tcW w:type="dxa" w:w="2526"/>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b/>
                <w:bCs/>
                <w:color w:val="2E7D32"/>
                <w:sz w:val="18"/>
                <w:szCs w:val="18"/>
              </w:rPr>
              <w:t xml:space="preserve">Closed (in repo)</w:t>
            </w:r>
          </w:p>
        </w:tc>
      </w:tr>
      <w:tr>
        <w:tc>
          <w:tcPr>
            <w:tcW w:type="dxa" w:w="2450"/>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b/>
                <w:bCs/>
                <w:color w:val="23201A"/>
                <w:sz w:val="20"/>
                <w:szCs w:val="20"/>
              </w:rPr>
              <w:t xml:space="preserve">F. Tamper-evident audit</w:t>
            </w:r>
          </w:p>
        </w:tc>
        <w:tc>
          <w:tcPr>
            <w:tcW w:type="dxa" w:w="4050"/>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Append-only hash chain; login, upload, download, AI-review, approval, template, reminder, e-sign and admin events; actor/timestamp/entity/action/outcome + correlation ID; no contract bodies or secrets.</w:t>
            </w:r>
          </w:p>
        </w:tc>
        <w:tc>
          <w:tcPr>
            <w:tcW w:type="dxa" w:w="2526"/>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b/>
                <w:bCs/>
                <w:color w:val="2E7D32"/>
                <w:sz w:val="18"/>
                <w:szCs w:val="18"/>
              </w:rPr>
              <w:t xml:space="preserve">Closed (in repo)</w:t>
            </w:r>
          </w:p>
        </w:tc>
      </w:tr>
      <w:tr>
        <w:tc>
          <w:tcPr>
            <w:tcW w:type="dxa" w:w="2450"/>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b/>
                <w:bCs/>
                <w:color w:val="23201A"/>
                <w:sz w:val="20"/>
                <w:szCs w:val="20"/>
              </w:rPr>
              <w:t xml:space="preserve">G. Data protection</w:t>
            </w:r>
          </w:p>
        </w:tc>
        <w:tc>
          <w:tcPr>
            <w:tcW w:type="dxa" w:w="4050"/>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TLS + encryption at rest (platform); PAN/GSTIN/contract text kept out of logs; retention + legal hold; least-privilege access.</w:t>
            </w:r>
          </w:p>
        </w:tc>
        <w:tc>
          <w:tcPr>
            <w:tcW w:type="dxa" w:w="2526"/>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b/>
                <w:bCs/>
                <w:color w:val="B7791F"/>
                <w:sz w:val="18"/>
                <w:szCs w:val="18"/>
              </w:rPr>
              <w:t xml:space="preserve">Built + deploy config</w:t>
            </w:r>
          </w:p>
        </w:tc>
      </w:tr>
      <w:tr>
        <w:tc>
          <w:tcPr>
            <w:tcW w:type="dxa" w:w="2450"/>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b/>
                <w:bCs/>
                <w:color w:val="23201A"/>
                <w:sz w:val="20"/>
                <w:szCs w:val="20"/>
              </w:rPr>
              <w:t xml:space="preserve">H. Operational</w:t>
            </w:r>
          </w:p>
        </w:tc>
        <w:tc>
          <w:tcPr>
            <w:tcW w:type="dxa" w:w="4050"/>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Liveness/readiness; rate limiting; request timeouts; retry/backoff + DLQ; idempotent webhooks/approvals; correlation IDs; central monitoring seam.</w:t>
            </w:r>
          </w:p>
        </w:tc>
        <w:tc>
          <w:tcPr>
            <w:tcW w:type="dxa" w:w="2526"/>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b/>
                <w:bCs/>
                <w:color w:val="2E7D32"/>
                <w:sz w:val="18"/>
                <w:szCs w:val="18"/>
              </w:rPr>
              <w:t xml:space="preserve">Closed (in repo)</w:t>
            </w:r>
          </w:p>
        </w:tc>
      </w:tr>
    </w:tbl>
    <w:p>
      <w:pPr>
        <w:pStyle w:val="Heading1"/>
        <w:spacing w:after="140" w:before="320"/>
      </w:pPr>
      <w:r>
        <w:rPr>
          <w:rFonts w:ascii="Calibri" w:cs="Calibri" w:eastAsia="Calibri" w:hAnsi="Calibri"/>
          <w:b/>
          <w:bCs/>
          <w:color w:val="23201A"/>
          <w:sz w:val="30"/>
          <w:szCs w:val="30"/>
        </w:rPr>
        <w:t xml:space="preserve">4.  Node.js 22 remediation —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600"/>
        <w:gridCol w:w="2426"/>
      </w:tblGrid>
      <w:tr>
        <w:trPr>
          <w:tblHeader/>
        </w:trPr>
        <w:tc>
          <w:tcPr>
            <w:tcW w:type="dxa" w:w="6600"/>
            <w:tcBorders>
              <w:top w:val="single" w:color="D9D2C2" w:sz="4"/>
              <w:left w:val="single" w:color="D9D2C2" w:sz="4"/>
              <w:bottom w:val="single" w:color="D9D2C2" w:sz="4"/>
              <w:right w:val="single" w:color="D9D2C2" w:sz="4"/>
            </w:tcBorders>
            <w:shd w:fill="2C2A22" w:color="auto" w:val="clear"/>
            <w:tcMar>
              <w:top w:type="dxa" w:w="65"/>
              <w:left w:type="dxa" w:w="90"/>
              <w:bottom w:type="dxa" w:w="65"/>
              <w:right w:type="dxa" w:w="90"/>
            </w:tcMar>
            <w:vAlign w:val="center"/>
          </w:tcPr>
          <w:p>
            <w:r>
              <w:rPr>
                <w:rFonts w:ascii="Calibri" w:cs="Calibri" w:eastAsia="Calibri" w:hAnsi="Calibri"/>
                <w:b/>
                <w:bCs/>
                <w:color w:val="FFFFFF"/>
                <w:sz w:val="18"/>
                <w:szCs w:val="18"/>
              </w:rPr>
              <w:t xml:space="preserve">Step from the note</w:t>
            </w:r>
          </w:p>
        </w:tc>
        <w:tc>
          <w:tcPr>
            <w:tcW w:type="dxa" w:w="2426"/>
            <w:tcBorders>
              <w:top w:val="single" w:color="D9D2C2" w:sz="4"/>
              <w:left w:val="single" w:color="D9D2C2" w:sz="4"/>
              <w:bottom w:val="single" w:color="D9D2C2" w:sz="4"/>
              <w:right w:val="single" w:color="D9D2C2" w:sz="4"/>
            </w:tcBorders>
            <w:shd w:fill="2C2A22" w:color="auto" w:val="clear"/>
            <w:tcMar>
              <w:top w:type="dxa" w:w="65"/>
              <w:left w:type="dxa" w:w="90"/>
              <w:bottom w:type="dxa" w:w="65"/>
              <w:right w:type="dxa" w:w="90"/>
            </w:tcMar>
            <w:vAlign w:val="center"/>
          </w:tcPr>
          <w:p>
            <w:r>
              <w:rPr>
                <w:rFonts w:ascii="Calibri" w:cs="Calibri" w:eastAsia="Calibri" w:hAnsi="Calibri"/>
                <w:b/>
                <w:bCs/>
                <w:color w:val="FFFFFF"/>
                <w:sz w:val="18"/>
                <w:szCs w:val="18"/>
              </w:rPr>
              <w:t xml:space="preserve">Status</w:t>
            </w:r>
          </w:p>
        </w:tc>
      </w:tr>
      <w:tr>
        <w:tc>
          <w:tcPr>
            <w:tcW w:type="dxa" w:w="6600"/>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Root engines set to a bounded Node 22 range</w:t>
            </w:r>
          </w:p>
        </w:tc>
        <w:tc>
          <w:tcPr>
            <w:tcW w:type="dxa" w:w="2426"/>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b/>
                <w:bCs/>
                <w:color w:val="2E7D32"/>
                <w:sz w:val="18"/>
                <w:szCs w:val="18"/>
              </w:rPr>
              <w:t xml:space="preserve">Closed (in repo)</w:t>
            </w:r>
          </w:p>
        </w:tc>
      </w:tr>
      <w:tr>
        <w:tc>
          <w:tcPr>
            <w:tcW w:type="dxa" w:w="6600"/>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.nvmrc (22) + engine-strict in .npmrc</w:t>
            </w:r>
          </w:p>
        </w:tc>
        <w:tc>
          <w:tcPr>
            <w:tcW w:type="dxa" w:w="2426"/>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b/>
                <w:bCs/>
                <w:color w:val="2E7D32"/>
                <w:sz w:val="18"/>
                <w:szCs w:val="18"/>
              </w:rPr>
              <w:t xml:space="preserve">Closed (in repo)</w:t>
            </w:r>
          </w:p>
        </w:tc>
      </w:tr>
      <w:tr>
        <w:tc>
          <w:tcPr>
            <w:tcW w:type="dxa" w:w="6600"/>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CI runtime changed to Node 22; prints node/pnpm versions</w:t>
            </w:r>
          </w:p>
        </w:tc>
        <w:tc>
          <w:tcPr>
            <w:tcW w:type="dxa" w:w="2426"/>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b/>
                <w:bCs/>
                <w:color w:val="2E7D32"/>
                <w:sz w:val="18"/>
                <w:szCs w:val="18"/>
              </w:rPr>
              <w:t xml:space="preserve">Closed (in repo)</w:t>
            </w:r>
          </w:p>
        </w:tc>
      </w:tr>
      <w:tr>
        <w:tc>
          <w:tcPr>
            <w:tcW w:type="dxa" w:w="6600"/>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Dockerfiles on the node:22 image family (build + run)</w:t>
            </w:r>
          </w:p>
        </w:tc>
        <w:tc>
          <w:tcPr>
            <w:tcW w:type="dxa" w:w="2426"/>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b/>
                <w:bCs/>
                <w:color w:val="2E7D32"/>
                <w:sz w:val="18"/>
                <w:szCs w:val="18"/>
              </w:rPr>
              <w:t xml:space="preserve">Closed (in repo)</w:t>
            </w:r>
          </w:p>
        </w:tc>
      </w:tr>
      <w:tr>
        <w:tc>
          <w:tcPr>
            <w:tcW w:type="dxa" w:w="6600"/>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Clean install from the reviewed lockfile + typecheck + build</w:t>
            </w:r>
          </w:p>
        </w:tc>
        <w:tc>
          <w:tcPr>
            <w:tcW w:type="dxa" w:w="2426"/>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b/>
                <w:bCs/>
                <w:color w:val="2E7D32"/>
                <w:sz w:val="18"/>
                <w:szCs w:val="18"/>
              </w:rPr>
              <w:t xml:space="preserve">Closed (in repo)</w:t>
            </w:r>
          </w:p>
        </w:tc>
      </w:tr>
      <w:tr>
        <w:tc>
          <w:tcPr>
            <w:tcW w:type="dxa" w:w="6600"/>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Image-level smoke tests (health, read/write, auth init)</w:t>
            </w:r>
          </w:p>
        </w:tc>
        <w:tc>
          <w:tcPr>
            <w:tcW w:type="dxa" w:w="2426"/>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b/>
                <w:bCs/>
                <w:color w:val="2E7D32"/>
                <w:sz w:val="18"/>
                <w:szCs w:val="18"/>
              </w:rPr>
              <w:t xml:space="preserve">Closed (in repo)</w:t>
            </w:r>
          </w:p>
        </w:tc>
      </w:tr>
      <w:tr>
        <w:tc>
          <w:tcPr>
            <w:tcW w:type="dxa" w:w="6600"/>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CI assertion fails unless Node major is 22</w:t>
            </w:r>
          </w:p>
        </w:tc>
        <w:tc>
          <w:tcPr>
            <w:tcW w:type="dxa" w:w="2426"/>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b/>
                <w:bCs/>
                <w:color w:val="2E7D32"/>
                <w:sz w:val="18"/>
                <w:szCs w:val="18"/>
              </w:rPr>
              <w:t xml:space="preserve">Closed (in repo)</w:t>
            </w:r>
          </w:p>
        </w:tc>
      </w:tr>
    </w:tbl>
    <w:p>
      <w:r>
        <w:br w:type="page"/>
      </w:r>
    </w:p>
    <w:p>
      <w:pPr>
        <w:pStyle w:val="Heading1"/>
        <w:spacing w:after="140" w:before="320"/>
      </w:pPr>
      <w:r>
        <w:rPr>
          <w:rFonts w:ascii="Calibri" w:cs="Calibri" w:eastAsia="Calibri" w:hAnsi="Calibri"/>
          <w:b/>
          <w:bCs/>
          <w:color w:val="23201A"/>
          <w:sz w:val="30"/>
          <w:szCs w:val="30"/>
        </w:rPr>
        <w:t xml:space="preserve">5.  Production exit criteria —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600"/>
        <w:gridCol w:w="2426"/>
      </w:tblGrid>
      <w:tr>
        <w:trPr>
          <w:tblHeader/>
        </w:trPr>
        <w:tc>
          <w:tcPr>
            <w:tcW w:type="dxa" w:w="6600"/>
            <w:tcBorders>
              <w:top w:val="single" w:color="D9D2C2" w:sz="4"/>
              <w:left w:val="single" w:color="D9D2C2" w:sz="4"/>
              <w:bottom w:val="single" w:color="D9D2C2" w:sz="4"/>
              <w:right w:val="single" w:color="D9D2C2" w:sz="4"/>
            </w:tcBorders>
            <w:shd w:fill="2C2A22" w:color="auto" w:val="clear"/>
            <w:tcMar>
              <w:top w:type="dxa" w:w="65"/>
              <w:left w:type="dxa" w:w="90"/>
              <w:bottom w:type="dxa" w:w="65"/>
              <w:right w:type="dxa" w:w="90"/>
            </w:tcMar>
            <w:vAlign w:val="center"/>
          </w:tcPr>
          <w:p>
            <w:r>
              <w:rPr>
                <w:rFonts w:ascii="Calibri" w:cs="Calibri" w:eastAsia="Calibri" w:hAnsi="Calibri"/>
                <w:b/>
                <w:bCs/>
                <w:color w:val="FFFFFF"/>
                <w:sz w:val="18"/>
                <w:szCs w:val="18"/>
              </w:rPr>
              <w:t xml:space="preserve">Exit criterion</w:t>
            </w:r>
          </w:p>
        </w:tc>
        <w:tc>
          <w:tcPr>
            <w:tcW w:type="dxa" w:w="2426"/>
            <w:tcBorders>
              <w:top w:val="single" w:color="D9D2C2" w:sz="4"/>
              <w:left w:val="single" w:color="D9D2C2" w:sz="4"/>
              <w:bottom w:val="single" w:color="D9D2C2" w:sz="4"/>
              <w:right w:val="single" w:color="D9D2C2" w:sz="4"/>
            </w:tcBorders>
            <w:shd w:fill="2C2A22" w:color="auto" w:val="clear"/>
            <w:tcMar>
              <w:top w:type="dxa" w:w="65"/>
              <w:left w:type="dxa" w:w="90"/>
              <w:bottom w:type="dxa" w:w="65"/>
              <w:right w:type="dxa" w:w="90"/>
            </w:tcMar>
            <w:vAlign w:val="center"/>
          </w:tcPr>
          <w:p>
            <w:r>
              <w:rPr>
                <w:rFonts w:ascii="Calibri" w:cs="Calibri" w:eastAsia="Calibri" w:hAnsi="Calibri"/>
                <w:b/>
                <w:bCs/>
                <w:color w:val="FFFFFF"/>
                <w:sz w:val="18"/>
                <w:szCs w:val="18"/>
              </w:rPr>
              <w:t xml:space="preserve">Status</w:t>
            </w:r>
          </w:p>
        </w:tc>
      </w:tr>
      <w:tr>
        <w:tc>
          <w:tcPr>
            <w:tcW w:type="dxa" w:w="6600"/>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Node.js 22 enforced across all environments</w:t>
            </w:r>
          </w:p>
        </w:tc>
        <w:tc>
          <w:tcPr>
            <w:tcW w:type="dxa" w:w="2426"/>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b/>
                <w:bCs/>
                <w:color w:val="2E7D32"/>
                <w:sz w:val="18"/>
                <w:szCs w:val="18"/>
              </w:rPr>
              <w:t xml:space="preserve">Closed (in repo)</w:t>
            </w:r>
          </w:p>
        </w:tc>
      </w:tr>
      <w:tr>
        <w:tc>
          <w:tcPr>
            <w:tcW w:type="dxa" w:w="6600"/>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Automated unit/integration/migration/API tests pass</w:t>
            </w:r>
          </w:p>
        </w:tc>
        <w:tc>
          <w:tcPr>
            <w:tcW w:type="dxa" w:w="2426"/>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b/>
                <w:bCs/>
                <w:color w:val="2E7D32"/>
                <w:sz w:val="18"/>
                <w:szCs w:val="18"/>
              </w:rPr>
              <w:t xml:space="preserve">Closed (in repo)</w:t>
            </w:r>
          </w:p>
        </w:tc>
      </w:tr>
      <w:tr>
        <w:tc>
          <w:tcPr>
            <w:tcW w:type="dxa" w:w="6600"/>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Approval authN/authZ, replay protection, idempotency validated</w:t>
            </w:r>
          </w:p>
        </w:tc>
        <w:tc>
          <w:tcPr>
            <w:tcW w:type="dxa" w:w="2426"/>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b/>
                <w:bCs/>
                <w:color w:val="2E7D32"/>
                <w:sz w:val="18"/>
                <w:szCs w:val="18"/>
              </w:rPr>
              <w:t xml:space="preserve">Closed (in repo)</w:t>
            </w:r>
          </w:p>
        </w:tc>
      </w:tr>
      <w:tr>
        <w:tc>
          <w:tcPr>
            <w:tcW w:type="dxa" w:w="6600"/>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Versioned migrations replace runtime push + auto seeding</w:t>
            </w:r>
          </w:p>
        </w:tc>
        <w:tc>
          <w:tcPr>
            <w:tcW w:type="dxa" w:w="2426"/>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b/>
                <w:bCs/>
                <w:color w:val="2E7D32"/>
                <w:sz w:val="18"/>
                <w:szCs w:val="18"/>
              </w:rPr>
              <w:t xml:space="preserve">Closed (in repo)</w:t>
            </w:r>
          </w:p>
        </w:tc>
      </w:tr>
      <w:tr>
        <w:tc>
          <w:tcPr>
            <w:tcW w:type="dxa" w:w="6600"/>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Secrets externalised via approved enterprise controls</w:t>
            </w:r>
          </w:p>
        </w:tc>
        <w:tc>
          <w:tcPr>
            <w:tcW w:type="dxa" w:w="2426"/>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b/>
                <w:bCs/>
                <w:color w:val="B7791F"/>
                <w:sz w:val="18"/>
                <w:szCs w:val="18"/>
              </w:rPr>
              <w:t xml:space="preserve">Built + deploy config</w:t>
            </w:r>
          </w:p>
        </w:tc>
      </w:tr>
      <w:tr>
        <w:tc>
          <w:tcPr>
            <w:tcW w:type="dxa" w:w="6600"/>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Critical/high dependency, code, container &amp; IaC findings remediated</w:t>
            </w:r>
          </w:p>
        </w:tc>
        <w:tc>
          <w:tcPr>
            <w:tcW w:type="dxa" w:w="2426"/>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b/>
                <w:bCs/>
                <w:color w:val="B7791F"/>
                <w:sz w:val="18"/>
                <w:szCs w:val="18"/>
              </w:rPr>
              <w:t xml:space="preserve">Built + deploy config</w:t>
            </w:r>
          </w:p>
        </w:tc>
      </w:tr>
      <w:tr>
        <w:tc>
          <w:tcPr>
            <w:tcW w:type="dxa" w:w="6600"/>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Production-like staging, post-deploy smoke test &amp; rollback demonstrated</w:t>
            </w:r>
          </w:p>
        </w:tc>
        <w:tc>
          <w:tcPr>
            <w:tcW w:type="dxa" w:w="2426"/>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b/>
                <w:bCs/>
                <w:color w:val="B7791F"/>
                <w:sz w:val="18"/>
                <w:szCs w:val="18"/>
              </w:rPr>
              <w:t xml:space="preserve">Operational owner</w:t>
            </w:r>
          </w:p>
        </w:tc>
      </w:tr>
    </w:tbl>
    <w:p>
      <w:pPr>
        <w:pStyle w:val="Heading1"/>
        <w:spacing w:after="140" w:before="320"/>
      </w:pPr>
      <w:r>
        <w:rPr>
          <w:rFonts w:ascii="Calibri" w:cs="Calibri" w:eastAsia="Calibri" w:hAnsi="Calibri"/>
          <w:b/>
          <w:bCs/>
          <w:color w:val="23201A"/>
          <w:sz w:val="30"/>
          <w:szCs w:val="30"/>
        </w:rPr>
        <w:t xml:space="preserve">6.  What remains, and who owns it</w:t>
      </w:r>
    </w:p>
    <w:p>
      <w:pPr>
        <w:spacing w:after="130" w:before="0" w:line="278"/>
      </w:pPr>
      <w:r>
        <w:rPr>
          <w:rFonts w:ascii="Calibri" w:cs="Calibri" w:eastAsia="Calibri" w:hAnsi="Calibri"/>
          <w:color w:val="23201A"/>
          <w:sz w:val="20"/>
          <w:szCs w:val="20"/>
        </w:rPr>
        <w:t xml:space="preserve">These are deployment-time or assurance activities that cannot be completed inside the repository. None requires a code change; the code and pipeline are ready for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1713"/>
        <w:gridCol w:w="1713"/>
      </w:tblGrid>
      <w:tr>
        <w:trPr>
          <w:tblHeader/>
        </w:trPr>
        <w:tc>
          <w:tcPr>
            <w:tcW w:type="dxa" w:w="5600"/>
            <w:tcBorders>
              <w:top w:val="single" w:color="D9D2C2" w:sz="4"/>
              <w:left w:val="single" w:color="D9D2C2" w:sz="4"/>
              <w:bottom w:val="single" w:color="D9D2C2" w:sz="4"/>
              <w:right w:val="single" w:color="D9D2C2" w:sz="4"/>
            </w:tcBorders>
            <w:shd w:fill="2C2A22" w:color="auto" w:val="clear"/>
            <w:tcMar>
              <w:top w:type="dxa" w:w="65"/>
              <w:left w:type="dxa" w:w="90"/>
              <w:bottom w:type="dxa" w:w="65"/>
              <w:right w:type="dxa" w:w="90"/>
            </w:tcMar>
            <w:vAlign w:val="center"/>
          </w:tcPr>
          <w:p>
            <w:r>
              <w:rPr>
                <w:rFonts w:ascii="Calibri" w:cs="Calibri" w:eastAsia="Calibri" w:hAnsi="Calibri"/>
                <w:b/>
                <w:bCs/>
                <w:color w:val="FFFFFF"/>
                <w:sz w:val="18"/>
                <w:szCs w:val="18"/>
              </w:rPr>
              <w:t xml:space="preserve">Item</w:t>
            </w:r>
          </w:p>
        </w:tc>
        <w:tc>
          <w:tcPr>
            <w:tcW w:type="dxa" w:w="1713"/>
            <w:tcBorders>
              <w:top w:val="single" w:color="D9D2C2" w:sz="4"/>
              <w:left w:val="single" w:color="D9D2C2" w:sz="4"/>
              <w:bottom w:val="single" w:color="D9D2C2" w:sz="4"/>
              <w:right w:val="single" w:color="D9D2C2" w:sz="4"/>
            </w:tcBorders>
            <w:shd w:fill="2C2A22" w:color="auto" w:val="clear"/>
            <w:tcMar>
              <w:top w:type="dxa" w:w="65"/>
              <w:left w:type="dxa" w:w="90"/>
              <w:bottom w:type="dxa" w:w="65"/>
              <w:right w:type="dxa" w:w="90"/>
            </w:tcMar>
            <w:vAlign w:val="center"/>
          </w:tcPr>
          <w:p>
            <w:r>
              <w:rPr>
                <w:rFonts w:ascii="Calibri" w:cs="Calibri" w:eastAsia="Calibri" w:hAnsi="Calibri"/>
                <w:b/>
                <w:bCs/>
                <w:color w:val="FFFFFF"/>
                <w:sz w:val="18"/>
                <w:szCs w:val="18"/>
              </w:rPr>
              <w:t xml:space="preserve">Owner</w:t>
            </w:r>
          </w:p>
        </w:tc>
        <w:tc>
          <w:tcPr>
            <w:tcW w:type="dxa" w:w="1713"/>
            <w:tcBorders>
              <w:top w:val="single" w:color="D9D2C2" w:sz="4"/>
              <w:left w:val="single" w:color="D9D2C2" w:sz="4"/>
              <w:bottom w:val="single" w:color="D9D2C2" w:sz="4"/>
              <w:right w:val="single" w:color="D9D2C2" w:sz="4"/>
            </w:tcBorders>
            <w:shd w:fill="2C2A22" w:color="auto" w:val="clear"/>
            <w:tcMar>
              <w:top w:type="dxa" w:w="65"/>
              <w:left w:type="dxa" w:w="90"/>
              <w:bottom w:type="dxa" w:w="65"/>
              <w:right w:type="dxa" w:w="90"/>
            </w:tcMar>
            <w:vAlign w:val="center"/>
          </w:tcPr>
          <w:p>
            <w:r>
              <w:rPr>
                <w:rFonts w:ascii="Calibri" w:cs="Calibri" w:eastAsia="Calibri" w:hAnsi="Calibri"/>
                <w:b/>
                <w:bCs/>
                <w:color w:val="FFFFFF"/>
                <w:sz w:val="18"/>
                <w:szCs w:val="18"/>
              </w:rPr>
              <w:t xml:space="preserve">Gate</w:t>
            </w:r>
          </w:p>
        </w:tc>
      </w:tr>
      <w:tr>
        <w:tc>
          <w:tcPr>
            <w:tcW w:type="dxa" w:w="5600"/>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Independent penetration test + closure</w:t>
            </w:r>
          </w:p>
        </w:tc>
        <w:tc>
          <w:tcPr>
            <w:tcW w:type="dxa" w:w="1713"/>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Cyber</w:t>
            </w:r>
          </w:p>
        </w:tc>
        <w:tc>
          <w:tcPr>
            <w:tcW w:type="dxa" w:w="1713"/>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Pre-go-live</w:t>
            </w:r>
          </w:p>
        </w:tc>
      </w:tr>
      <w:tr>
        <w:tc>
          <w:tcPr>
            <w:tcW w:type="dxa" w:w="5600"/>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Backup restoration &amp; DR drill (RTO/RPO evidence)</w:t>
            </w:r>
          </w:p>
        </w:tc>
        <w:tc>
          <w:tcPr>
            <w:tcW w:type="dxa" w:w="1713"/>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IT</w:t>
            </w:r>
          </w:p>
        </w:tc>
        <w:tc>
          <w:tcPr>
            <w:tcW w:type="dxa" w:w="1713"/>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Gate 4</w:t>
            </w:r>
          </w:p>
        </w:tc>
      </w:tr>
      <w:tr>
        <w:tc>
          <w:tcPr>
            <w:tcW w:type="dxa" w:w="5600"/>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GitHub “production” environment reviewer list</w:t>
            </w:r>
          </w:p>
        </w:tc>
        <w:tc>
          <w:tcPr>
            <w:tcW w:type="dxa" w:w="1713"/>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IT</w:t>
            </w:r>
          </w:p>
        </w:tc>
        <w:tc>
          <w:tcPr>
            <w:tcW w:type="dxa" w:w="1713"/>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Gate 2</w:t>
            </w:r>
          </w:p>
        </w:tc>
      </w:tr>
      <w:tr>
        <w:tc>
          <w:tcPr>
            <w:tcW w:type="dxa" w:w="5600"/>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Key Vault / managed identity provisioning + secret rotation</w:t>
            </w:r>
          </w:p>
        </w:tc>
        <w:tc>
          <w:tcPr>
            <w:tcW w:type="dxa" w:w="1713"/>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IT</w:t>
            </w:r>
          </w:p>
        </w:tc>
        <w:tc>
          <w:tcPr>
            <w:tcW w:type="dxa" w:w="1713"/>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Gate 2</w:t>
            </w:r>
          </w:p>
        </w:tc>
      </w:tr>
      <w:tr>
        <w:tc>
          <w:tcPr>
            <w:tcW w:type="dxa" w:w="5600"/>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Provision the migration Container Apps job</w:t>
            </w:r>
          </w:p>
        </w:tc>
        <w:tc>
          <w:tcPr>
            <w:tcW w:type="dxa" w:w="1713"/>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IT</w:t>
            </w:r>
          </w:p>
        </w:tc>
        <w:tc>
          <w:tcPr>
            <w:tcW w:type="dxa" w:w="1713"/>
            <w:tcBorders>
              <w:top w:val="single" w:color="D9D2C2" w:sz="4"/>
              <w:left w:val="single" w:color="D9D2C2" w:sz="4"/>
              <w:bottom w:val="single" w:color="D9D2C2" w:sz="4"/>
              <w:right w:val="single" w:color="D9D2C2" w:sz="4"/>
            </w:tcBorders>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Gate 3</w:t>
            </w:r>
          </w:p>
        </w:tc>
      </w:tr>
      <w:tr>
        <w:tc>
          <w:tcPr>
            <w:tcW w:type="dxa" w:w="5600"/>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Central monitoring/alerting wiring (App Insights/OTel)</w:t>
            </w:r>
          </w:p>
        </w:tc>
        <w:tc>
          <w:tcPr>
            <w:tcW w:type="dxa" w:w="1713"/>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IT</w:t>
            </w:r>
          </w:p>
        </w:tc>
        <w:tc>
          <w:tcPr>
            <w:tcW w:type="dxa" w:w="1713"/>
            <w:tcBorders>
              <w:top w:val="single" w:color="D9D2C2" w:sz="4"/>
              <w:left w:val="single" w:color="D9D2C2" w:sz="4"/>
              <w:bottom w:val="single" w:color="D9D2C2" w:sz="4"/>
              <w:right w:val="single" w:color="D9D2C2" w:sz="4"/>
            </w:tcBorders>
            <w:shd w:fill="FAF7EF" w:color="auto" w:val="clear"/>
            <w:tcMar>
              <w:top w:type="dxa" w:w="55"/>
              <w:left w:type="dxa" w:w="90"/>
              <w:bottom w:type="dxa" w:w="55"/>
              <w:right w:type="dxa" w:w="90"/>
            </w:tcMar>
            <w:vAlign w:val="center"/>
          </w:tcPr>
          <w:p>
            <w:pPr>
              <w:spacing w:after="0" w:line="248"/>
            </w:pPr>
            <w:r>
              <w:rPr>
                <w:rFonts w:ascii="Calibri" w:cs="Calibri" w:eastAsia="Calibri" w:hAnsi="Calibri"/>
                <w:color w:val="23201A"/>
                <w:sz w:val="18"/>
                <w:szCs w:val="18"/>
              </w:rPr>
              <w:t xml:space="preserve">Gate 4</w:t>
            </w:r>
          </w:p>
        </w:tc>
      </w:tr>
    </w:tbl>
    <w:p>
      <w:pPr>
        <w:pStyle w:val="Heading1"/>
        <w:spacing w:after="140" w:before="320"/>
      </w:pPr>
      <w:r>
        <w:rPr>
          <w:rFonts w:ascii="Calibri" w:cs="Calibri" w:eastAsia="Calibri" w:hAnsi="Calibri"/>
          <w:b/>
          <w:bCs/>
          <w:color w:val="23201A"/>
          <w:sz w:val="30"/>
          <w:szCs w:val="30"/>
        </w:rPr>
        <w:t xml:space="preserve">7.  Conclusion</w:t>
      </w:r>
    </w:p>
    <w:p>
      <w:pPr>
        <w:spacing w:after="130" w:before="0" w:line="278"/>
      </w:pPr>
      <w:r>
        <w:rPr>
          <w:rFonts w:ascii="Calibri" w:cs="Calibri" w:eastAsia="Calibri" w:hAnsi="Calibri"/>
          <w:color w:val="23201A"/>
          <w:sz w:val="20"/>
          <w:szCs w:val="20"/>
        </w:rPr>
        <w:t xml:space="preserve">The note’s Priority-0 controls were the gate to production, and they are now closed in code and evidenced by an automated test suite and runtime checks, with the pipeline configured to keep them closed. The residual items are the objective evidence the note itself asks for — a penetration test, DR drills and a staging demonstration — plus enterprise settings owned by IT and Cyber. With those recorded, Concord meets the note’s production exit criteria.</w:t>
      </w:r>
    </w:p>
    <w:p>
      <w:r>
        <w:br w:type="page"/>
      </w:r>
    </w:p>
    <w:p>
      <w:pPr>
        <w:pStyle w:val="Heading1"/>
        <w:spacing w:after="140" w:before="320"/>
      </w:pPr>
      <w:r>
        <w:rPr>
          <w:rFonts w:ascii="Calibri" w:cs="Calibri" w:eastAsia="Calibri" w:hAnsi="Calibri"/>
          <w:b/>
          <w:bCs/>
          <w:color w:val="23201A"/>
          <w:sz w:val="30"/>
          <w:szCs w:val="30"/>
        </w:rPr>
        <w:t xml:space="preserve">Appendix — verification evidence</w:t>
      </w:r>
    </w:p>
    <w:p>
      <w:pPr>
        <w:pStyle w:val="Heading2"/>
        <w:spacing w:after="90" w:before="220"/>
      </w:pPr>
      <w:r>
        <w:rPr>
          <w:rFonts w:ascii="Calibri" w:cs="Calibri" w:eastAsia="Calibri" w:hAnsi="Calibri"/>
          <w:b/>
          <w:bCs/>
          <w:color w:val="9A7B2E"/>
          <w:sz w:val="22"/>
          <w:szCs w:val="22"/>
        </w:rPr>
        <w:t xml:space="preserve">Automated test suite (17 suites · 129 tests · all passing)</w:t>
      </w:r>
    </w:p>
    <w:p>
      <w:pPr>
        <w:pStyle w:val="ListParagraph"/>
        <w:numPr>
          <w:ilvl w:val="0"/>
          <w:numId w:val="2"/>
        </w:numPr>
        <w:spacing w:after="60" w:line="270"/>
      </w:pPr>
      <w:r>
        <w:rPr>
          <w:rFonts w:ascii="Calibri" w:cs="Calibri" w:eastAsia="Calibri" w:hAnsi="Calibri"/>
          <w:color w:val="23201A"/>
          <w:sz w:val="20"/>
          <w:szCs w:val="20"/>
        </w:rPr>
        <w:t xml:space="preserve">roles.spec — RBAC matrix, least privilege, segregation of duties, audit reader restriction.</w:t>
      </w:r>
    </w:p>
    <w:p>
      <w:pPr>
        <w:pStyle w:val="ListParagraph"/>
        <w:numPr>
          <w:ilvl w:val="0"/>
          <w:numId w:val="2"/>
        </w:numPr>
        <w:spacing w:after="60" w:line="270"/>
      </w:pPr>
      <w:r>
        <w:rPr>
          <w:rFonts w:ascii="Calibri" w:cs="Calibri" w:eastAsia="Calibri" w:hAnsi="Calibri"/>
          <w:color w:val="23201A"/>
          <w:sz w:val="20"/>
          <w:szCs w:val="20"/>
        </w:rPr>
        <w:t xml:space="preserve">audit.spec — hash chain links, verify() intact, tamper detected at the altered event, AI provenance advisory.</w:t>
      </w:r>
    </w:p>
    <w:p>
      <w:pPr>
        <w:pStyle w:val="ListParagraph"/>
        <w:numPr>
          <w:ilvl w:val="0"/>
          <w:numId w:val="2"/>
        </w:numPr>
        <w:spacing w:after="60" w:line="270"/>
      </w:pPr>
      <w:r>
        <w:rPr>
          <w:rFonts w:ascii="Calibri" w:cs="Calibri" w:eastAsia="Calibri" w:hAnsi="Calibri"/>
          <w:color w:val="23201A"/>
          <w:sz w:val="20"/>
          <w:szCs w:val="20"/>
        </w:rPr>
        <w:t xml:space="preserve">file-security.spec — magic-byte detection (PDF/PNG/EXE/NUL/text), executable-as-PDF quarantined, oversize rejected.</w:t>
      </w:r>
    </w:p>
    <w:p>
      <w:pPr>
        <w:pStyle w:val="ListParagraph"/>
        <w:numPr>
          <w:ilvl w:val="0"/>
          <w:numId w:val="2"/>
        </w:numPr>
        <w:spacing w:after="60" w:line="270"/>
      </w:pPr>
      <w:r>
        <w:rPr>
          <w:rFonts w:ascii="Calibri" w:cs="Calibri" w:eastAsia="Calibri" w:hAnsi="Calibri"/>
          <w:color w:val="23201A"/>
          <w:sz w:val="20"/>
          <w:szCs w:val="20"/>
        </w:rPr>
        <w:t xml:space="preserve">download-link.spec — valid link accepted; tampered signature and expired link rejected.</w:t>
      </w:r>
    </w:p>
    <w:p>
      <w:pPr>
        <w:pStyle w:val="ListParagraph"/>
        <w:numPr>
          <w:ilvl w:val="0"/>
          <w:numId w:val="2"/>
        </w:numPr>
        <w:spacing w:after="60" w:line="270"/>
      </w:pPr>
      <w:r>
        <w:rPr>
          <w:rFonts w:ascii="Calibri" w:cs="Calibri" w:eastAsia="Calibri" w:hAnsi="Calibri"/>
          <w:color w:val="23201A"/>
          <w:sz w:val="20"/>
          <w:szCs w:val="20"/>
        </w:rPr>
        <w:t xml:space="preserve">ai-guardrails.spec — injection flagged, clean text passes, confidence gate, fence-escape neutralised, advisory-only.</w:t>
      </w:r>
    </w:p>
    <w:p>
      <w:pPr>
        <w:pStyle w:val="ListParagraph"/>
        <w:numPr>
          <w:ilvl w:val="0"/>
          <w:numId w:val="2"/>
        </w:numPr>
        <w:spacing w:after="60" w:line="270"/>
      </w:pPr>
      <w:r>
        <w:rPr>
          <w:rFonts w:ascii="Calibri" w:cs="Calibri" w:eastAsia="Calibri" w:hAnsi="Calibri"/>
          <w:color w:val="23201A"/>
          <w:sz w:val="20"/>
          <w:szCs w:val="20"/>
        </w:rPr>
        <w:t xml:space="preserve">security-config.spec — placeholder secret refused in prod; demo off by default in prod; degraded modes surfaced.</w:t>
      </w:r>
    </w:p>
    <w:p>
      <w:pPr>
        <w:pStyle w:val="ListParagraph"/>
        <w:numPr>
          <w:ilvl w:val="0"/>
          <w:numId w:val="2"/>
        </w:numPr>
        <w:spacing w:after="60" w:line="270"/>
      </w:pPr>
      <w:r>
        <w:rPr>
          <w:rFonts w:ascii="Calibri" w:cs="Calibri" w:eastAsia="Calibri" w:hAnsi="Calibri"/>
          <w:color w:val="23201A"/>
          <w:sz w:val="20"/>
          <w:szCs w:val="20"/>
        </w:rPr>
        <w:t xml:space="preserve">jobs.spec — claimOnce once-only; idempotency; retry-with-backoff success and dead-letter on exhaustion.</w:t>
      </w:r>
    </w:p>
    <w:p>
      <w:pPr>
        <w:pStyle w:val="ListParagraph"/>
        <w:numPr>
          <w:ilvl w:val="0"/>
          <w:numId w:val="2"/>
        </w:numPr>
        <w:spacing w:after="60" w:line="270"/>
      </w:pPr>
      <w:r>
        <w:rPr>
          <w:rFonts w:ascii="Calibri" w:cs="Calibri" w:eastAsia="Calibri" w:hAnsi="Calibri"/>
          <w:color w:val="23201A"/>
          <w:sz w:val="20"/>
          <w:szCs w:val="20"/>
        </w:rPr>
        <w:t xml:space="preserve">app.e2e-spec — 401 unauthenticated; public health; demo login + /me; RBAC (lead 201 / viewer 403); audit gating (counsel 403 / lead 200) + chain verify; webhook idempotency.</w:t>
      </w:r>
    </w:p>
    <w:p>
      <w:pPr>
        <w:pStyle w:val="Heading2"/>
        <w:spacing w:after="90" w:before="220"/>
      </w:pPr>
      <w:r>
        <w:rPr>
          <w:rFonts w:ascii="Calibri" w:cs="Calibri" w:eastAsia="Calibri" w:hAnsi="Calibri"/>
          <w:b/>
          <w:bCs/>
          <w:color w:val="9A7B2E"/>
          <w:sz w:val="22"/>
          <w:szCs w:val="22"/>
        </w:rPr>
        <w:t xml:space="preserve">Runtime smoke tests</w:t>
      </w:r>
    </w:p>
    <w:p>
      <w:pPr>
        <w:pStyle w:val="ListParagraph"/>
        <w:numPr>
          <w:ilvl w:val="0"/>
          <w:numId w:val="2"/>
        </w:numPr>
        <w:spacing w:after="60" w:line="270"/>
      </w:pPr>
      <w:r>
        <w:rPr>
          <w:rFonts w:ascii="Calibri" w:cs="Calibri" w:eastAsia="Calibri" w:hAnsi="Calibri"/>
          <w:color w:val="23201A"/>
          <w:sz w:val="20"/>
          <w:szCs w:val="20"/>
        </w:rPr>
        <w:t xml:space="preserve">Build: @concord/shared, API (tsc) and Web (next build) all green.</w:t>
      </w:r>
    </w:p>
    <w:p>
      <w:pPr>
        <w:pStyle w:val="ListParagraph"/>
        <w:numPr>
          <w:ilvl w:val="0"/>
          <w:numId w:val="2"/>
        </w:numPr>
        <w:spacing w:after="60" w:line="270"/>
      </w:pPr>
      <w:r>
        <w:rPr>
          <w:rFonts w:ascii="Calibri" w:cs="Calibri" w:eastAsia="Calibri" w:hAnsi="Calibri"/>
          <w:color w:val="23201A"/>
          <w:sz w:val="20"/>
          <w:szCs w:val="20"/>
        </w:rPr>
        <w:t xml:space="preserve">/api/health → 200 (public); /api/health/ready → 200 with active degraded modes listed.</w:t>
      </w:r>
    </w:p>
    <w:p>
      <w:pPr>
        <w:pStyle w:val="ListParagraph"/>
        <w:numPr>
          <w:ilvl w:val="0"/>
          <w:numId w:val="2"/>
        </w:numPr>
        <w:spacing w:after="60" w:line="270"/>
      </w:pPr>
      <w:r>
        <w:rPr>
          <w:rFonts w:ascii="Calibri" w:cs="Calibri" w:eastAsia="Calibri" w:hAnsi="Calibri"/>
          <w:color w:val="23201A"/>
          <w:sz w:val="20"/>
          <w:szCs w:val="20"/>
        </w:rPr>
        <w:t xml:space="preserve">Multipart upload via Multer 2.x processed successfully (content-security applied).</w:t>
      </w:r>
    </w:p>
    <w:p>
      <w:pPr>
        <w:pStyle w:val="ListParagraph"/>
        <w:numPr>
          <w:ilvl w:val="0"/>
          <w:numId w:val="2"/>
        </w:numPr>
        <w:spacing w:after="60" w:line="270"/>
      </w:pPr>
      <w:r>
        <w:rPr>
          <w:rFonts w:ascii="Calibri" w:cs="Calibri" w:eastAsia="Calibri" w:hAnsi="Calibri"/>
          <w:color w:val="23201A"/>
          <w:sz w:val="20"/>
          <w:szCs w:val="20"/>
        </w:rPr>
        <w:t xml:space="preserve">Security headers present (X-Request-Id correlation, X-Content-Type-Options, X-Frame-Options).</w:t>
      </w:r>
    </w:p>
    <w:p>
      <w:pPr>
        <w:pStyle w:val="ListParagraph"/>
        <w:numPr>
          <w:ilvl w:val="0"/>
          <w:numId w:val="2"/>
        </w:numPr>
        <w:spacing w:after="60" w:line="270"/>
      </w:pPr>
      <w:r>
        <w:rPr>
          <w:rFonts w:ascii="Calibri" w:cs="Calibri" w:eastAsia="Calibri" w:hAnsi="Calibri"/>
          <w:color w:val="23201A"/>
          <w:sz w:val="20"/>
          <w:szCs w:val="20"/>
        </w:rPr>
        <w:t xml:space="preserve">Approval callback with enforcement on and no token → 401, recorded as approval.denied in the audit trail.</w:t>
      </w:r>
    </w:p>
    <w:p>
      <w:pPr>
        <w:pStyle w:val="ListParagraph"/>
        <w:numPr>
          <w:ilvl w:val="0"/>
          <w:numId w:val="2"/>
        </w:numPr>
        <w:spacing w:after="60" w:line="270"/>
      </w:pPr>
      <w:r>
        <w:rPr>
          <w:rFonts w:ascii="Calibri" w:cs="Calibri" w:eastAsia="Calibri" w:hAnsi="Calibri"/>
          <w:color w:val="23201A"/>
          <w:sz w:val="20"/>
          <w:szCs w:val="20"/>
        </w:rPr>
        <w:t xml:space="preserve">Production boot with a placeholder AUTH_JWT_SECRET → refused to start.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353"/>
        <w:sz w:val="15"/>
        <w:szCs w:val="15"/>
      </w:rPr>
      <w:t xml:space="preserve">Confidential — Lakmē Lever Private Limited   ·   Page </w:t>
    </w:r>
    <w:r>
      <w:rPr>
        <w:rFonts w:ascii="Calibri" w:cs="Calibri" w:eastAsia="Calibri" w:hAnsi="Calibri"/>
        <w:color w:val="6B635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6353"/>
        <w:sz w:val="15"/>
        <w:szCs w:val="15"/>
      </w:rPr>
      <w:t xml:space="preserve">Concord CLM · Production-Readiness Remediation Response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9A7B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0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Concord CLM — Production-Readiness Remediation Response</dc:title>
  <dc:creator>Lakmē Lever — Legal</dc:creator>
  <cp:lastModifiedBy>Un-named</cp:lastModifiedBy>
  <cp:revision>1</cp:revision>
  <dcterms:created xsi:type="dcterms:W3CDTF">2026-09-04T10:23:28.025Z</dcterms:created>
  <dcterms:modified xsi:type="dcterms:W3CDTF">2026-09-04T10:23:28.025Z</dcterms:modified>
</cp:coreProperties>
</file>

<file path=docProps/custom.xml><?xml version="1.0" encoding="utf-8"?>
<Properties xmlns="http://schemas.openxmlformats.org/officeDocument/2006/custom-properties" xmlns:vt="http://schemas.openxmlformats.org/officeDocument/2006/docPropsVTypes"/>
</file>