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E50D7E"/>
          <w:sz w:val="32"/>
        </w:rPr>
        <w:t>MY GERMAN DÖNER</w:t>
        <w:br/>
      </w:r>
      <w:r>
        <w:rPr>
          <w:rFonts w:ascii="Arial" w:hAnsi="Arial"/>
          <w:b/>
          <w:color w:val="1F1F21"/>
          <w:sz w:val="27"/>
        </w:rPr>
        <w:t>MASTER SOFTWARE SERVICES AGREEMENT (MSA)</w:t>
      </w:r>
    </w:p>
    <w:p>
      <w:pPr>
        <w:spacing w:before="40" w:after="280"/>
        <w:jc w:val="center"/>
      </w:pPr>
      <w:r>
        <w:rPr>
          <w:rFonts w:ascii="Arial" w:hAnsi="Arial"/>
          <w:i/>
          <w:color w:val="646469"/>
          <w:sz w:val="19"/>
        </w:rPr>
        <w:t>Governed by the Contract Law of the Republic of Cyprus (Cap. 149)</w:t>
      </w:r>
    </w:p>
    <w:p>
      <w:pPr>
        <w:spacing w:before="0" w:after="240"/>
      </w:pPr>
      <w:r>
        <w:rPr>
          <w:color w:val="E50D7E"/>
        </w:rPr>
        <w:t>――――――――――――――――――――――――――――――――――――――――――――――――――――――――――</w:t>
      </w:r>
    </w:p>
    <w:p>
      <w:pPr>
        <w:spacing w:before="0" w:after="120" w:line="276" w:lineRule="auto"/>
      </w:pPr>
      <w:r>
        <w:rPr>
          <w:rFonts w:ascii="Arial" w:hAnsi="Arial"/>
          <w:i w:val="0"/>
          <w:color w:val="1F1F21"/>
          <w:sz w:val="19"/>
        </w:rPr>
        <w:t>This MASTER SOFTWARE SERVICES AGREEMENT (the "Agreement") is made and entered into as of the 24th day of August, 2026 (the "Effective Date"), by and between:</w:t>
      </w:r>
    </w:p>
    <w:p>
      <w:pPr>
        <w:spacing w:before="0" w:after="120" w:line="276" w:lineRule="auto"/>
      </w:pPr>
      <w:r>
        <w:rPr>
          <w:rFonts w:ascii="Arial" w:hAnsi="Arial"/>
          <w:b/>
          <w:color w:val="1F1F21"/>
          <w:sz w:val="19"/>
        </w:rPr>
        <w:t xml:space="preserve">1. CONTRACTOR: </w:t>
      </w:r>
      <w:r>
        <w:rPr>
          <w:rFonts w:ascii="Arial" w:hAnsi="Arial"/>
          <w:i w:val="0"/>
          <w:color w:val="1F1F21"/>
          <w:sz w:val="19"/>
        </w:rPr>
        <w:t>MD. SAIED SAGAR, an independent Systems Architect and Lead Software Engineer, having his professional address in Paphos, Republic of Cyprus (Email: saiedsagar1@gmail.com, Tel: +357 94 106975) (hereinafter referred to as the "Contractor"); and</w:t>
      </w:r>
    </w:p>
    <w:p>
      <w:pPr>
        <w:spacing w:before="0" w:after="120" w:line="276" w:lineRule="auto"/>
      </w:pPr>
      <w:r>
        <w:rPr>
          <w:rFonts w:ascii="Arial" w:hAnsi="Arial"/>
          <w:b/>
          <w:color w:val="1F1F21"/>
          <w:sz w:val="19"/>
        </w:rPr>
        <w:t xml:space="preserve">2. CLIENT: </w:t>
      </w:r>
      <w:r>
        <w:rPr>
          <w:rFonts w:ascii="Arial" w:hAnsi="Arial"/>
          <w:i w:val="0"/>
          <w:color w:val="1F1F21"/>
          <w:sz w:val="19"/>
        </w:rPr>
        <w:t>MY GERMAN DÖNER TRADING LTD (and/or its operating restaurant partnerships), duly incorporated and operating under the laws of the Republic of Cyprus, having its principal restaurant at Pavlides Court, Agíou Stefánou Street 134, 8260 Emba, Paphos, and its branch at Limassol Marina Commercial Promenade, Limassol, Cyprus, represented by its Co-Founders and Managing Directors, RICO and OLIVER (hereinafter referred to as the "Client").</w:t>
      </w:r>
    </w:p>
    <w:p>
      <w:pPr>
        <w:spacing w:before="280" w:after="80"/>
      </w:pPr>
      <w:r>
        <w:rPr>
          <w:rFonts w:ascii="Arial" w:hAnsi="Arial"/>
          <w:b/>
          <w:color w:val="1F1F21"/>
          <w:sz w:val="22"/>
        </w:rPr>
        <w:t>RECITALS</w:t>
      </w:r>
    </w:p>
    <w:p>
      <w:pPr>
        <w:spacing w:before="0" w:after="120" w:line="276" w:lineRule="auto"/>
      </w:pPr>
      <w:r>
        <w:rPr>
          <w:rFonts w:ascii="Arial" w:hAnsi="Arial"/>
          <w:i w:val="0"/>
          <w:color w:val="1F1F21"/>
          <w:sz w:val="19"/>
        </w:rPr>
        <w:t>WHEREAS, the Client operates fast-casual restaurant enterprises in Cyprus under the brand name 'MY GERMAN DÖNER' and requires a custom, hybrid on-premise and cloud connected operations control suite structured across 5 Integrated Systems (Public Ordering, 4x 4K Digital Signage, FOH Cashier Till, Dual-Station Kitchen Routing, and Master BOH Dashboard);</w:t>
      </w:r>
    </w:p>
    <w:p>
      <w:pPr>
        <w:spacing w:before="0" w:after="120" w:line="276" w:lineRule="auto"/>
      </w:pPr>
      <w:r>
        <w:rPr>
          <w:rFonts w:ascii="Arial" w:hAnsi="Arial"/>
          <w:i w:val="0"/>
          <w:color w:val="1F1F21"/>
          <w:sz w:val="19"/>
        </w:rPr>
        <w:t>WHEREAS, the Contractor possesses specialized expertise in enterprise software architecture, full-stack systems engineering, real-time event broadcasting, local network TCP socket engineering, and hybrid cloud/edge deployment; and</w:t>
      </w:r>
    </w:p>
    <w:p>
      <w:pPr>
        <w:spacing w:before="0" w:after="120" w:line="276" w:lineRule="auto"/>
      </w:pPr>
      <w:r>
        <w:rPr>
          <w:rFonts w:ascii="Arial" w:hAnsi="Arial"/>
          <w:i w:val="0"/>
          <w:color w:val="1F1F21"/>
          <w:sz w:val="19"/>
        </w:rPr>
        <w:t>WHEREAS, the Client wishes to engage the Contractor as the sole systems architect and lead implementation engineer, and the Contractor agrees to perform such services on the terms set forth herein.</w:t>
      </w:r>
    </w:p>
    <w:p>
      <w:pPr>
        <w:spacing w:before="280" w:after="80"/>
      </w:pPr>
      <w:r>
        <w:rPr>
          <w:rFonts w:ascii="Arial" w:hAnsi="Arial"/>
          <w:b/>
          <w:color w:val="1F1F21"/>
          <w:sz w:val="22"/>
        </w:rPr>
        <w:t>1. DEFINITIONS &amp; INTERPRETATION</w:t>
      </w:r>
    </w:p>
    <w:p>
      <w:pPr>
        <w:pStyle w:val="ListBullet"/>
        <w:spacing w:before="0" w:after="60" w:line="276" w:lineRule="auto"/>
      </w:pPr>
      <w:r>
        <w:rPr>
          <w:rFonts w:ascii="Arial" w:hAnsi="Arial"/>
          <w:b/>
          <w:color w:val="1F1F21"/>
          <w:sz w:val="19"/>
        </w:rPr>
        <w:t xml:space="preserve">"Applicable Law": </w:t>
      </w:r>
      <w:r>
        <w:rPr>
          <w:rFonts w:ascii="Arial" w:hAnsi="Arial"/>
          <w:color w:val="1F1F21"/>
          <w:sz w:val="19"/>
        </w:rPr>
        <w:t>the Contract Law of Cyprus (Cap. 149), the Processing of Personal Data Law of 2018 (Law 125(I)/2018), the Cyprus Value Added Tax Law (Law 95(I)/2000 as amended), and applicable EU Regulations.</w:t>
      </w:r>
    </w:p>
    <w:p>
      <w:pPr>
        <w:pStyle w:val="ListBullet"/>
        <w:spacing w:before="0" w:after="60" w:line="276" w:lineRule="auto"/>
      </w:pPr>
      <w:r>
        <w:rPr>
          <w:rFonts w:ascii="Arial" w:hAnsi="Arial"/>
          <w:b/>
          <w:color w:val="1F1F21"/>
          <w:sz w:val="19"/>
        </w:rPr>
        <w:t xml:space="preserve">"Hybrid Compute Model": </w:t>
      </w:r>
      <w:r>
        <w:rPr>
          <w:rFonts w:ascii="Arial" w:hAnsi="Arial"/>
          <w:color w:val="1F1F21"/>
          <w:sz w:val="19"/>
        </w:rPr>
        <w:t>the architecture combining an on-premise Windows server PC at static LAN IP 192.168.1.50 (local SQLite WAL, SSE broker, TCP:9100 print spooler with 100% offline autonomy) with a cloud Linux VPS (public web app, central sync PostgreSQL, remote BI reporting).</w:t>
      </w:r>
    </w:p>
    <w:p>
      <w:pPr>
        <w:pStyle w:val="ListBullet"/>
        <w:spacing w:before="0" w:after="60" w:line="276" w:lineRule="auto"/>
      </w:pPr>
      <w:r>
        <w:rPr>
          <w:rFonts w:ascii="Arial" w:hAnsi="Arial"/>
          <w:b/>
          <w:color w:val="1F1F21"/>
          <w:sz w:val="19"/>
        </w:rPr>
        <w:t xml:space="preserve">"Deliverables": </w:t>
      </w:r>
      <w:r>
        <w:rPr>
          <w:rFonts w:ascii="Arial" w:hAnsi="Arial"/>
          <w:color w:val="1F1F21"/>
          <w:sz w:val="19"/>
        </w:rPr>
        <w:t>all custom software code, modules, user interfaces, database schemas, APIs, and documentation created for the Client under a Statement of Work.</w:t>
      </w:r>
    </w:p>
    <w:p>
      <w:pPr>
        <w:pStyle w:val="ListBullet"/>
        <w:spacing w:before="0" w:after="60" w:line="276" w:lineRule="auto"/>
      </w:pPr>
      <w:r>
        <w:rPr>
          <w:rFonts w:ascii="Arial" w:hAnsi="Arial"/>
          <w:b/>
          <w:color w:val="1F1F21"/>
          <w:sz w:val="19"/>
        </w:rPr>
        <w:t xml:space="preserve">"Background IP": </w:t>
      </w:r>
      <w:r>
        <w:rPr>
          <w:rFonts w:ascii="Arial" w:hAnsi="Arial"/>
          <w:color w:val="1F1F21"/>
          <w:sz w:val="19"/>
        </w:rPr>
        <w:t>pre-existing libraries, algorithms, generic tools, frameworks, and know-how owned or developed by the Contractor prior to or independently of this Agreement.</w:t>
      </w:r>
    </w:p>
    <w:p>
      <w:pPr>
        <w:pStyle w:val="ListBullet"/>
        <w:spacing w:before="0" w:after="60" w:line="276" w:lineRule="auto"/>
      </w:pPr>
      <w:r>
        <w:rPr>
          <w:rFonts w:ascii="Arial" w:hAnsi="Arial"/>
          <w:b/>
          <w:color w:val="1F1F21"/>
          <w:sz w:val="19"/>
        </w:rPr>
        <w:t xml:space="preserve">"Foreground IP": </w:t>
      </w:r>
      <w:r>
        <w:rPr>
          <w:rFonts w:ascii="Arial" w:hAnsi="Arial"/>
          <w:color w:val="1F1F21"/>
          <w:sz w:val="19"/>
        </w:rPr>
        <w:t>all custom intellectual property specifically authored for the Client under this Agreement.</w:t>
      </w:r>
    </w:p>
    <w:p>
      <w:pPr>
        <w:pStyle w:val="ListBullet"/>
        <w:spacing w:before="0" w:after="60" w:line="276" w:lineRule="auto"/>
      </w:pPr>
      <w:r>
        <w:rPr>
          <w:rFonts w:ascii="Arial" w:hAnsi="Arial"/>
          <w:b/>
          <w:color w:val="1F1F21"/>
          <w:sz w:val="19"/>
        </w:rPr>
        <w:t xml:space="preserve">"Statement of Work (SOW)": </w:t>
      </w:r>
      <w:r>
        <w:rPr>
          <w:rFonts w:ascii="Arial" w:hAnsi="Arial"/>
          <w:color w:val="1F1F21"/>
          <w:sz w:val="19"/>
        </w:rPr>
        <w:t>a detailed implementation and milestone agreement executed under this MSA (Schedule A).</w:t>
      </w:r>
    </w:p>
    <w:p>
      <w:pPr>
        <w:spacing w:before="280" w:after="80"/>
      </w:pPr>
      <w:r>
        <w:rPr>
          <w:rFonts w:ascii="Arial" w:hAnsi="Arial"/>
          <w:b/>
          <w:color w:val="1F1F21"/>
          <w:sz w:val="22"/>
        </w:rPr>
        <w:t>2. SCOPE OF SERVICES &amp; SOLE LEAD DEVELOPER</w:t>
      </w:r>
    </w:p>
    <w:p>
      <w:pPr>
        <w:spacing w:before="0" w:after="120" w:line="276" w:lineRule="auto"/>
      </w:pPr>
      <w:r>
        <w:rPr>
          <w:rFonts w:ascii="Arial" w:hAnsi="Arial"/>
          <w:i w:val="0"/>
          <w:color w:val="1F1F21"/>
          <w:sz w:val="19"/>
        </w:rPr>
        <w:t>The Client engages the Contractor, and the Contractor agrees, to design, build, test, integrate, deploy, and maintain the MY GERMAN DÖNER Operations Control Suite as set forth in Schedule A (SOW Revision 3.1). The Parties agree that MD. SAIED SAGAR is the sole implementation engineer and technical authority on this project.</w:t>
      </w:r>
    </w:p>
    <w:p>
      <w:pPr>
        <w:spacing w:before="280" w:after="80"/>
      </w:pPr>
      <w:r>
        <w:rPr>
          <w:rFonts w:ascii="Arial" w:hAnsi="Arial"/>
          <w:b/>
          <w:color w:val="1F1F21"/>
          <w:sz w:val="22"/>
        </w:rPr>
        <w:t>3. FEES, ADVANCE PAYMENT, SETTLEMENT METHODS &amp; SCHEDULE</w:t>
      </w:r>
    </w:p>
    <w:p>
      <w:pPr>
        <w:spacing w:before="0" w:after="120" w:line="276" w:lineRule="auto"/>
      </w:pPr>
      <w:r>
        <w:rPr>
          <w:rFonts w:ascii="Arial" w:hAnsi="Arial"/>
          <w:b/>
          <w:color w:val="1F1F21"/>
          <w:sz w:val="19"/>
        </w:rPr>
        <w:t xml:space="preserve">3.1 Fixed Contract Price: </w:t>
      </w:r>
      <w:r>
        <w:rPr>
          <w:rFonts w:ascii="Arial" w:hAnsi="Arial"/>
          <w:i w:val="0"/>
          <w:color w:val="1F1F21"/>
          <w:sz w:val="19"/>
        </w:rPr>
        <w:t>The total fixed contract fee for the development, phased rollout, and 12-month comprehensive maintenance of the system is €12,000.00 EUR (Twelve Thousand Euros).</w:t>
      </w:r>
    </w:p>
    <w:p>
      <w:pPr>
        <w:spacing w:before="0" w:after="120" w:line="276" w:lineRule="auto"/>
      </w:pPr>
      <w:r>
        <w:rPr>
          <w:rFonts w:ascii="Arial" w:hAnsi="Arial"/>
          <w:b/>
          <w:color w:val="1F1F21"/>
          <w:sz w:val="19"/>
        </w:rPr>
        <w:t xml:space="preserve">3.2 Advance Deposit: </w:t>
      </w:r>
      <w:r>
        <w:rPr>
          <w:rFonts w:ascii="Arial" w:hAnsi="Arial"/>
          <w:i w:val="0"/>
          <w:color w:val="1F1F21"/>
          <w:sz w:val="19"/>
        </w:rPr>
        <w:t>The Client shall pay an initial upfront advance deposit of €1,000.00 EUR upon execution of this Agreement prior to development kickoff.</w:t>
      </w:r>
    </w:p>
    <w:p>
      <w:pPr>
        <w:spacing w:before="0" w:after="120" w:line="276" w:lineRule="auto"/>
      </w:pPr>
      <w:r>
        <w:rPr>
          <w:rFonts w:ascii="Arial" w:hAnsi="Arial"/>
          <w:b/>
          <w:color w:val="1F1F21"/>
          <w:sz w:val="19"/>
        </w:rPr>
        <w:t xml:space="preserve">3.3 Monthly Installments: </w:t>
      </w:r>
      <w:r>
        <w:rPr>
          <w:rFonts w:ascii="Arial" w:hAnsi="Arial"/>
          <w:i w:val="0"/>
          <w:color w:val="1F1F21"/>
          <w:sz w:val="19"/>
        </w:rPr>
        <w:t>The remaining balance of €11,000.00 EUR shall be paid in eleven (11) consecutive monthly installments of €1,000.00 EUR per month, as detailed in Schedule B.</w:t>
      </w:r>
    </w:p>
    <w:p>
      <w:pPr>
        <w:spacing w:before="0" w:after="120" w:line="276" w:lineRule="auto"/>
      </w:pPr>
      <w:r>
        <w:rPr>
          <w:rFonts w:ascii="Arial" w:hAnsi="Arial"/>
          <w:b/>
          <w:color w:val="1F1F21"/>
          <w:sz w:val="19"/>
        </w:rPr>
        <w:t xml:space="preserve">3.4 Settlement Methods &amp; Cyprus Dual VAT: </w:t>
      </w:r>
      <w:r>
        <w:rPr>
          <w:rFonts w:ascii="Arial" w:hAnsi="Arial"/>
          <w:i w:val="0"/>
          <w:color w:val="1F1F21"/>
          <w:sz w:val="19"/>
        </w:rPr>
        <w:t>Invoices are payable within seven (7) calendar days. All payments under this Agreement are payable via SEPA Electronic Bank Transfer or Direct Cash Remittance against an Official Written &amp; Signed Payment Voucher / Receipt. In accordance with Cyprus VAT Law (Law 95(I)/2000), the platform strictly calculates statutory dual-rate VAT: 9% Reduced VAT on food, dine-in, takeaway, and non-alcoholic drinks (Net = Gross / 1.09) and 19% Standard VAT on alcoholic beverages (Net = Gross / 1.19). Overdue balances accrue interest per Cyprus Law 73(I)/2012.</w:t>
      </w:r>
    </w:p>
    <w:p>
      <w:pPr>
        <w:spacing w:before="280" w:after="80"/>
      </w:pPr>
      <w:r>
        <w:rPr>
          <w:rFonts w:ascii="Arial" w:hAnsi="Arial"/>
          <w:b/>
          <w:color w:val="1F1F21"/>
          <w:sz w:val="22"/>
        </w:rPr>
        <w:t>4. USER ACCEPTANCE TESTING (UAT) &amp; QUALITY STANDARDS</w:t>
      </w:r>
    </w:p>
    <w:p>
      <w:pPr>
        <w:spacing w:before="0" w:after="120" w:line="276" w:lineRule="auto"/>
      </w:pPr>
      <w:r>
        <w:rPr>
          <w:rFonts w:ascii="Arial" w:hAnsi="Arial"/>
          <w:i w:val="0"/>
          <w:color w:val="1F1F21"/>
          <w:sz w:val="19"/>
        </w:rPr>
        <w:t>The Client shall have five (5) business days following deliverable notification to conduct User Acceptance Testing (UAT). If reproducible material non-conformities ('Defects') are reported, the Contractor shall rectify them within seven (7) business days. In the absence of written rejection within 5 business days, or upon active commercial store use, deliverables are deemed irrevocably accepted.</w:t>
      </w:r>
    </w:p>
    <w:p>
      <w:pPr>
        <w:spacing w:before="280" w:after="80"/>
      </w:pPr>
      <w:r>
        <w:rPr>
          <w:rFonts w:ascii="Arial" w:hAnsi="Arial"/>
          <w:b/>
          <w:color w:val="1F1F21"/>
          <w:sz w:val="22"/>
        </w:rPr>
        <w:t>5. INTELLECTUAL PROPERTY RIGHTS</w:t>
      </w:r>
    </w:p>
    <w:p>
      <w:pPr>
        <w:spacing w:before="0" w:after="120" w:line="276" w:lineRule="auto"/>
      </w:pPr>
      <w:r>
        <w:rPr>
          <w:rFonts w:ascii="Arial" w:hAnsi="Arial"/>
          <w:i w:val="0"/>
          <w:color w:val="1F1F21"/>
          <w:sz w:val="19"/>
        </w:rPr>
        <w:t>Upon full and final settlement of all fees due under this Agreement, the Contractor assigns to the Client all right, title, and interest in the custom Foreground IP. The Contractor retains Background IP and grants the Client a perpetual, irrevocable, worldwide, royalty-free, non-exclusive license to use Background IP embedded in the Deliverables for internal restaurant operations.</w:t>
      </w:r>
    </w:p>
    <w:p>
      <w:pPr>
        <w:spacing w:before="280" w:after="80"/>
      </w:pPr>
      <w:r>
        <w:rPr>
          <w:rFonts w:ascii="Arial" w:hAnsi="Arial"/>
          <w:b/>
          <w:color w:val="1F1F21"/>
          <w:sz w:val="22"/>
        </w:rPr>
        <w:t>6. CONFIDENTIALITY &amp; DATA PROTECTION (GDPR)</w:t>
      </w:r>
    </w:p>
    <w:p>
      <w:pPr>
        <w:spacing w:before="0" w:after="120" w:line="276" w:lineRule="auto"/>
      </w:pPr>
      <w:r>
        <w:rPr>
          <w:rFonts w:ascii="Arial" w:hAnsi="Arial"/>
          <w:i w:val="0"/>
          <w:color w:val="1F1F21"/>
          <w:sz w:val="19"/>
        </w:rPr>
        <w:t>Both Parties agree to maintain strict confidentiality regarding restaurant recipes, trade secrets, financials, and source code for five (5) years post-termination. Both Parties shall comply with EU GDPR (Regulation (EU) 2016/679) and Cyprus Data Protection Law (Law 125(I)/2018). The Client acts as Data Controller and the Contractor acts as Data Processor.</w:t>
      </w:r>
    </w:p>
    <w:p>
      <w:pPr>
        <w:spacing w:before="280" w:after="80"/>
      </w:pPr>
      <w:r>
        <w:rPr>
          <w:rFonts w:ascii="Arial" w:hAnsi="Arial"/>
          <w:b/>
          <w:color w:val="1F1F21"/>
          <w:sz w:val="22"/>
        </w:rPr>
        <w:t>7. WARRANTIES, MAINTENANCE &amp; LIMITATION OF LIABILITY</w:t>
      </w:r>
    </w:p>
    <w:p>
      <w:pPr>
        <w:spacing w:before="0" w:after="120" w:line="276" w:lineRule="auto"/>
      </w:pPr>
      <w:r>
        <w:rPr>
          <w:rFonts w:ascii="Arial" w:hAnsi="Arial"/>
          <w:i w:val="0"/>
          <w:color w:val="1F1F21"/>
          <w:sz w:val="19"/>
        </w:rPr>
        <w:t>The Contractor provides ongoing defect resolution and technical maintenance throughout the 12-month active term. Direct liability of the Contractor is capped at the total fees actually paid by the Client in the preceding 12 months. Indirect or consequential damages are expressly excluded.</w:t>
      </w:r>
    </w:p>
    <w:p>
      <w:pPr>
        <w:spacing w:before="280" w:after="80"/>
      </w:pPr>
      <w:r>
        <w:rPr>
          <w:rFonts w:ascii="Arial" w:hAnsi="Arial"/>
          <w:b/>
          <w:color w:val="1F1F21"/>
          <w:sz w:val="22"/>
        </w:rPr>
        <w:t>8. GOVERNING LAW &amp; DISPUTE RESOLUTION</w:t>
      </w:r>
    </w:p>
    <w:p>
      <w:pPr>
        <w:spacing w:before="0" w:after="120" w:line="276" w:lineRule="auto"/>
      </w:pPr>
      <w:r>
        <w:rPr>
          <w:rFonts w:ascii="Arial" w:hAnsi="Arial"/>
          <w:i w:val="0"/>
          <w:color w:val="1F1F21"/>
          <w:sz w:val="19"/>
        </w:rPr>
        <w:t>This Agreement is governed by the Contract Law of the Republic of Cyprus (Cap. 149). Any dispute not resolved amicably within 14 days shall be subject to the exclusive jurisdiction of the competent District Courts of Cyprus (Paphos or Limassol District), without prejudice to Cyprus Arbitration Law (Cap. 4).</w:t>
      </w:r>
    </w:p>
    <w:p>
      <w:pPr>
        <w:spacing w:before="280" w:after="80"/>
      </w:pPr>
      <w:r>
        <w:rPr>
          <w:rFonts w:ascii="Arial" w:hAnsi="Arial"/>
          <w:b/>
          <w:color w:val="1F1F21"/>
          <w:sz w:val="22"/>
        </w:rPr>
        <w:t>EXECUTION &amp; SIGNATURES</w:t>
      </w:r>
    </w:p>
    <w:p>
      <w:pPr>
        <w:spacing w:before="0" w:after="120" w:line="276" w:lineRule="auto"/>
      </w:pPr>
      <w:r>
        <w:rPr>
          <w:rFonts w:ascii="Arial" w:hAnsi="Arial"/>
          <w:i w:val="0"/>
          <w:color w:val="1F1F21"/>
          <w:sz w:val="19"/>
        </w:rPr>
        <w:t>IN WITNESS WHEREOF, the Parties hereto have caused this Agreement to be executed by their duly authorized representatives as of the Effective Date written above.</w:t>
      </w:r>
    </w:p>
    <w:tbl>
      <w:tblPr>
        <w:tblW w:type="auto" w:w="0"/>
        <w:jc w:val="center"/>
        <w:tblLayout w:type="fixed"/>
        <w:tblLook w:firstColumn="1" w:firstRow="1" w:lastColumn="0" w:lastRow="0" w:noHBand="0" w:noVBand="1" w:val="04A0"/>
      </w:tblPr>
      <w:tblGrid>
        <w:gridCol w:w="4968"/>
        <w:gridCol w:w="4968"/>
      </w:tblGrid>
      <w:tr>
        <w:tc>
          <w:tcPr>
            <w:tcW w:type="dxa" w:w="4608"/>
            <w:tcMar>
              <w:top w:w="120" w:type="dxa"/>
              <w:bottom w:w="120" w:type="dxa"/>
              <w:left w:w="120" w:type="dxa"/>
              <w:right w:w="120" w:type="dxa"/>
            </w:tcMar>
            <w:shd w:fill="F4F4F6"/>
          </w:tcPr>
          <w:p>
            <w:pPr>
              <w:spacing w:after="40"/>
            </w:pPr>
            <w:r>
              <w:rPr>
                <w:b/>
                <w:color w:val="E50D7E"/>
                <w:sz w:val="19"/>
              </w:rPr>
              <w:t>FOR THE CONTRACTOR:</w:t>
              <w:br/>
            </w:r>
            <w:r>
              <w:rPr>
                <w:sz w:val="18"/>
              </w:rPr>
              <w:t>MD. SAIED SAGAR</w:t>
              <w:br/>
              <w:t>Systems Architect &amp; Lead Engineer</w:t>
              <w:br/>
              <w:br/>
              <w:br/>
              <w:t>___________________________________</w:t>
              <w:br/>
              <w:t>Signature</w:t>
              <w:br/>
              <w:t>Date: ________________________</w:t>
              <w:br/>
              <w:t>Tel: +357 94 106975</w:t>
              <w:br/>
              <w:t>Email: saiedsagar1@gmail.com</w:t>
            </w:r>
          </w:p>
        </w:tc>
        <w:tc>
          <w:tcPr>
            <w:tcW w:type="dxa" w:w="4608"/>
            <w:tcMar>
              <w:top w:w="120" w:type="dxa"/>
              <w:bottom w:w="120" w:type="dxa"/>
              <w:left w:w="120" w:type="dxa"/>
              <w:right w:w="120" w:type="dxa"/>
            </w:tcMar>
            <w:shd w:fill="F4F4F6"/>
          </w:tcPr>
          <w:p>
            <w:pPr>
              <w:spacing w:after="40"/>
            </w:pPr>
            <w:r>
              <w:rPr>
                <w:b/>
                <w:color w:val="E50D7E"/>
                <w:sz w:val="19"/>
              </w:rPr>
              <w:t>FOR THE CLIENT:</w:t>
              <w:br/>
            </w:r>
            <w:r>
              <w:rPr>
                <w:sz w:val="18"/>
              </w:rPr>
              <w:t>MY GERMAN DÖNER TRADING LTD</w:t>
              <w:br/>
              <w:t>Owners &amp; Managing Directors</w:t>
              <w:br/>
              <w:br/>
              <w:br/>
              <w:t>___________________________________</w:t>
              <w:br/>
              <w:t>Signature (RICO)</w:t>
              <w:br/>
              <w:t>Date: ________________________</w:t>
              <w:br/>
              <w:br/>
              <w:t>___________________________________</w:t>
              <w:br/>
              <w:t>Signature (OLIVER)</w:t>
              <w:br/>
              <w:t>Date: ________________________</w:t>
            </w:r>
          </w:p>
        </w:tc>
      </w:tr>
    </w:tbl>
    <w:p>
      <w:pPr>
        <w:spacing w:after="20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