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23.png" ContentType="image/png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credit-card-buyer-prediction"/>
    <w:p>
      <w:pPr>
        <w:pStyle w:val="Heading1"/>
      </w:pPr>
      <w:r>
        <w:t xml:space="preserve">Credit Card Buyer Prediction</w:t>
      </w:r>
    </w:p>
    <w:p>
      <w:pPr>
        <w:pStyle w:val="FirstParagraph"/>
      </w:pPr>
      <w:r>
        <w:t xml:space="preserve">A binary classification model that identifies potential credit card buyers for targeted bank marketing campaigns, built on the Czech Banking Dataset.</w:t>
      </w:r>
    </w:p>
    <w:bookmarkStart w:id="9" w:name="business-motivation"/>
    <w:p>
      <w:pPr>
        <w:pStyle w:val="Heading2"/>
      </w:pPr>
      <w:r>
        <w:t xml:space="preserve">Business Motivation</w:t>
      </w:r>
    </w:p>
    <w:p>
      <w:pPr>
        <w:pStyle w:val="FirstParagraph"/>
      </w:pPr>
      <w:r>
        <w:t xml:space="preserve">Acquiring new credit card customers through untargeted campaigns is costly and inefficient. By predicting which existing bank clients are most likely to purchase a credit card, the bank can focus marketing spend on high-probability prospects – reducing acquisition costs while increasing conversion rates. This project delivers a data-driven scoring model that ranks customers by purchase likelihood, enabling personalized outreach at scale.</w:t>
      </w:r>
    </w:p>
    <w:bookmarkEnd w:id="9"/>
    <w:bookmarkStart w:id="14" w:name="data"/>
    <w:p>
      <w:pPr>
        <w:pStyle w:val="Heading2"/>
      </w:pPr>
      <w:r>
        <w:t xml:space="preserve">Data</w:t>
      </w:r>
    </w:p>
    <w:p>
      <w:pPr>
        <w:pStyle w:val="FirstParagraph"/>
      </w:pPr>
      <w:r>
        <w:t xml:space="preserve">The project uses the</w:t>
      </w:r>
      <w:r>
        <w:t xml:space="preserve"> </w:t>
      </w:r>
      <w:hyperlink r:id="rId10">
        <w:r>
          <w:rPr>
            <w:rStyle w:val="Hyperlink"/>
          </w:rPr>
          <w:t xml:space="preserve">Czech Banking Dataset</w:t>
        </w:r>
      </w:hyperlink>
      <w:r>
        <w:t xml:space="preserve">, a realistic anonymized collection of banking records consisting of 8 interrelated tables: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72"/>
        <w:gridCol w:w="514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account</w:t>
            </w:r>
          </w:p>
        </w:tc>
        <w:tc>
          <w:tcPr/>
          <w:p>
            <w:pPr>
              <w:pStyle w:val="Compact"/>
            </w:pPr>
            <w:r>
              <w:t xml:space="preserve">Bank account information (opening date, frequency of statements)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client</w:t>
            </w:r>
          </w:p>
        </w:tc>
        <w:tc>
          <w:tcPr/>
          <w:p>
            <w:pPr>
              <w:pStyle w:val="Compact"/>
            </w:pPr>
            <w:r>
              <w:t xml:space="preserve">Client demographics (birth date, gender, district)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disp</w:t>
            </w:r>
          </w:p>
        </w:tc>
        <w:tc>
          <w:tcPr/>
          <w:p>
            <w:pPr>
              <w:pStyle w:val="Compact"/>
            </w:pPr>
            <w:r>
              <w:t xml:space="preserve">Disposition linking clients to accounts (owner vs. disponent)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card</w:t>
            </w:r>
          </w:p>
        </w:tc>
        <w:tc>
          <w:tcPr/>
          <w:p>
            <w:pPr>
              <w:pStyle w:val="Compact"/>
            </w:pPr>
            <w:r>
              <w:t xml:space="preserve">Issued credit cards (type: classic, gold, junior; issue date)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</w:t>
            </w:r>
          </w:p>
        </w:tc>
        <w:tc>
          <w:tcPr/>
          <w:p>
            <w:pPr>
              <w:pStyle w:val="Compact"/>
            </w:pPr>
            <w:r>
              <w:t xml:space="preserve">Transaction records (amounts, balances, types, dates)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</w:t>
            </w:r>
          </w:p>
        </w:tc>
        <w:tc>
          <w:tcPr/>
          <w:p>
            <w:pPr>
              <w:pStyle w:val="Compact"/>
            </w:pPr>
            <w:r>
              <w:t xml:space="preserve">Permanent orders (standing payments)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loan</w:t>
            </w:r>
          </w:p>
        </w:tc>
        <w:tc>
          <w:tcPr/>
          <w:p>
            <w:pPr>
              <w:pStyle w:val="Compact"/>
            </w:pPr>
            <w:r>
              <w:t xml:space="preserve">Granted loans (amount, duration, status)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district</w:t>
            </w:r>
          </w:p>
        </w:tc>
        <w:tc>
          <w:tcPr/>
          <w:p>
            <w:pPr>
              <w:pStyle w:val="Compact"/>
            </w:pPr>
            <w:r>
              <w:t xml:space="preserve">Demographic data per district (population, unemployment, crime rate)</w:t>
            </w:r>
          </w:p>
        </w:tc>
      </w:tr>
    </w:tbl>
    <w:p>
      <w:pPr>
        <w:pStyle w:val="CaptionedFigure"/>
      </w:pPr>
      <w:r>
        <w:drawing>
          <wp:inline>
            <wp:extent cx="5334000" cy="4016722"/>
            <wp:effectExtent b="0" l="0" r="0" t="0"/>
            <wp:docPr descr="Entity-Relationship Diagram" title="" id="12" name="Picture"/>
            <a:graphic>
              <a:graphicData uri="http://schemas.openxmlformats.org/drawingml/2006/picture">
                <pic:pic>
                  <pic:nvPicPr>
                    <pic:cNvPr descr="img/ERD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167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Entity-Relationship Diagram</w:t>
      </w:r>
    </w:p>
    <w:bookmarkEnd w:id="14"/>
    <w:bookmarkStart w:id="15" w:name="methodology"/>
    <w:p>
      <w:pPr>
        <w:pStyle w:val="Heading2"/>
      </w:pPr>
      <w:r>
        <w:t xml:space="preserve">Methodology</w:t>
      </w:r>
    </w:p>
    <w:p>
      <w:pPr>
        <w:pStyle w:val="SourceCode"/>
      </w:pPr>
      <w:r>
        <w:rPr>
          <w:rStyle w:val="VerbatimChar"/>
        </w:rPr>
        <w:t xml:space="preserve">Raw CSVs ─► Data Cleaning &amp; Wrangling ─► Feature Engineering ─► Preprocessing ─► SMOTE ─► Model Training ─► Evaluation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Data Cleaning &amp; Wrangling</w:t>
      </w:r>
      <w:r>
        <w:t xml:space="preserve"> </w:t>
      </w:r>
      <w:r>
        <w:t xml:space="preserve">– Join the 8 source tables, handle missing values, parse dates, and resolve data quality issues.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Feature Engineering</w:t>
      </w:r>
      <w:r>
        <w:t xml:space="preserve"> </w:t>
      </w:r>
      <w:r>
        <w:t xml:space="preserve">– Aggregate transaction histories into rolling statistics (mean balance, transaction frequency, credit/debit ratios), encode demographic features, and derive loan- and order-based indicators.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Preprocessing</w:t>
      </w:r>
      <w:r>
        <w:t xml:space="preserve"> </w:t>
      </w:r>
      <w:r>
        <w:t xml:space="preserve">– Detect skewed distributions and apply log or power transforms, binarize sparse features, and scale all numeric features with</w:t>
      </w:r>
      <w:r>
        <w:t xml:space="preserve"> </w:t>
      </w:r>
      <w:r>
        <w:rPr>
          <w:rStyle w:val="VerbatimChar"/>
        </w:rPr>
        <w:t xml:space="preserve">StandardScaler</w:t>
      </w:r>
      <w:r>
        <w:t xml:space="preserve">. Categorical variables are one-hot encoded.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SMOTE Oversampling</w:t>
      </w:r>
      <w:r>
        <w:t xml:space="preserve"> </w:t>
      </w:r>
      <w:r>
        <w:t xml:space="preserve">– Address class imbalance (credit card holders are the minority) via Synthetic Minority Oversampling within a cross-validation-safe</w:t>
      </w:r>
      <w:r>
        <w:t xml:space="preserve"> </w:t>
      </w:r>
      <w:r>
        <w:rPr>
          <w:rStyle w:val="VerbatimChar"/>
        </w:rPr>
        <w:t xml:space="preserve">imblearn</w:t>
      </w:r>
      <w:r>
        <w:t xml:space="preserve"> </w:t>
      </w:r>
      <w:r>
        <w:t xml:space="preserve">pipeline.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Model Training</w:t>
      </w:r>
      <w:r>
        <w:t xml:space="preserve"> </w:t>
      </w:r>
      <w:r>
        <w:t xml:space="preserve">– Train multiple classifiers with hyperparameter tuning via</w:t>
      </w:r>
      <w:r>
        <w:t xml:space="preserve"> </w:t>
      </w:r>
      <w:r>
        <w:rPr>
          <w:rStyle w:val="VerbatimChar"/>
        </w:rPr>
        <w:t xml:space="preserve">GridSearchCV</w:t>
      </w:r>
      <w:r>
        <w:t xml:space="preserve"> </w:t>
      </w:r>
      <w:r>
        <w:t xml:space="preserve">(10-fold stratified CV, optimized on ROC-AUC).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Evaluation</w:t>
      </w:r>
      <w:r>
        <w:t xml:space="preserve"> </w:t>
      </w:r>
      <w:r>
        <w:t xml:space="preserve">– Compare models on held-out test set across accuracy, precision, recall, F1, and ROC-AUC.</w:t>
      </w:r>
    </w:p>
    <w:bookmarkEnd w:id="15"/>
    <w:bookmarkStart w:id="16" w:name="models"/>
    <w:p>
      <w:pPr>
        <w:pStyle w:val="Heading2"/>
      </w:pPr>
      <w:r>
        <w:t xml:space="preserve">Models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Baseline Logistic Regression</w:t>
      </w:r>
      <w:r>
        <w:t xml:space="preserve"> </w:t>
      </w:r>
      <w:r>
        <w:t xml:space="preserve">– untuned reference model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Logistic Regression</w:t>
      </w:r>
      <w:r>
        <w:t xml:space="preserve"> </w:t>
      </w:r>
      <w:r>
        <w:t xml:space="preserve">– tuned with regularization grid search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Decision Tree</w:t>
      </w:r>
      <w:r>
        <w:t xml:space="preserve"> </w:t>
      </w:r>
      <w:r>
        <w:t xml:space="preserve">– tuned depth and split criteria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Random Forest</w:t>
      </w:r>
      <w:r>
        <w:t xml:space="preserve"> </w:t>
      </w:r>
      <w:r>
        <w:t xml:space="preserve">– tuned number of estimators, depth, and feature sampling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XGBoost</w:t>
      </w:r>
      <w:r>
        <w:t xml:space="preserve"> </w:t>
      </w:r>
      <w:r>
        <w:t xml:space="preserve">– gradient boosted trees with tuned learning rate, depth, and regularization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Stacking Ensemble</w:t>
      </w:r>
      <w:r>
        <w:t xml:space="preserve"> </w:t>
      </w:r>
      <w:r>
        <w:t xml:space="preserve">– meta-learner combining Random Forest and XGBoost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Voting Ensemble</w:t>
      </w:r>
      <w:r>
        <w:t xml:space="preserve"> </w:t>
      </w:r>
      <w:r>
        <w:t xml:space="preserve">– soft-voting combination of Random Forest and XGBoost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XGBoost (SHAP-reduced)</w:t>
      </w:r>
      <w:r>
        <w:t xml:space="preserve"> </w:t>
      </w:r>
      <w:r>
        <w:t xml:space="preserve">– XGBoost trained on top 60 SHAP-selected features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XGBoost (RFECV-reduced)</w:t>
      </w:r>
      <w:r>
        <w:t xml:space="preserve"> </w:t>
      </w:r>
      <w:r>
        <w:t xml:space="preserve">– XGBoost trained on features selected via Recursive Feature Elimination with CV</w:t>
      </w:r>
    </w:p>
    <w:bookmarkEnd w:id="16"/>
    <w:bookmarkStart w:id="27" w:name="results"/>
    <w:p>
      <w:pPr>
        <w:pStyle w:val="Heading2"/>
      </w:pPr>
      <w:r>
        <w:t xml:space="preserve">Results</w:t>
      </w:r>
    </w:p>
    <w:bookmarkStart w:id="17" w:name="test-set-performance-all-features"/>
    <w:p>
      <w:pPr>
        <w:pStyle w:val="Heading3"/>
      </w:pPr>
      <w:r>
        <w:t xml:space="preserve">Test Set Performance (All Features)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616"/>
        <w:gridCol w:w="1777"/>
        <w:gridCol w:w="1293"/>
        <w:gridCol w:w="646"/>
        <w:gridCol w:w="145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w:r>
              <w:t xml:space="preserve">F1</w:t>
            </w:r>
          </w:p>
        </w:tc>
        <w:tc>
          <w:tcPr/>
          <w:p>
            <w:pPr>
              <w:pStyle w:val="Compact"/>
            </w:pPr>
            <w:r>
              <w:t xml:space="preserve">ROC-AUC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 Logistic Regression</w:t>
            </w:r>
          </w:p>
        </w:tc>
        <w:tc>
          <w:tcPr/>
          <w:p>
            <w:pPr>
              <w:pStyle w:val="Compact"/>
            </w:pPr>
            <w:r>
              <w:t xml:space="preserve">0.6034</w:t>
            </w:r>
          </w:p>
        </w:tc>
        <w:tc>
          <w:tcPr/>
          <w:p>
            <w:pPr>
              <w:pStyle w:val="Compact"/>
            </w:pPr>
            <w:r>
              <w:t xml:space="preserve">0.2378</w:t>
            </w:r>
          </w:p>
        </w:tc>
        <w:tc>
          <w:tcPr/>
          <w:p>
            <w:pPr>
              <w:pStyle w:val="Compact"/>
            </w:pPr>
            <w:r>
              <w:t xml:space="preserve">0.7928</w:t>
            </w:r>
          </w:p>
        </w:tc>
        <w:tc>
          <w:tcPr/>
          <w:p>
            <w:pPr>
              <w:pStyle w:val="Compact"/>
            </w:pPr>
            <w:r>
              <w:t xml:space="preserve">0.3659</w:t>
            </w:r>
          </w:p>
        </w:tc>
        <w:tc>
          <w:tcPr/>
          <w:p>
            <w:pPr>
              <w:pStyle w:val="Compact"/>
            </w:pPr>
            <w:r>
              <w:t xml:space="preserve">0.7575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Logistic Regression</w:t>
            </w:r>
          </w:p>
        </w:tc>
        <w:tc>
          <w:tcPr/>
          <w:p>
            <w:pPr>
              <w:pStyle w:val="Compact"/>
            </w:pPr>
            <w:r>
              <w:t xml:space="preserve">0.7373</w:t>
            </w:r>
          </w:p>
        </w:tc>
        <w:tc>
          <w:tcPr/>
          <w:p>
            <w:pPr>
              <w:pStyle w:val="Compact"/>
            </w:pPr>
            <w:r>
              <w:t xml:space="preserve">0.3202</w:t>
            </w:r>
          </w:p>
        </w:tc>
        <w:tc>
          <w:tcPr/>
          <w:p>
            <w:pPr>
              <w:pStyle w:val="Compact"/>
            </w:pPr>
            <w:r>
              <w:t xml:space="preserve">0.7297</w:t>
            </w:r>
          </w:p>
        </w:tc>
        <w:tc>
          <w:tcPr/>
          <w:p>
            <w:pPr>
              <w:pStyle w:val="Compact"/>
            </w:pPr>
            <w:r>
              <w:t xml:space="preserve">0.4451</w:t>
            </w:r>
          </w:p>
        </w:tc>
        <w:tc>
          <w:tcPr/>
          <w:p>
            <w:pPr>
              <w:pStyle w:val="Compact"/>
            </w:pPr>
            <w:r>
              <w:t xml:space="preserve">0.8134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Decision Tree</w:t>
            </w:r>
          </w:p>
        </w:tc>
        <w:tc>
          <w:tcPr/>
          <w:p>
            <w:pPr>
              <w:pStyle w:val="Compact"/>
            </w:pPr>
            <w:r>
              <w:t xml:space="preserve">0.6411</w:t>
            </w:r>
          </w:p>
        </w:tc>
        <w:tc>
          <w:tcPr/>
          <w:p>
            <w:pPr>
              <w:pStyle w:val="Compact"/>
            </w:pPr>
            <w:r>
              <w:t xml:space="preserve">0.2663</w:t>
            </w:r>
          </w:p>
        </w:tc>
        <w:tc>
          <w:tcPr/>
          <w:p>
            <w:pPr>
              <w:pStyle w:val="Compact"/>
            </w:pPr>
            <w:r>
              <w:t xml:space="preserve">0.8468</w:t>
            </w:r>
          </w:p>
        </w:tc>
        <w:tc>
          <w:tcPr/>
          <w:p>
            <w:pPr>
              <w:pStyle w:val="Compact"/>
            </w:pPr>
            <w:r>
              <w:t xml:space="preserve">0.4052</w:t>
            </w:r>
          </w:p>
        </w:tc>
        <w:tc>
          <w:tcPr/>
          <w:p>
            <w:pPr>
              <w:pStyle w:val="Compact"/>
            </w:pPr>
            <w:r>
              <w:t xml:space="preserve">0.7856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 Forest</w:t>
            </w:r>
          </w:p>
        </w:tc>
        <w:tc>
          <w:tcPr/>
          <w:p>
            <w:pPr>
              <w:pStyle w:val="Compact"/>
            </w:pPr>
            <w:r>
              <w:t xml:space="preserve">0.7945</w:t>
            </w:r>
          </w:p>
        </w:tc>
        <w:tc>
          <w:tcPr/>
          <w:p>
            <w:pPr>
              <w:pStyle w:val="Compact"/>
            </w:pPr>
            <w:r>
              <w:t xml:space="preserve">0.3702</w:t>
            </w:r>
          </w:p>
        </w:tc>
        <w:tc>
          <w:tcPr/>
          <w:p>
            <w:pPr>
              <w:pStyle w:val="Compact"/>
            </w:pPr>
            <w:r>
              <w:t xml:space="preserve">0.6036</w:t>
            </w:r>
          </w:p>
        </w:tc>
        <w:tc>
          <w:tcPr/>
          <w:p>
            <w:pPr>
              <w:pStyle w:val="Compact"/>
            </w:pPr>
            <w:r>
              <w:t xml:space="preserve">0.4589</w:t>
            </w:r>
          </w:p>
        </w:tc>
        <w:tc>
          <w:tcPr/>
          <w:p>
            <w:pPr>
              <w:pStyle w:val="Compact"/>
            </w:pPr>
            <w:r>
              <w:t xml:space="preserve">0.8415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XGBoost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0.8570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0.5067</w:t>
            </w:r>
          </w:p>
        </w:tc>
        <w:tc>
          <w:tcPr/>
          <w:p>
            <w:pPr>
              <w:pStyle w:val="Compact"/>
            </w:pPr>
            <w:r>
              <w:t xml:space="preserve">0.3423</w:t>
            </w:r>
          </w:p>
        </w:tc>
        <w:tc>
          <w:tcPr/>
          <w:p>
            <w:pPr>
              <w:pStyle w:val="Compact"/>
            </w:pPr>
            <w:r>
              <w:t xml:space="preserve">0.4086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0.8451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Stacking Ensemble</w:t>
            </w:r>
          </w:p>
        </w:tc>
        <w:tc>
          <w:tcPr/>
          <w:p>
            <w:pPr>
              <w:pStyle w:val="Compact"/>
            </w:pPr>
            <w:r>
              <w:t xml:space="preserve">0.8570</w:t>
            </w:r>
          </w:p>
        </w:tc>
        <w:tc>
          <w:tcPr/>
          <w:p>
            <w:pPr>
              <w:pStyle w:val="Compact"/>
            </w:pPr>
            <w:r>
              <w:t xml:space="preserve">0.5052</w:t>
            </w:r>
          </w:p>
        </w:tc>
        <w:tc>
          <w:tcPr/>
          <w:p>
            <w:pPr>
              <w:pStyle w:val="Compact"/>
            </w:pPr>
            <w:r>
              <w:t xml:space="preserve">0.4414</w:t>
            </w:r>
          </w:p>
        </w:tc>
        <w:tc>
          <w:tcPr/>
          <w:p>
            <w:pPr>
              <w:pStyle w:val="Compact"/>
            </w:pPr>
            <w:r>
              <w:t xml:space="preserve">0.4712</w:t>
            </w:r>
          </w:p>
        </w:tc>
        <w:tc>
          <w:tcPr/>
          <w:p>
            <w:pPr>
              <w:pStyle w:val="Compact"/>
            </w:pPr>
            <w:r>
              <w:t xml:space="preserve">0.8448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Voting Ensemble</w:t>
            </w:r>
          </w:p>
        </w:tc>
        <w:tc>
          <w:tcPr/>
          <w:p>
            <w:pPr>
              <w:pStyle w:val="Compact"/>
            </w:pPr>
            <w:r>
              <w:t xml:space="preserve">0.8453</w:t>
            </w:r>
          </w:p>
        </w:tc>
        <w:tc>
          <w:tcPr/>
          <w:p>
            <w:pPr>
              <w:pStyle w:val="Compact"/>
            </w:pPr>
            <w:r>
              <w:t xml:space="preserve">0.4649</w:t>
            </w:r>
          </w:p>
        </w:tc>
        <w:tc>
          <w:tcPr/>
          <w:p>
            <w:pPr>
              <w:pStyle w:val="Compact"/>
            </w:pPr>
            <w:r>
              <w:t xml:space="preserve">0.4775</w:t>
            </w:r>
          </w:p>
        </w:tc>
        <w:tc>
          <w:tcPr/>
          <w:p>
            <w:pPr>
              <w:pStyle w:val="Compact"/>
            </w:pPr>
            <w:r>
              <w:t xml:space="preserve">0.4711</w:t>
            </w:r>
          </w:p>
        </w:tc>
        <w:tc>
          <w:tcPr/>
          <w:p>
            <w:pPr>
              <w:pStyle w:val="Compact"/>
            </w:pPr>
            <w:r>
              <w:t xml:space="preserve">0.8449</w:t>
            </w:r>
          </w:p>
        </w:tc>
      </w:tr>
    </w:tbl>
    <w:bookmarkEnd w:id="17"/>
    <w:bookmarkStart w:id="18" w:name="test-set-performance-reduced-features"/>
    <w:p>
      <w:pPr>
        <w:pStyle w:val="Heading3"/>
      </w:pPr>
      <w:r>
        <w:t xml:space="preserve">Test Set Performance (Reduced Features)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w:r>
              <w:t xml:space="preserve">F1</w:t>
            </w:r>
          </w:p>
        </w:tc>
        <w:tc>
          <w:tcPr/>
          <w:p>
            <w:pPr>
              <w:pStyle w:val="Compact"/>
            </w:pPr>
            <w:r>
              <w:t xml:space="preserve">ROC-AUC</w:t>
            </w:r>
          </w:p>
        </w:tc>
      </w:tr>
      <w:tr>
        <w:tc>
          <w:tcPr/>
          <w:p>
            <w:pPr>
              <w:pStyle w:val="Compact"/>
            </w:pPr>
            <w:r>
              <w:t xml:space="preserve">XGBoost (SHAP 60)</w:t>
            </w:r>
          </w:p>
        </w:tc>
        <w:tc>
          <w:tcPr/>
          <w:p>
            <w:pPr>
              <w:pStyle w:val="Compact"/>
            </w:pPr>
            <w:r>
              <w:t xml:space="preserve">0.8661</w:t>
            </w:r>
          </w:p>
        </w:tc>
        <w:tc>
          <w:tcPr/>
          <w:p>
            <w:pPr>
              <w:pStyle w:val="Compact"/>
            </w:pPr>
            <w:r>
              <w:t xml:space="preserve">0.5500</w:t>
            </w:r>
          </w:p>
        </w:tc>
        <w:tc>
          <w:tcPr/>
          <w:p>
            <w:pPr>
              <w:pStyle w:val="Compact"/>
            </w:pPr>
            <w:r>
              <w:t xml:space="preserve">0.3964</w:t>
            </w:r>
          </w:p>
        </w:tc>
        <w:tc>
          <w:tcPr/>
          <w:p>
            <w:pPr>
              <w:pStyle w:val="Compact"/>
            </w:pPr>
            <w:r>
              <w:t xml:space="preserve">0.4607</w:t>
            </w:r>
          </w:p>
        </w:tc>
        <w:tc>
          <w:tcPr/>
          <w:p>
            <w:pPr>
              <w:pStyle w:val="Compact"/>
            </w:pPr>
            <w:r>
              <w:t xml:space="preserve">0.8474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XGBoost (RFECV)</w:t>
            </w:r>
          </w:p>
        </w:tc>
        <w:tc>
          <w:tcPr/>
          <w:p>
            <w:pPr>
              <w:pStyle w:val="Compact"/>
            </w:pPr>
            <w:r>
              <w:t xml:space="preserve">0.8427</w:t>
            </w:r>
          </w:p>
        </w:tc>
        <w:tc>
          <w:tcPr/>
          <w:p>
            <w:pPr>
              <w:pStyle w:val="Compact"/>
            </w:pPr>
            <w:r>
              <w:t xml:space="preserve">0.4537</w:t>
            </w:r>
          </w:p>
        </w:tc>
        <w:tc>
          <w:tcPr/>
          <w:p>
            <w:pPr>
              <w:pStyle w:val="Compact"/>
            </w:pPr>
            <w:r>
              <w:t xml:space="preserve">0.4414</w:t>
            </w:r>
          </w:p>
        </w:tc>
        <w:tc>
          <w:tcPr/>
          <w:p>
            <w:pPr>
              <w:pStyle w:val="Compact"/>
            </w:pPr>
            <w:r>
              <w:t xml:space="preserve">0.4475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0.8487</w:t>
            </w:r>
          </w:p>
        </w:tc>
      </w:tr>
    </w:tbl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XGBoost model with RFECV-selected features</w:t>
      </w:r>
      <w:r>
        <w:t xml:space="preserve"> </w:t>
      </w:r>
      <w:r>
        <w:t xml:space="preserve">achieves the highest ROC-AUC (0.8487) while using fewer features, indicating strong generalization. Ensemble methods (Stacking, Voting) offer the best balance between precision and recall among the full-feature models.</w:t>
      </w:r>
    </w:p>
    <w:bookmarkEnd w:id="18"/>
    <w:bookmarkStart w:id="22" w:name="model-comparison"/>
    <w:p>
      <w:pPr>
        <w:pStyle w:val="Heading3"/>
      </w:pPr>
      <w:r>
        <w:t xml:space="preserve">Model Comparison</w:t>
      </w:r>
    </w:p>
    <w:p>
      <w:pPr>
        <w:pStyle w:val="CaptionedFigure"/>
      </w:pPr>
      <w:r>
        <w:drawing>
          <wp:inline>
            <wp:extent cx="5334000" cy="2916638"/>
            <wp:effectExtent b="0" l="0" r="0" t="0"/>
            <wp:docPr descr="Model Comparison by ROC-AUC" title="" id="20" name="Picture"/>
            <a:graphic>
              <a:graphicData uri="http://schemas.openxmlformats.org/drawingml/2006/picture">
                <pic:pic>
                  <pic:nvPicPr>
                    <pic:cNvPr descr="img/model_comparison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166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Model Comparison by ROC-AUC</w:t>
      </w:r>
    </w:p>
    <w:bookmarkEnd w:id="22"/>
    <w:bookmarkStart w:id="26" w:name="feature-importance"/>
    <w:p>
      <w:pPr>
        <w:pStyle w:val="Heading3"/>
      </w:pPr>
      <w:r>
        <w:t xml:space="preserve">Feature Importance</w:t>
      </w:r>
    </w:p>
    <w:p>
      <w:pPr>
        <w:pStyle w:val="CaptionedFigure"/>
      </w:pPr>
      <w:r>
        <w:drawing>
          <wp:inline>
            <wp:extent cx="5334000" cy="3183888"/>
            <wp:effectExtent b="0" l="0" r="0" t="0"/>
            <wp:docPr descr="Top 15 Features – XGBoost" title="" id="24" name="Picture"/>
            <a:graphic>
              <a:graphicData uri="http://schemas.openxmlformats.org/drawingml/2006/picture">
                <pic:pic>
                  <pic:nvPicPr>
                    <pic:cNvPr descr="img/feature_importance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838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Top 15 Features – XGBoost</w:t>
      </w:r>
    </w:p>
    <w:bookmarkEnd w:id="26"/>
    <w:bookmarkEnd w:id="27"/>
    <w:bookmarkStart w:id="28" w:name="installation"/>
    <w:p>
      <w:pPr>
        <w:pStyle w:val="Heading2"/>
      </w:pPr>
      <w:r>
        <w:t xml:space="preserve">Installation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</w:p>
    <w:p>
      <w:pPr>
        <w:pStyle w:val="FirstParagraph"/>
      </w:pPr>
      <w:r>
        <w:t xml:space="preserve">Then open and run</w:t>
      </w:r>
      <w:r>
        <w:t xml:space="preserve"> </w:t>
      </w:r>
      <w:r>
        <w:rPr>
          <w:rStyle w:val="VerbatimChar"/>
        </w:rPr>
        <w:t xml:space="preserve">MC_main.ipynb</w:t>
      </w:r>
      <w:r>
        <w:t xml:space="preserve"> </w:t>
      </w:r>
      <w:r>
        <w:t xml:space="preserve">sequentially. The notebook covers the full pipeline from data loading through evaluation.</w:t>
      </w:r>
    </w:p>
    <w:bookmarkEnd w:id="28"/>
    <w:bookmarkStart w:id="29" w:name="project-structure"/>
    <w:p>
      <w:pPr>
        <w:pStyle w:val="Heading2"/>
      </w:pPr>
      <w:r>
        <w:t xml:space="preserve">Project Structure</w:t>
      </w:r>
    </w:p>
    <w:p>
      <w:pPr>
        <w:pStyle w:val="SourceCode"/>
      </w:pPr>
      <w:r>
        <w:rPr>
          <w:rStyle w:val="VerbatimChar"/>
        </w:rPr>
        <w:t xml:space="preserve">.</w:t>
      </w:r>
      <w:r>
        <w:br/>
      </w:r>
      <w:r>
        <w:rPr>
          <w:rStyle w:val="VerbatimChar"/>
        </w:rPr>
        <w:t xml:space="preserve">├── MC_main.ipynb              # Main notebook (end-to-end pipeline)</w:t>
      </w:r>
      <w:r>
        <w:br/>
      </w:r>
      <w:r>
        <w:rPr>
          <w:rStyle w:val="VerbatimChar"/>
        </w:rPr>
        <w:t xml:space="preserve">├── model_runner.py            # ModelRunner class: SMOTE pipeline, GridSearchCV, persistence</w:t>
      </w:r>
      <w:r>
        <w:br/>
      </w:r>
      <w:r>
        <w:rPr>
          <w:rStyle w:val="VerbatimChar"/>
        </w:rPr>
        <w:t xml:space="preserve">├── utilities.py               # Helper functions: analysis, plotting, model I/O</w:t>
      </w:r>
      <w:r>
        <w:br/>
      </w:r>
      <w:r>
        <w:rPr>
          <w:rStyle w:val="VerbatimChar"/>
        </w:rPr>
        <w:t xml:space="preserve">├── requirements.txt           # Python dependencies</w:t>
      </w:r>
      <w:r>
        <w:br/>
      </w:r>
      <w:r>
        <w:rPr>
          <w:rStyle w:val="VerbatimChar"/>
        </w:rPr>
        <w:t xml:space="preserve">├── data/                      # Raw CSV tables (Czech Banking Dataset)</w:t>
      </w:r>
      <w:r>
        <w:br/>
      </w:r>
      <w:r>
        <w:rPr>
          <w:rStyle w:val="VerbatimChar"/>
        </w:rPr>
        <w:t xml:space="preserve">├── models/</w:t>
      </w:r>
      <w:r>
        <w:br/>
      </w:r>
      <w:r>
        <w:rPr>
          <w:rStyle w:val="VerbatimChar"/>
        </w:rPr>
        <w:t xml:space="preserve">│   ├── models_all_features/   # Trained models (all features)</w:t>
      </w:r>
      <w:r>
        <w:br/>
      </w:r>
      <w:r>
        <w:rPr>
          <w:rStyle w:val="VerbatimChar"/>
        </w:rPr>
        <w:t xml:space="preserve">│   └── models_reduced_features/ # Trained models (feature-selected)</w:t>
      </w:r>
      <w:r>
        <w:br/>
      </w:r>
      <w:r>
        <w:rPr>
          <w:rStyle w:val="VerbatimChar"/>
        </w:rPr>
        <w:t xml:space="preserve">├── results/                   # Serialized evaluation results (.pkl)</w:t>
      </w:r>
      <w:r>
        <w:br/>
      </w:r>
      <w:r>
        <w:rPr>
          <w:rStyle w:val="VerbatimChar"/>
        </w:rPr>
        <w:t xml:space="preserve">└── img/                       # Plots and diagrams</w:t>
      </w:r>
    </w:p>
    <w:bookmarkEnd w:id="29"/>
    <w:bookmarkStart w:id="30" w:name="author"/>
    <w:p>
      <w:pPr>
        <w:pStyle w:val="Heading2"/>
      </w:pPr>
      <w:r>
        <w:t xml:space="preserve">Author</w:t>
      </w:r>
    </w:p>
    <w:p>
      <w:pPr>
        <w:pStyle w:val="FirstParagraph"/>
      </w:pPr>
      <w:r>
        <w:rPr>
          <w:b/>
          <w:bCs/>
        </w:rPr>
        <w:t xml:space="preserve">Sabina Grüner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23" Target="media/rId23.png" /><Relationship Type="http://schemas.openxmlformats.org/officeDocument/2006/relationships/image" Id="rId19" Target="media/rId19.png" /><Relationship Type="http://schemas.openxmlformats.org/officeDocument/2006/relationships/hyperlink" Id="rId10" Target="https://sorry.vse.cz/~berka/challenge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https://sorry.vse.cz/~berka/challenge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2026-03-04T18:45:17Z</dcterms:created>
  <dcterms:modified xsi:type="dcterms:W3CDTF">2026-03-04T18:45:17Z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