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Inertial Values: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Transmission Inertia: 222 Kg/(m^2)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Source: See ZF Transmission Drawing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Propeller Inertia: 216 Kg/(m^2)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-Cooling and all support loads are approximately equal between systems and removed from consideration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Assumed values and rational: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Variable Frequency Drive Efficiency: </w:t>
      </w:r>
      <w:r w:rsidDel="00000000" w:rsidR="00000000" w:rsidRPr="00000000">
        <w:rPr>
          <w:rtl w:val="0"/>
        </w:rPr>
        <w:t xml:space="preserve">https://www.nrcan.gc.ca/energy-efficiency/energy-star-canada/about/energy-star-announcements/publications/variable-frequency-drives/application-considerations-and-estimated-savings-for-vfd-drives/15385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Conventional System Sizing: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Hybrid System Sizing: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Full Electric System Sizing: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