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3"/>
        </w:numPr>
        <w:ind w:left="720" w:hanging="360"/>
        <w:rPr/>
      </w:pPr>
      <w:bookmarkStart w:colFirst="0" w:colLast="0" w:name="_8ix3vpr4iekx" w:id="0"/>
      <w:bookmarkEnd w:id="0"/>
      <w:r w:rsidDel="00000000" w:rsidR="00000000" w:rsidRPr="00000000">
        <w:rPr>
          <w:rtl w:val="0"/>
        </w:rPr>
        <w:t xml:space="preserve">Biomedical entity and gene-disease relationship annotations</w:t>
      </w:r>
    </w:p>
    <w:p w:rsidR="00000000" w:rsidDel="00000000" w:rsidP="00000000" w:rsidRDefault="00000000" w:rsidRPr="00000000" w14:paraId="00000002">
      <w:pPr>
        <w:ind w:left="720" w:firstLine="0"/>
        <w:rPr/>
      </w:pPr>
      <w:r w:rsidDel="00000000" w:rsidR="00000000" w:rsidRPr="00000000">
        <w:rPr>
          <w:rtl w:val="0"/>
        </w:rPr>
        <w:t xml:space="preserve">Molecular Connections will provide service of manual annotations and deliver 300 manually annotated biomedical research papers to Europe PMC. The Hypothes.is annotation interface and pre-annotated entities on Europe PMC will be used by Molecular Connections.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Following the annotation guideline and tag scheme provided by Europe PMC:</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Molecular Connections will annotate 3 kinds of biomedical entities: “Gene/Protein”, “Disease” and “Organism”.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In addition, Molecular Connection will annotate “Gene-Disease relationship” to indicate whether the pre-annotation is correct or not.</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pStyle w:val="Heading2"/>
        <w:numPr>
          <w:ilvl w:val="0"/>
          <w:numId w:val="3"/>
        </w:numPr>
        <w:ind w:left="720" w:hanging="360"/>
        <w:rPr/>
      </w:pPr>
      <w:bookmarkStart w:colFirst="0" w:colLast="0" w:name="_ax2hkkopkh2x" w:id="1"/>
      <w:bookmarkEnd w:id="1"/>
      <w:r w:rsidDel="00000000" w:rsidR="00000000" w:rsidRPr="00000000">
        <w:rPr>
          <w:rtl w:val="0"/>
        </w:rPr>
        <w:t xml:space="preserve">Charges:</w:t>
      </w:r>
    </w:p>
    <w:p w:rsidR="00000000" w:rsidDel="00000000" w:rsidP="00000000" w:rsidRDefault="00000000" w:rsidRPr="00000000" w14:paraId="00000009">
      <w:pPr>
        <w:ind w:left="720" w:firstLine="0"/>
        <w:rPr/>
      </w:pPr>
      <w:r w:rsidDel="00000000" w:rsidR="00000000" w:rsidRPr="00000000">
        <w:rPr>
          <w:rtl w:val="0"/>
        </w:rPr>
        <w:t xml:space="preserve">The annotation will be carried out by Molecular Connections through triple blind approach. Each of the three annotators from Molecular Connections will annotate all the 300 papers independently.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Molecular Connections will charge  £0.12 per entity annotation and £0.18 per relationship annotation (counted for three annotators separately).</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Charges will be only for  tagged entities. If a biomedical entity is tagged with “ALL”, then it will be charged only once and the same entity will not be looked into later and charged.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pStyle w:val="Heading2"/>
        <w:numPr>
          <w:ilvl w:val="0"/>
          <w:numId w:val="3"/>
        </w:numPr>
        <w:ind w:left="720" w:hanging="360"/>
        <w:rPr/>
      </w:pPr>
      <w:bookmarkStart w:colFirst="0" w:colLast="0" w:name="_d0awfle1y1k2" w:id="2"/>
      <w:bookmarkEnd w:id="2"/>
      <w:r w:rsidDel="00000000" w:rsidR="00000000" w:rsidRPr="00000000">
        <w:rPr>
          <w:rtl w:val="0"/>
        </w:rPr>
        <w:t xml:space="preserve">Milestones:</w:t>
      </w:r>
    </w:p>
    <w:p w:rsidR="00000000" w:rsidDel="00000000" w:rsidP="00000000" w:rsidRDefault="00000000" w:rsidRPr="00000000" w14:paraId="0000000F">
      <w:pPr>
        <w:ind w:left="720" w:firstLine="0"/>
        <w:rPr/>
      </w:pPr>
      <w:r w:rsidDel="00000000" w:rsidR="00000000" w:rsidRPr="00000000">
        <w:rPr>
          <w:rtl w:val="0"/>
        </w:rPr>
        <w:t xml:space="preserve">Assuming a start date of June 2nd. Numbers below are tentative and can vary based on number of annotations of papers etc. After all the milestones are achieved, in total 300 papers will be annotated and delivered.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Milestone 1:</w:t>
      </w:r>
    </w:p>
    <w:p w:rsidR="00000000" w:rsidDel="00000000" w:rsidP="00000000" w:rsidRDefault="00000000" w:rsidRPr="00000000" w14:paraId="00000012">
      <w:pPr>
        <w:ind w:left="720" w:firstLine="0"/>
        <w:rPr/>
      </w:pPr>
      <w:r w:rsidDel="00000000" w:rsidR="00000000" w:rsidRPr="00000000">
        <w:rPr>
          <w:rtl w:val="0"/>
        </w:rPr>
        <w:t xml:space="preserve">MC to deliver 30 annotated papers by June 21st and feedback from Europe PMC by June 28th.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Milestone 2:</w:t>
      </w:r>
    </w:p>
    <w:p w:rsidR="00000000" w:rsidDel="00000000" w:rsidP="00000000" w:rsidRDefault="00000000" w:rsidRPr="00000000" w14:paraId="00000015">
      <w:pPr>
        <w:ind w:left="720" w:firstLine="0"/>
        <w:rPr/>
      </w:pPr>
      <w:r w:rsidDel="00000000" w:rsidR="00000000" w:rsidRPr="00000000">
        <w:rPr>
          <w:rtl w:val="0"/>
        </w:rPr>
        <w:t xml:space="preserve">MC to deliver 70 annotated papers by the end of July and feedback from Europe PMC by August 9th.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b w:val="1"/>
          <w:rtl w:val="0"/>
        </w:rPr>
        <w:t xml:space="preserve">Milestone 3:</w:t>
      </w:r>
    </w:p>
    <w:p w:rsidR="00000000" w:rsidDel="00000000" w:rsidP="00000000" w:rsidRDefault="00000000" w:rsidRPr="00000000" w14:paraId="0000001A">
      <w:pPr>
        <w:ind w:left="720" w:firstLine="0"/>
        <w:rPr/>
      </w:pPr>
      <w:r w:rsidDel="00000000" w:rsidR="00000000" w:rsidRPr="00000000">
        <w:rPr>
          <w:rtl w:val="0"/>
        </w:rPr>
        <w:t xml:space="preserve">MC to deliver </w:t>
      </w:r>
      <w:r w:rsidDel="00000000" w:rsidR="00000000" w:rsidRPr="00000000">
        <w:rPr>
          <w:rtl w:val="0"/>
        </w:rPr>
        <w:t xml:space="preserve">80 annotated papers by the end of August, feedback from Europe PMC by Sept 9th.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b w:val="1"/>
          <w:rtl w:val="0"/>
        </w:rPr>
        <w:t xml:space="preserve">Milestone 4:</w:t>
      </w:r>
    </w:p>
    <w:p w:rsidR="00000000" w:rsidDel="00000000" w:rsidP="00000000" w:rsidRDefault="00000000" w:rsidRPr="00000000" w14:paraId="0000001D">
      <w:pPr>
        <w:ind w:left="720" w:firstLine="0"/>
        <w:rPr/>
      </w:pPr>
      <w:r w:rsidDel="00000000" w:rsidR="00000000" w:rsidRPr="00000000">
        <w:rPr>
          <w:rtl w:val="0"/>
        </w:rPr>
        <w:t xml:space="preserve">MC to deliver the r</w:t>
      </w:r>
      <w:r w:rsidDel="00000000" w:rsidR="00000000" w:rsidRPr="00000000">
        <w:rPr>
          <w:rtl w:val="0"/>
        </w:rPr>
        <w:t xml:space="preserve">est of 120 annotated papers by October 15th and feedback from Europe PMC by October 22nd.</w:t>
      </w:r>
    </w:p>
    <w:p w:rsidR="00000000" w:rsidDel="00000000" w:rsidP="00000000" w:rsidRDefault="00000000" w:rsidRPr="00000000" w14:paraId="0000001E">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