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2hkglt192l5o"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79aguwh8jz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Notes: Definition of a training set for the biomedical extraction of key entities from full text articles in Europe PMC.</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_179aguwh8jzc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370n3ue3jx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Dataset 1: Named entity recognition for priority entity types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_7370n3ue3jxz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fb6kbqulch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Dataset 2: OTAR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_ofb6kbqulch4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kc9p3ln7fv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_ekc9p3ln7fv7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vqe81bqhb1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Preparation of corpus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_pvqe81bqhb1f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nmlrl7s94i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Draft guidelines for the annotators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_rnmlrl7s94ir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1mlhftlmoq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Annotation work begins: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_e1mlhftlmoqr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mmooeu3ewe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 missed entities/relationships (via Hypothes.is)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_rmmooeu3ewe2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nzdoyx0p9q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Brief: Construction of Training Set for Key Entities in Europe PMC</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_7nzdoyx0p9qj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3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mhkxenqmm6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Selection of the articles for the training set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_1mhkxenqmm6c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pPr>
      <w:bookmarkStart w:colFirst="0" w:colLast="0" w:name="_179aguwh8jzc" w:id="1"/>
      <w:bookmarkEnd w:id="1"/>
      <w:r w:rsidDel="00000000" w:rsidR="00000000" w:rsidRPr="00000000">
        <w:rPr>
          <w:rtl w:val="0"/>
        </w:rPr>
        <w:t xml:space="preserve">Notes: Definition of a training set for the biomedical extraction of key entities from full text articles in Europe PMC.</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sz w:val="20"/>
          <w:szCs w:val="20"/>
          <w:rtl w:val="0"/>
        </w:rPr>
        <w:t xml:space="preserve">Currently the </w:t>
      </w:r>
      <w:r w:rsidDel="00000000" w:rsidR="00000000" w:rsidRPr="00000000">
        <w:rPr>
          <w:b w:val="1"/>
          <w:sz w:val="20"/>
          <w:szCs w:val="20"/>
          <w:rtl w:val="0"/>
        </w:rPr>
        <w:t xml:space="preserve">core Europe PMC text mining pipeline</w:t>
      </w:r>
      <w:r w:rsidDel="00000000" w:rsidR="00000000" w:rsidRPr="00000000">
        <w:rPr>
          <w:sz w:val="20"/>
          <w:szCs w:val="20"/>
          <w:rtl w:val="0"/>
        </w:rPr>
        <w:t xml:space="preserve"> annotates the following entities: </w:t>
      </w:r>
    </w:p>
    <w:p w:rsidR="00000000" w:rsidDel="00000000" w:rsidP="00000000" w:rsidRDefault="00000000" w:rsidRPr="00000000" w14:paraId="00000010">
      <w:pPr>
        <w:numPr>
          <w:ilvl w:val="0"/>
          <w:numId w:val="6"/>
        </w:numPr>
        <w:ind w:left="720" w:hanging="360"/>
        <w:rPr>
          <w:sz w:val="20"/>
          <w:szCs w:val="20"/>
        </w:rPr>
      </w:pPr>
      <w:r w:rsidDel="00000000" w:rsidR="00000000" w:rsidRPr="00000000">
        <w:rPr>
          <w:sz w:val="20"/>
          <w:szCs w:val="20"/>
          <w:rtl w:val="0"/>
        </w:rPr>
        <w:t xml:space="preserve">Genes/Proteins </w:t>
      </w:r>
    </w:p>
    <w:p w:rsidR="00000000" w:rsidDel="00000000" w:rsidP="00000000" w:rsidRDefault="00000000" w:rsidRPr="00000000" w14:paraId="00000011">
      <w:pPr>
        <w:numPr>
          <w:ilvl w:val="0"/>
          <w:numId w:val="6"/>
        </w:numPr>
        <w:ind w:left="720" w:hanging="360"/>
        <w:rPr>
          <w:sz w:val="20"/>
          <w:szCs w:val="20"/>
        </w:rPr>
      </w:pPr>
      <w:r w:rsidDel="00000000" w:rsidR="00000000" w:rsidRPr="00000000">
        <w:rPr>
          <w:sz w:val="20"/>
          <w:szCs w:val="20"/>
          <w:rtl w:val="0"/>
        </w:rPr>
        <w:t xml:space="preserve">Organisms</w:t>
      </w:r>
    </w:p>
    <w:p w:rsidR="00000000" w:rsidDel="00000000" w:rsidP="00000000" w:rsidRDefault="00000000" w:rsidRPr="00000000" w14:paraId="00000012">
      <w:pPr>
        <w:numPr>
          <w:ilvl w:val="0"/>
          <w:numId w:val="6"/>
        </w:numPr>
        <w:ind w:left="720" w:hanging="360"/>
        <w:rPr>
          <w:sz w:val="20"/>
          <w:szCs w:val="20"/>
        </w:rPr>
      </w:pPr>
      <w:r w:rsidDel="00000000" w:rsidR="00000000" w:rsidRPr="00000000">
        <w:rPr>
          <w:sz w:val="20"/>
          <w:szCs w:val="20"/>
          <w:rtl w:val="0"/>
        </w:rPr>
        <w:t xml:space="preserve">Diseases</w:t>
      </w:r>
    </w:p>
    <w:p w:rsidR="00000000" w:rsidDel="00000000" w:rsidP="00000000" w:rsidRDefault="00000000" w:rsidRPr="00000000" w14:paraId="00000013">
      <w:pPr>
        <w:numPr>
          <w:ilvl w:val="0"/>
          <w:numId w:val="6"/>
        </w:numPr>
        <w:ind w:left="720" w:hanging="360"/>
        <w:rPr>
          <w:sz w:val="20"/>
          <w:szCs w:val="20"/>
        </w:rPr>
      </w:pPr>
      <w:r w:rsidDel="00000000" w:rsidR="00000000" w:rsidRPr="00000000">
        <w:rPr>
          <w:sz w:val="20"/>
          <w:szCs w:val="20"/>
          <w:rtl w:val="0"/>
        </w:rPr>
        <w:t xml:space="preserve">Chemicals</w:t>
      </w:r>
    </w:p>
    <w:p w:rsidR="00000000" w:rsidDel="00000000" w:rsidP="00000000" w:rsidRDefault="00000000" w:rsidRPr="00000000" w14:paraId="00000014">
      <w:pPr>
        <w:numPr>
          <w:ilvl w:val="0"/>
          <w:numId w:val="6"/>
        </w:numPr>
        <w:ind w:left="720" w:hanging="360"/>
        <w:rPr>
          <w:sz w:val="20"/>
          <w:szCs w:val="20"/>
        </w:rPr>
      </w:pPr>
      <w:r w:rsidDel="00000000" w:rsidR="00000000" w:rsidRPr="00000000">
        <w:rPr>
          <w:sz w:val="20"/>
          <w:szCs w:val="20"/>
          <w:rtl w:val="0"/>
        </w:rPr>
        <w:t xml:space="preserve">Gene ontology terms</w:t>
      </w:r>
    </w:p>
    <w:p w:rsidR="00000000" w:rsidDel="00000000" w:rsidP="00000000" w:rsidRDefault="00000000" w:rsidRPr="00000000" w14:paraId="00000015">
      <w:pPr>
        <w:numPr>
          <w:ilvl w:val="0"/>
          <w:numId w:val="6"/>
        </w:numPr>
        <w:ind w:left="720" w:hanging="360"/>
        <w:rPr>
          <w:sz w:val="20"/>
          <w:szCs w:val="20"/>
        </w:rPr>
      </w:pPr>
      <w:r w:rsidDel="00000000" w:rsidR="00000000" w:rsidRPr="00000000">
        <w:rPr>
          <w:sz w:val="20"/>
          <w:szCs w:val="20"/>
          <w:rtl w:val="0"/>
        </w:rPr>
        <w:t xml:space="preserve">Accession numbers (patterns)</w:t>
      </w:r>
    </w:p>
    <w:p w:rsidR="00000000" w:rsidDel="00000000" w:rsidP="00000000" w:rsidRDefault="00000000" w:rsidRPr="00000000" w14:paraId="00000016">
      <w:pPr>
        <w:numPr>
          <w:ilvl w:val="0"/>
          <w:numId w:val="6"/>
        </w:numPr>
        <w:ind w:left="720" w:hanging="360"/>
        <w:rPr>
          <w:sz w:val="20"/>
          <w:szCs w:val="20"/>
        </w:rPr>
      </w:pPr>
      <w:r w:rsidDel="00000000" w:rsidR="00000000" w:rsidRPr="00000000">
        <w:rPr>
          <w:sz w:val="20"/>
          <w:szCs w:val="20"/>
          <w:rtl w:val="0"/>
        </w:rPr>
        <w:t xml:space="preserve">Grants (patterns)</w:t>
      </w:r>
    </w:p>
    <w:p w:rsidR="00000000" w:rsidDel="00000000" w:rsidP="00000000" w:rsidRDefault="00000000" w:rsidRPr="00000000" w14:paraId="00000017">
      <w:pPr>
        <w:numPr>
          <w:ilvl w:val="0"/>
          <w:numId w:val="6"/>
        </w:numPr>
        <w:ind w:left="720" w:hanging="360"/>
        <w:rPr>
          <w:sz w:val="20"/>
          <w:szCs w:val="20"/>
          <w:u w:val="none"/>
        </w:rPr>
      </w:pPr>
      <w:r w:rsidDel="00000000" w:rsidR="00000000" w:rsidRPr="00000000">
        <w:rPr>
          <w:sz w:val="20"/>
          <w:szCs w:val="20"/>
          <w:rtl w:val="0"/>
        </w:rPr>
        <w:t xml:space="preserve">Resource names</w:t>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color w:val="b7b7b7"/>
          <w:sz w:val="20"/>
          <w:szCs w:val="20"/>
        </w:rPr>
      </w:pPr>
      <w:r w:rsidDel="00000000" w:rsidR="00000000" w:rsidRPr="00000000">
        <w:rPr>
          <w:color w:val="b7b7b7"/>
          <w:sz w:val="20"/>
          <w:szCs w:val="20"/>
          <w:rtl w:val="0"/>
        </w:rPr>
        <w:t xml:space="preserve">In addition:</w:t>
      </w:r>
    </w:p>
    <w:p w:rsidR="00000000" w:rsidDel="00000000" w:rsidP="00000000" w:rsidRDefault="00000000" w:rsidRPr="00000000" w14:paraId="0000001A">
      <w:pPr>
        <w:numPr>
          <w:ilvl w:val="0"/>
          <w:numId w:val="1"/>
        </w:numPr>
        <w:ind w:left="720" w:hanging="360"/>
        <w:rPr>
          <w:color w:val="b7b7b7"/>
          <w:sz w:val="20"/>
          <w:szCs w:val="20"/>
        </w:rPr>
      </w:pPr>
      <w:r w:rsidDel="00000000" w:rsidR="00000000" w:rsidRPr="00000000">
        <w:rPr>
          <w:color w:val="b7b7b7"/>
          <w:sz w:val="20"/>
          <w:szCs w:val="20"/>
          <w:rtl w:val="0"/>
        </w:rPr>
        <w:t xml:space="preserve">For the </w:t>
      </w:r>
      <w:r w:rsidDel="00000000" w:rsidR="00000000" w:rsidRPr="00000000">
        <w:rPr>
          <w:b w:val="1"/>
          <w:color w:val="b7b7b7"/>
          <w:sz w:val="20"/>
          <w:szCs w:val="20"/>
          <w:rtl w:val="0"/>
        </w:rPr>
        <w:t xml:space="preserve">Open Targets (OTAR) project</w:t>
      </w:r>
      <w:r w:rsidDel="00000000" w:rsidR="00000000" w:rsidRPr="00000000">
        <w:rPr>
          <w:color w:val="b7b7b7"/>
          <w:sz w:val="20"/>
          <w:szCs w:val="20"/>
          <w:rtl w:val="0"/>
        </w:rPr>
        <w:t xml:space="preserve"> we identify human gene-disease relationships. This is currently a basic implementation, asserting that a gene and disease are related if the co-occur in the same sentence.</w:t>
      </w:r>
    </w:p>
    <w:p w:rsidR="00000000" w:rsidDel="00000000" w:rsidP="00000000" w:rsidRDefault="00000000" w:rsidRPr="00000000" w14:paraId="0000001B">
      <w:pPr>
        <w:numPr>
          <w:ilvl w:val="0"/>
          <w:numId w:val="1"/>
        </w:numPr>
        <w:ind w:left="720" w:hanging="360"/>
        <w:rPr>
          <w:color w:val="b7b7b7"/>
          <w:sz w:val="20"/>
          <w:szCs w:val="20"/>
        </w:rPr>
      </w:pPr>
      <w:r w:rsidDel="00000000" w:rsidR="00000000" w:rsidRPr="00000000">
        <w:rPr>
          <w:color w:val="b7b7b7"/>
          <w:sz w:val="20"/>
          <w:szCs w:val="20"/>
          <w:rtl w:val="0"/>
        </w:rPr>
        <w:t xml:space="preserve">For the </w:t>
      </w:r>
      <w:r w:rsidDel="00000000" w:rsidR="00000000" w:rsidRPr="00000000">
        <w:rPr>
          <w:b w:val="1"/>
          <w:color w:val="b7b7b7"/>
          <w:sz w:val="20"/>
          <w:szCs w:val="20"/>
          <w:rtl w:val="0"/>
        </w:rPr>
        <w:t xml:space="preserve">EMERALD project</w:t>
      </w:r>
      <w:r w:rsidDel="00000000" w:rsidR="00000000" w:rsidRPr="00000000">
        <w:rPr>
          <w:color w:val="b7b7b7"/>
          <w:sz w:val="20"/>
          <w:szCs w:val="20"/>
          <w:rtl w:val="0"/>
        </w:rPr>
        <w:t xml:space="preserve">, we will be seeking to mine biome information from metagenomics publications, gene names and gene function information, secondary metabolite key words.</w:t>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pStyle w:val="Heading2"/>
        <w:rPr/>
      </w:pPr>
      <w:bookmarkStart w:colFirst="0" w:colLast="0" w:name="_7370n3ue3jxz" w:id="2"/>
      <w:bookmarkEnd w:id="2"/>
      <w:r w:rsidDel="00000000" w:rsidR="00000000" w:rsidRPr="00000000">
        <w:rPr>
          <w:rtl w:val="0"/>
        </w:rPr>
        <w:t xml:space="preserve">Dataset 1: Named entity recognition for priority entity types</w:t>
      </w:r>
    </w:p>
    <w:p w:rsidR="00000000" w:rsidDel="00000000" w:rsidP="00000000" w:rsidRDefault="00000000" w:rsidRPr="00000000" w14:paraId="0000001E">
      <w:pPr>
        <w:rPr>
          <w:b w:val="1"/>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sz w:val="20"/>
          <w:szCs w:val="20"/>
          <w:rtl w:val="0"/>
        </w:rPr>
        <w:t xml:space="preserve">We wish</w:t>
      </w:r>
      <w:r w:rsidDel="00000000" w:rsidR="00000000" w:rsidRPr="00000000">
        <w:rPr>
          <w:sz w:val="20"/>
          <w:szCs w:val="20"/>
          <w:rtl w:val="0"/>
        </w:rPr>
        <w:t xml:space="preserve"> to develop a </w:t>
      </w:r>
      <w:r w:rsidDel="00000000" w:rsidR="00000000" w:rsidRPr="00000000">
        <w:rPr>
          <w:sz w:val="20"/>
          <w:szCs w:val="20"/>
          <w:rtl w:val="0"/>
        </w:rPr>
        <w:t xml:space="preserve">training dataset for machine learning and benchmarking that is manually annotated for following types on full text articles:</w:t>
      </w:r>
      <w:r w:rsidDel="00000000" w:rsidR="00000000" w:rsidRPr="00000000">
        <w:rPr>
          <w:rtl w:val="0"/>
        </w:rPr>
      </w:r>
    </w:p>
    <w:p w:rsidR="00000000" w:rsidDel="00000000" w:rsidP="00000000" w:rsidRDefault="00000000" w:rsidRPr="00000000" w14:paraId="00000020">
      <w:pPr>
        <w:numPr>
          <w:ilvl w:val="0"/>
          <w:numId w:val="4"/>
        </w:numPr>
        <w:ind w:left="720" w:hanging="360"/>
        <w:rPr>
          <w:sz w:val="20"/>
          <w:szCs w:val="20"/>
        </w:rPr>
      </w:pPr>
      <w:r w:rsidDel="00000000" w:rsidR="00000000" w:rsidRPr="00000000">
        <w:rPr>
          <w:sz w:val="20"/>
          <w:szCs w:val="20"/>
          <w:rtl w:val="0"/>
        </w:rPr>
        <w:t xml:space="preserve">Gene/Proteins, e</w:t>
      </w:r>
      <w:r w:rsidDel="00000000" w:rsidR="00000000" w:rsidRPr="00000000">
        <w:rPr>
          <w:sz w:val="20"/>
          <w:szCs w:val="20"/>
          <w:rtl w:val="0"/>
        </w:rPr>
        <w:t xml:space="preserve">ach annotation resolving to UniProt </w:t>
      </w:r>
      <w:r w:rsidDel="00000000" w:rsidR="00000000" w:rsidRPr="00000000">
        <w:rPr>
          <w:rtl w:val="0"/>
        </w:rPr>
      </w:r>
    </w:p>
    <w:p w:rsidR="00000000" w:rsidDel="00000000" w:rsidP="00000000" w:rsidRDefault="00000000" w:rsidRPr="00000000" w14:paraId="00000021">
      <w:pPr>
        <w:numPr>
          <w:ilvl w:val="0"/>
          <w:numId w:val="4"/>
        </w:numPr>
        <w:ind w:left="720" w:hanging="360"/>
        <w:rPr>
          <w:sz w:val="20"/>
          <w:szCs w:val="20"/>
        </w:rPr>
      </w:pPr>
      <w:r w:rsidDel="00000000" w:rsidR="00000000" w:rsidRPr="00000000">
        <w:rPr>
          <w:sz w:val="20"/>
          <w:szCs w:val="20"/>
          <w:rtl w:val="0"/>
        </w:rPr>
        <w:t xml:space="preserve">Organisms, each resolving to an NCBI Taxonomy record</w:t>
      </w:r>
    </w:p>
    <w:p w:rsidR="00000000" w:rsidDel="00000000" w:rsidP="00000000" w:rsidRDefault="00000000" w:rsidRPr="00000000" w14:paraId="00000022">
      <w:pPr>
        <w:numPr>
          <w:ilvl w:val="0"/>
          <w:numId w:val="4"/>
        </w:numPr>
        <w:ind w:left="720" w:hanging="360"/>
        <w:rPr>
          <w:sz w:val="20"/>
          <w:szCs w:val="20"/>
        </w:rPr>
      </w:pPr>
      <w:r w:rsidDel="00000000" w:rsidR="00000000" w:rsidRPr="00000000">
        <w:rPr>
          <w:sz w:val="20"/>
          <w:szCs w:val="20"/>
          <w:rtl w:val="0"/>
        </w:rPr>
        <w:t xml:space="preserve">Diseases, resolving to UMLS</w:t>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pStyle w:val="Heading2"/>
        <w:rPr>
          <w:color w:val="b7b7b7"/>
        </w:rPr>
      </w:pPr>
      <w:bookmarkStart w:colFirst="0" w:colLast="0" w:name="_ofb6kbqulch4" w:id="3"/>
      <w:bookmarkEnd w:id="3"/>
      <w:r w:rsidDel="00000000" w:rsidR="00000000" w:rsidRPr="00000000">
        <w:rPr>
          <w:color w:val="b7b7b7"/>
          <w:rtl w:val="0"/>
        </w:rPr>
        <w:t xml:space="preserve">Dataset 2: OTAR</w:t>
      </w:r>
    </w:p>
    <w:p w:rsidR="00000000" w:rsidDel="00000000" w:rsidP="00000000" w:rsidRDefault="00000000" w:rsidRPr="00000000" w14:paraId="00000025">
      <w:pPr>
        <w:rPr>
          <w:color w:val="b7b7b7"/>
          <w:sz w:val="20"/>
          <w:szCs w:val="20"/>
        </w:rPr>
      </w:pPr>
      <w:r w:rsidDel="00000000" w:rsidR="00000000" w:rsidRPr="00000000">
        <w:rPr>
          <w:rtl w:val="0"/>
        </w:rPr>
      </w:r>
    </w:p>
    <w:p w:rsidR="00000000" w:rsidDel="00000000" w:rsidP="00000000" w:rsidRDefault="00000000" w:rsidRPr="00000000" w14:paraId="00000026">
      <w:pPr>
        <w:numPr>
          <w:ilvl w:val="0"/>
          <w:numId w:val="4"/>
        </w:numPr>
        <w:ind w:left="720" w:hanging="360"/>
        <w:rPr>
          <w:color w:val="b7b7b7"/>
          <w:sz w:val="20"/>
          <w:szCs w:val="20"/>
        </w:rPr>
      </w:pPr>
      <w:r w:rsidDel="00000000" w:rsidR="00000000" w:rsidRPr="00000000">
        <w:rPr>
          <w:color w:val="b7b7b7"/>
          <w:sz w:val="20"/>
          <w:szCs w:val="20"/>
          <w:rtl w:val="0"/>
        </w:rPr>
        <w:t xml:space="preserve">OTAR Diseases, resolving to EFO Disease and Phenotype branches</w:t>
      </w:r>
    </w:p>
    <w:p w:rsidR="00000000" w:rsidDel="00000000" w:rsidP="00000000" w:rsidRDefault="00000000" w:rsidRPr="00000000" w14:paraId="00000027">
      <w:pPr>
        <w:numPr>
          <w:ilvl w:val="0"/>
          <w:numId w:val="4"/>
        </w:numPr>
        <w:ind w:left="720" w:hanging="360"/>
        <w:rPr>
          <w:color w:val="b7b7b7"/>
          <w:sz w:val="20"/>
          <w:szCs w:val="20"/>
        </w:rPr>
      </w:pPr>
      <w:r w:rsidDel="00000000" w:rsidR="00000000" w:rsidRPr="00000000">
        <w:rPr>
          <w:color w:val="b7b7b7"/>
          <w:sz w:val="20"/>
          <w:szCs w:val="20"/>
          <w:rtl w:val="0"/>
        </w:rPr>
        <w:t xml:space="preserve">OTAR Drugs (resolve to Drugbank) </w:t>
      </w:r>
    </w:p>
    <w:p w:rsidR="00000000" w:rsidDel="00000000" w:rsidP="00000000" w:rsidRDefault="00000000" w:rsidRPr="00000000" w14:paraId="00000028">
      <w:pPr>
        <w:ind w:left="720" w:firstLine="0"/>
        <w:rPr>
          <w:color w:val="b7b7b7"/>
          <w:sz w:val="20"/>
          <w:szCs w:val="20"/>
        </w:rPr>
      </w:pPr>
      <w:r w:rsidDel="00000000" w:rsidR="00000000" w:rsidRPr="00000000">
        <w:rPr>
          <w:rtl w:val="0"/>
        </w:rPr>
      </w:r>
    </w:p>
    <w:p w:rsidR="00000000" w:rsidDel="00000000" w:rsidP="00000000" w:rsidRDefault="00000000" w:rsidRPr="00000000" w14:paraId="00000029">
      <w:pPr>
        <w:numPr>
          <w:ilvl w:val="0"/>
          <w:numId w:val="4"/>
        </w:numPr>
        <w:ind w:left="720" w:hanging="360"/>
        <w:rPr>
          <w:color w:val="b7b7b7"/>
          <w:sz w:val="20"/>
          <w:szCs w:val="20"/>
        </w:rPr>
      </w:pPr>
      <w:r w:rsidDel="00000000" w:rsidR="00000000" w:rsidRPr="00000000">
        <w:rPr>
          <w:color w:val="b7b7b7"/>
          <w:sz w:val="20"/>
          <w:szCs w:val="20"/>
          <w:rtl w:val="0"/>
        </w:rPr>
        <w:t xml:space="preserve">EMERALD Biome terminology (constrain to human biomes - may need organisms, anatomy, disease/phenotype/age/gender? Define with MGnify curators)</w:t>
      </w:r>
    </w:p>
    <w:p w:rsidR="00000000" w:rsidDel="00000000" w:rsidP="00000000" w:rsidRDefault="00000000" w:rsidRPr="00000000" w14:paraId="0000002A">
      <w:pPr>
        <w:numPr>
          <w:ilvl w:val="0"/>
          <w:numId w:val="4"/>
        </w:numPr>
        <w:ind w:left="720" w:hanging="360"/>
        <w:rPr>
          <w:color w:val="b7b7b7"/>
          <w:sz w:val="20"/>
          <w:szCs w:val="20"/>
        </w:rPr>
      </w:pPr>
      <w:r w:rsidDel="00000000" w:rsidR="00000000" w:rsidRPr="00000000">
        <w:rPr>
          <w:color w:val="b7b7b7"/>
          <w:sz w:val="20"/>
          <w:szCs w:val="20"/>
          <w:rtl w:val="0"/>
        </w:rPr>
        <w:t xml:space="preserve">EMERALD methods (subset of above?)</w:t>
      </w:r>
    </w:p>
    <w:p w:rsidR="00000000" w:rsidDel="00000000" w:rsidP="00000000" w:rsidRDefault="00000000" w:rsidRPr="00000000" w14:paraId="0000002B">
      <w:pPr>
        <w:numPr>
          <w:ilvl w:val="0"/>
          <w:numId w:val="4"/>
        </w:numPr>
        <w:ind w:left="720" w:hanging="360"/>
        <w:rPr>
          <w:color w:val="b7b7b7"/>
          <w:sz w:val="20"/>
          <w:szCs w:val="20"/>
        </w:rPr>
      </w:pPr>
      <w:r w:rsidDel="00000000" w:rsidR="00000000" w:rsidRPr="00000000">
        <w:rPr>
          <w:color w:val="b7b7b7"/>
          <w:sz w:val="20"/>
          <w:szCs w:val="20"/>
          <w:rtl w:val="0"/>
        </w:rPr>
        <w:t xml:space="preserve">EMERALD Gene function (perhaps geneRiFs and GO will suffice)</w:t>
      </w:r>
    </w:p>
    <w:p w:rsidR="00000000" w:rsidDel="00000000" w:rsidP="00000000" w:rsidRDefault="00000000" w:rsidRPr="00000000" w14:paraId="0000002C">
      <w:pPr>
        <w:numPr>
          <w:ilvl w:val="0"/>
          <w:numId w:val="4"/>
        </w:numPr>
        <w:ind w:left="720" w:hanging="360"/>
        <w:rPr>
          <w:color w:val="b7b7b7"/>
          <w:sz w:val="20"/>
          <w:szCs w:val="20"/>
        </w:rPr>
      </w:pPr>
      <w:r w:rsidDel="00000000" w:rsidR="00000000" w:rsidRPr="00000000">
        <w:rPr>
          <w:color w:val="b7b7b7"/>
          <w:sz w:val="20"/>
          <w:szCs w:val="20"/>
          <w:rtl w:val="0"/>
        </w:rPr>
        <w:t xml:space="preserve">EMERALD secondary metabolites (is this a mix of CHEBI +?)</w:t>
      </w:r>
    </w:p>
    <w:p w:rsidR="00000000" w:rsidDel="00000000" w:rsidP="00000000" w:rsidRDefault="00000000" w:rsidRPr="00000000" w14:paraId="0000002D">
      <w:pPr>
        <w:rPr>
          <w:color w:val="b7b7b7"/>
          <w:sz w:val="20"/>
          <w:szCs w:val="20"/>
        </w:rPr>
      </w:pPr>
      <w:r w:rsidDel="00000000" w:rsidR="00000000" w:rsidRPr="00000000">
        <w:rPr>
          <w:rtl w:val="0"/>
        </w:rPr>
      </w:r>
    </w:p>
    <w:p w:rsidR="00000000" w:rsidDel="00000000" w:rsidP="00000000" w:rsidRDefault="00000000" w:rsidRPr="00000000" w14:paraId="0000002E">
      <w:pPr>
        <w:rPr>
          <w:color w:val="b7b7b7"/>
          <w:sz w:val="20"/>
          <w:szCs w:val="20"/>
        </w:rPr>
      </w:pPr>
      <w:r w:rsidDel="00000000" w:rsidR="00000000" w:rsidRPr="00000000">
        <w:rPr>
          <w:color w:val="b7b7b7"/>
          <w:sz w:val="20"/>
          <w:szCs w:val="20"/>
          <w:rtl w:val="0"/>
        </w:rPr>
        <w:t xml:space="preserve">Others concepts that may be of interest</w:t>
      </w:r>
    </w:p>
    <w:p w:rsidR="00000000" w:rsidDel="00000000" w:rsidP="00000000" w:rsidRDefault="00000000" w:rsidRPr="00000000" w14:paraId="0000002F">
      <w:pPr>
        <w:numPr>
          <w:ilvl w:val="0"/>
          <w:numId w:val="10"/>
        </w:numPr>
        <w:ind w:left="720" w:hanging="360"/>
        <w:rPr>
          <w:color w:val="b7b7b7"/>
          <w:sz w:val="20"/>
          <w:szCs w:val="20"/>
        </w:rPr>
      </w:pPr>
      <w:r w:rsidDel="00000000" w:rsidR="00000000" w:rsidRPr="00000000">
        <w:rPr>
          <w:color w:val="b7b7b7"/>
          <w:sz w:val="20"/>
          <w:szCs w:val="20"/>
          <w:rtl w:val="0"/>
        </w:rPr>
        <w:t xml:space="preserve">Protein-protein interactions (resolve to UniProt)</w:t>
      </w:r>
    </w:p>
    <w:p w:rsidR="00000000" w:rsidDel="00000000" w:rsidP="00000000" w:rsidRDefault="00000000" w:rsidRPr="00000000" w14:paraId="00000030">
      <w:pPr>
        <w:numPr>
          <w:ilvl w:val="0"/>
          <w:numId w:val="10"/>
        </w:numPr>
        <w:ind w:left="720" w:hanging="360"/>
        <w:rPr>
          <w:color w:val="b7b7b7"/>
          <w:sz w:val="20"/>
          <w:szCs w:val="20"/>
        </w:rPr>
      </w:pPr>
      <w:r w:rsidDel="00000000" w:rsidR="00000000" w:rsidRPr="00000000">
        <w:rPr>
          <w:color w:val="b7b7b7"/>
          <w:sz w:val="20"/>
          <w:szCs w:val="20"/>
          <w:rtl w:val="0"/>
        </w:rPr>
        <w:t xml:space="preserve">Cell lines (resolve to Cellosaurus)</w:t>
      </w:r>
    </w:p>
    <w:p w:rsidR="00000000" w:rsidDel="00000000" w:rsidP="00000000" w:rsidRDefault="00000000" w:rsidRPr="00000000" w14:paraId="00000031">
      <w:pPr>
        <w:numPr>
          <w:ilvl w:val="0"/>
          <w:numId w:val="10"/>
        </w:numPr>
        <w:ind w:left="720" w:hanging="360"/>
        <w:rPr>
          <w:color w:val="b7b7b7"/>
          <w:sz w:val="20"/>
          <w:szCs w:val="20"/>
        </w:rPr>
      </w:pPr>
      <w:r w:rsidDel="00000000" w:rsidR="00000000" w:rsidRPr="00000000">
        <w:rPr>
          <w:color w:val="b7b7b7"/>
          <w:sz w:val="20"/>
          <w:szCs w:val="20"/>
          <w:rtl w:val="0"/>
        </w:rPr>
        <w:t xml:space="preserve">Mutations - for pattern recognition?</w:t>
      </w:r>
      <w:r w:rsidDel="00000000" w:rsidR="00000000" w:rsidRPr="00000000">
        <w:rPr>
          <w:rtl w:val="0"/>
        </w:rPr>
      </w:r>
    </w:p>
    <w:p w:rsidR="00000000" w:rsidDel="00000000" w:rsidP="00000000" w:rsidRDefault="00000000" w:rsidRPr="00000000" w14:paraId="00000032">
      <w:pPr>
        <w:pStyle w:val="Heading2"/>
        <w:rPr>
          <w:sz w:val="20"/>
          <w:szCs w:val="20"/>
        </w:rPr>
      </w:pPr>
      <w:bookmarkStart w:colFirst="0" w:colLast="0" w:name="_ekc9p3ln7fv7" w:id="4"/>
      <w:bookmarkEnd w:id="4"/>
      <w:r w:rsidDel="00000000" w:rsidR="00000000" w:rsidRPr="00000000">
        <w:rPr>
          <w:rtl w:val="0"/>
        </w:rPr>
        <w:t xml:space="preserve">Methods </w:t>
      </w:r>
      <w:r w:rsidDel="00000000" w:rsidR="00000000" w:rsidRPr="00000000">
        <w:rPr>
          <w:rtl w:val="0"/>
        </w:rPr>
      </w:r>
    </w:p>
    <w:p w:rsidR="00000000" w:rsidDel="00000000" w:rsidP="00000000" w:rsidRDefault="00000000" w:rsidRPr="00000000" w14:paraId="00000033">
      <w:pPr>
        <w:pStyle w:val="Heading4"/>
        <w:rPr/>
      </w:pPr>
      <w:bookmarkStart w:colFirst="0" w:colLast="0" w:name="_pvqe81bqhb1f" w:id="5"/>
      <w:bookmarkEnd w:id="5"/>
      <w:r w:rsidDel="00000000" w:rsidR="00000000" w:rsidRPr="00000000">
        <w:rPr>
          <w:rtl w:val="0"/>
        </w:rPr>
        <w:t xml:space="preserve">P</w:t>
      </w:r>
      <w:r w:rsidDel="00000000" w:rsidR="00000000" w:rsidRPr="00000000">
        <w:rPr>
          <w:rtl w:val="0"/>
        </w:rPr>
        <w:t xml:space="preserve">reparation of corpus</w:t>
      </w:r>
    </w:p>
    <w:p w:rsidR="00000000" w:rsidDel="00000000" w:rsidP="00000000" w:rsidRDefault="00000000" w:rsidRPr="00000000" w14:paraId="00000034">
      <w:pPr>
        <w:numPr>
          <w:ilvl w:val="0"/>
          <w:numId w:val="5"/>
        </w:numPr>
        <w:ind w:left="720" w:hanging="360"/>
        <w:rPr>
          <w:sz w:val="20"/>
          <w:szCs w:val="20"/>
          <w:u w:val="none"/>
        </w:rPr>
      </w:pPr>
      <w:r w:rsidDel="00000000" w:rsidR="00000000" w:rsidRPr="00000000">
        <w:rPr>
          <w:sz w:val="20"/>
          <w:szCs w:val="20"/>
          <w:rtl w:val="0"/>
        </w:rPr>
        <w:t xml:space="preserve">Articles were selected from the Open Access subset of Europe PMC, as </w:t>
      </w:r>
      <w:hyperlink r:id="rId6">
        <w:r w:rsidDel="00000000" w:rsidR="00000000" w:rsidRPr="00000000">
          <w:rPr>
            <w:color w:val="1155cc"/>
            <w:sz w:val="20"/>
            <w:szCs w:val="20"/>
            <w:u w:val="single"/>
            <w:rtl w:val="0"/>
          </w:rPr>
          <w:t xml:space="preserve">archived</w:t>
        </w:r>
      </w:hyperlink>
      <w:r w:rsidDel="00000000" w:rsidR="00000000" w:rsidRPr="00000000">
        <w:rPr>
          <w:sz w:val="20"/>
          <w:szCs w:val="20"/>
          <w:rtl w:val="0"/>
        </w:rPr>
        <w:t xml:space="preserve"> on the 31 August 2018 (</w:t>
      </w:r>
      <w:hyperlink r:id="rId7">
        <w:r w:rsidDel="00000000" w:rsidR="00000000" w:rsidRPr="00000000">
          <w:rPr>
            <w:b w:val="1"/>
            <w:color w:val="1155cc"/>
            <w:sz w:val="20"/>
            <w:szCs w:val="20"/>
            <w:u w:val="single"/>
            <w:rtl w:val="0"/>
          </w:rPr>
          <w:t xml:space="preserve">v.2018.09</w:t>
        </w:r>
      </w:hyperlink>
      <w:r w:rsidDel="00000000" w:rsidR="00000000" w:rsidRPr="00000000">
        <w:rPr>
          <w:sz w:val="20"/>
          <w:szCs w:val="20"/>
          <w:rtl w:val="0"/>
        </w:rPr>
        <w:t xml:space="preserve">)</w:t>
      </w:r>
      <w:r w:rsidDel="00000000" w:rsidR="00000000" w:rsidRPr="00000000">
        <w:rPr>
          <w:sz w:val="20"/>
          <w:szCs w:val="20"/>
          <w:rtl w:val="0"/>
        </w:rPr>
        <w:t xml:space="preserve">. </w:t>
      </w:r>
      <w:r w:rsidDel="00000000" w:rsidR="00000000" w:rsidRPr="00000000">
        <w:rPr>
          <w:sz w:val="20"/>
          <w:szCs w:val="20"/>
          <w:rtl w:val="0"/>
        </w:rPr>
        <w:t xml:space="preserve">Only articles from this set with a parsable CC-BY license were used, in order to make the traininset developed usable by anyone, academic or commercial. This gave us a starting pool of </w:t>
      </w:r>
      <w:r w:rsidDel="00000000" w:rsidR="00000000" w:rsidRPr="00000000">
        <w:rPr>
          <w:sz w:val="20"/>
          <w:szCs w:val="20"/>
          <w:rtl w:val="0"/>
        </w:rPr>
        <w:t xml:space="preserve">991529</w:t>
      </w:r>
      <w:r w:rsidDel="00000000" w:rsidR="00000000" w:rsidRPr="00000000">
        <w:rPr>
          <w:sz w:val="20"/>
          <w:szCs w:val="20"/>
          <w:rtl w:val="0"/>
        </w:rPr>
        <w:t xml:space="preserve"> articles. </w:t>
      </w:r>
    </w:p>
    <w:p w:rsidR="00000000" w:rsidDel="00000000" w:rsidP="00000000" w:rsidRDefault="00000000" w:rsidRPr="00000000" w14:paraId="00000035">
      <w:pPr>
        <w:numPr>
          <w:ilvl w:val="0"/>
          <w:numId w:val="5"/>
        </w:numPr>
        <w:ind w:left="720" w:hanging="360"/>
        <w:rPr>
          <w:sz w:val="20"/>
          <w:szCs w:val="20"/>
          <w:u w:val="none"/>
        </w:rPr>
      </w:pPr>
      <w:r w:rsidDel="00000000" w:rsidR="00000000" w:rsidRPr="00000000">
        <w:rPr>
          <w:sz w:val="20"/>
          <w:szCs w:val="20"/>
          <w:rtl w:val="0"/>
        </w:rPr>
        <w:t xml:space="preserve">Papers were </w:t>
      </w:r>
      <w:r w:rsidDel="00000000" w:rsidR="00000000" w:rsidRPr="00000000">
        <w:rPr>
          <w:sz w:val="20"/>
          <w:szCs w:val="20"/>
          <w:rtl w:val="0"/>
        </w:rPr>
        <w:t xml:space="preserve">further filtered by the article body size to remove articles with abnormal length.</w:t>
      </w:r>
      <w:r w:rsidDel="00000000" w:rsidR="00000000" w:rsidRPr="00000000">
        <w:rPr>
          <w:sz w:val="20"/>
          <w:szCs w:val="20"/>
          <w:rtl w:val="0"/>
        </w:rPr>
        <w:t xml:space="preserve"> By binning the article &lt;body/&gt; sections of the CC-BY XML files into 10KB size categories, most articles are in the range 25</w:t>
      </w:r>
      <w:r w:rsidDel="00000000" w:rsidR="00000000" w:rsidRPr="00000000">
        <w:rPr>
          <w:sz w:val="20"/>
          <w:szCs w:val="20"/>
          <w:rtl w:val="0"/>
        </w:rPr>
        <w:t xml:space="preserve">-50 KB</w:t>
      </w:r>
      <w:r w:rsidDel="00000000" w:rsidR="00000000" w:rsidRPr="00000000">
        <w:rPr>
          <w:sz w:val="20"/>
          <w:szCs w:val="20"/>
          <w:rtl w:val="0"/>
        </w:rPr>
        <w:t xml:space="preserve">. We therefore further refined the dataset to “typical” articles between 25 and 50 KB size; constraining the article size also makes the work of annotators more consistent. The number of articles in the candidate pool is now 503950 </w:t>
      </w:r>
      <w:r w:rsidDel="00000000" w:rsidR="00000000" w:rsidRPr="00000000">
        <w:rPr>
          <w:sz w:val="20"/>
          <w:szCs w:val="20"/>
          <w:rtl w:val="0"/>
        </w:rPr>
        <w:t xml:space="preserve">articles</w:t>
      </w:r>
      <w:r w:rsidDel="00000000" w:rsidR="00000000" w:rsidRPr="00000000">
        <w:rPr>
          <w:sz w:val="20"/>
          <w:szCs w:val="20"/>
          <w:rtl w:val="0"/>
        </w:rPr>
        <w:t xml:space="preserve">.</w:t>
      </w:r>
    </w:p>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rPr>
          <w:sz w:val="20"/>
          <w:szCs w:val="20"/>
        </w:rPr>
      </w:pPr>
      <w:r w:rsidDel="00000000" w:rsidR="00000000" w:rsidRPr="00000000">
        <w:rPr>
          <w:sz w:val="20"/>
          <w:szCs w:val="20"/>
        </w:rPr>
        <w:drawing>
          <wp:inline distB="114300" distT="114300" distL="114300" distR="114300">
            <wp:extent cx="5734050" cy="8763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0"/>
          <w:numId w:val="5"/>
        </w:numPr>
        <w:ind w:left="720" w:hanging="360"/>
        <w:rPr>
          <w:sz w:val="20"/>
          <w:szCs w:val="20"/>
          <w:u w:val="none"/>
        </w:rPr>
      </w:pPr>
      <w:r w:rsidDel="00000000" w:rsidR="00000000" w:rsidRPr="00000000">
        <w:rPr>
          <w:sz w:val="20"/>
          <w:szCs w:val="20"/>
          <w:rtl w:val="0"/>
        </w:rPr>
        <w:t xml:space="preserve">Based on existing Europe PMC annotations, these remaining “standard-sized” articles were categorised into High, Medium and Low frequency occurrence in all permutations of each entity type (genes/proteins, diseases, organisms). The boundaries of High, Medium and Low were determined by</w:t>
      </w:r>
      <w:r w:rsidDel="00000000" w:rsidR="00000000" w:rsidRPr="00000000">
        <w:rPr>
          <w:sz w:val="20"/>
          <w:szCs w:val="20"/>
          <w:rtl w:val="0"/>
        </w:rPr>
        <w:t xml:space="preserve"> establishing the tertiles (33% and 66% percentiles)</w:t>
      </w:r>
      <w:r w:rsidDel="00000000" w:rsidR="00000000" w:rsidRPr="00000000">
        <w:rPr>
          <w:sz w:val="20"/>
          <w:szCs w:val="20"/>
          <w:rtl w:val="0"/>
        </w:rPr>
        <w:t xml:space="preserve"> of frequency of</w:t>
      </w:r>
      <w:r w:rsidDel="00000000" w:rsidR="00000000" w:rsidRPr="00000000">
        <w:rPr>
          <w:sz w:val="20"/>
          <w:szCs w:val="20"/>
          <w:rtl w:val="0"/>
        </w:rPr>
        <w:t xml:space="preserve"> total annotations</w:t>
      </w:r>
      <w:r w:rsidDel="00000000" w:rsidR="00000000" w:rsidRPr="00000000">
        <w:rPr>
          <w:sz w:val="20"/>
          <w:szCs w:val="20"/>
          <w:rtl w:val="0"/>
        </w:rPr>
        <w:t xml:space="preserve"> (</w:t>
      </w:r>
      <w:r w:rsidDel="00000000" w:rsidR="00000000" w:rsidRPr="00000000">
        <w:rPr>
          <w:sz w:val="20"/>
          <w:szCs w:val="20"/>
          <w:rtl w:val="0"/>
        </w:rPr>
        <w:t xml:space="preserve">not types</w:t>
      </w:r>
      <w:r w:rsidDel="00000000" w:rsidR="00000000" w:rsidRPr="00000000">
        <w:rPr>
          <w:sz w:val="20"/>
          <w:szCs w:val="20"/>
          <w:rtl w:val="0"/>
        </w:rPr>
        <w:t xml:space="preserve">) in a given article. A total of 27 permutations of articles ranging from High-High-High to Low-Low-Low were established and the articles categorised accordingly.</w:t>
      </w:r>
    </w:p>
    <w:p w:rsidR="00000000" w:rsidDel="00000000" w:rsidP="00000000" w:rsidRDefault="00000000" w:rsidRPr="00000000" w14:paraId="00000039">
      <w:pPr>
        <w:numPr>
          <w:ilvl w:val="0"/>
          <w:numId w:val="5"/>
        </w:numPr>
        <w:ind w:left="720" w:hanging="360"/>
        <w:rPr>
          <w:sz w:val="20"/>
          <w:szCs w:val="20"/>
          <w:u w:val="none"/>
        </w:rPr>
      </w:pPr>
      <w:r w:rsidDel="00000000" w:rsidR="00000000" w:rsidRPr="00000000">
        <w:rPr>
          <w:sz w:val="20"/>
          <w:szCs w:val="20"/>
          <w:rtl w:val="0"/>
        </w:rPr>
        <w:t xml:space="preserve">Paper with the Low-Low-Low profile low occurrences of all the entity types are removed as they add little value to the training dataset. We then, in average, randomly sample around 12 articles from each frequency profile to generate an initial training set of 300 articles. </w:t>
      </w:r>
    </w:p>
    <w:p w:rsidR="00000000" w:rsidDel="00000000" w:rsidP="00000000" w:rsidRDefault="00000000" w:rsidRPr="00000000" w14:paraId="0000003A">
      <w:pPr>
        <w:numPr>
          <w:ilvl w:val="0"/>
          <w:numId w:val="5"/>
        </w:numPr>
        <w:ind w:left="720" w:hanging="360"/>
        <w:rPr>
          <w:sz w:val="20"/>
          <w:szCs w:val="20"/>
          <w:u w:val="none"/>
        </w:rPr>
      </w:pPr>
      <w:r w:rsidDel="00000000" w:rsidR="00000000" w:rsidRPr="00000000">
        <w:rPr>
          <w:sz w:val="20"/>
          <w:szCs w:val="20"/>
          <w:rtl w:val="0"/>
        </w:rPr>
        <w:t xml:space="preserve">We also checked the papers in each of the frequency 26 bins for</w:t>
      </w:r>
      <w:r w:rsidDel="00000000" w:rsidR="00000000" w:rsidRPr="00000000">
        <w:rPr>
          <w:sz w:val="20"/>
          <w:szCs w:val="20"/>
          <w:rtl w:val="0"/>
        </w:rPr>
        <w:t xml:space="preserve"> links to data records and occurrence of Open Targets </w:t>
      </w:r>
      <w:r w:rsidDel="00000000" w:rsidR="00000000" w:rsidRPr="00000000">
        <w:rPr>
          <w:sz w:val="20"/>
          <w:szCs w:val="20"/>
          <w:rtl w:val="0"/>
        </w:rPr>
        <w:t xml:space="preserve">annotations. A much higher than typical proportion of papers were linked to data and OTAR annotations. We are therefore confident that these papers are a solid basis for the core training set, having been cited in key deposition and added-value databases.</w:t>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rPr>
          <w:sz w:val="20"/>
          <w:szCs w:val="20"/>
        </w:rPr>
      </w:pPr>
      <w:r w:rsidDel="00000000" w:rsidR="00000000" w:rsidRPr="00000000">
        <w:rPr>
          <w:sz w:val="20"/>
          <w:szCs w:val="20"/>
          <w:rtl w:val="0"/>
        </w:rPr>
        <w:t xml:space="preserve">Table 1. Abundance of key entities used to establish Tertile boundaries.</w:t>
      </w:r>
    </w:p>
    <w:tbl>
      <w:tblPr>
        <w:tblStyle w:val="Table1"/>
        <w:tblW w:w="9465.0" w:type="dxa"/>
        <w:jc w:val="left"/>
        <w:tblInd w:w="-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275"/>
        <w:gridCol w:w="1275"/>
        <w:gridCol w:w="1275"/>
        <w:gridCol w:w="1275"/>
        <w:gridCol w:w="1275"/>
        <w:gridCol w:w="1275"/>
        <w:tblGridChange w:id="0">
          <w:tblGrid>
            <w:gridCol w:w="1815"/>
            <w:gridCol w:w="1275"/>
            <w:gridCol w:w="1275"/>
            <w:gridCol w:w="1275"/>
            <w:gridCol w:w="1275"/>
            <w:gridCol w:w="1275"/>
            <w:gridCol w:w="1275"/>
          </w:tblGrid>
        </w:tblGridChange>
      </w:tblGrid>
      <w:tr>
        <w:trPr>
          <w:trHeight w:val="400" w:hRule="atLeast"/>
        </w:trPr>
        <w:tc>
          <w:tcPr>
            <w:vMerge w:val="restart"/>
            <w:shd w:fill="efefef"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Entity </w:t>
            </w:r>
          </w:p>
        </w:tc>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03E">
            <w:pPr>
              <w:ind w:left="0" w:firstLine="0"/>
              <w:jc w:val="center"/>
              <w:rPr>
                <w:sz w:val="20"/>
                <w:szCs w:val="20"/>
              </w:rPr>
            </w:pPr>
            <w:r w:rsidDel="00000000" w:rsidR="00000000" w:rsidRPr="00000000">
              <w:rPr>
                <w:sz w:val="20"/>
                <w:szCs w:val="20"/>
                <w:rtl w:val="0"/>
              </w:rPr>
              <w:t xml:space="preserve">Tertile 1 (Low)</w:t>
            </w:r>
          </w:p>
        </w:tc>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040">
            <w:pPr>
              <w:jc w:val="center"/>
              <w:rPr>
                <w:sz w:val="20"/>
                <w:szCs w:val="20"/>
              </w:rPr>
            </w:pPr>
            <w:r w:rsidDel="00000000" w:rsidR="00000000" w:rsidRPr="00000000">
              <w:rPr>
                <w:sz w:val="20"/>
                <w:szCs w:val="20"/>
                <w:rtl w:val="0"/>
              </w:rPr>
              <w:t xml:space="preserve">Tertile 1 (Low)</w:t>
            </w:r>
          </w:p>
        </w:tc>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042">
            <w:pPr>
              <w:jc w:val="center"/>
              <w:rPr>
                <w:sz w:val="20"/>
                <w:szCs w:val="20"/>
              </w:rPr>
            </w:pPr>
            <w:r w:rsidDel="00000000" w:rsidR="00000000" w:rsidRPr="00000000">
              <w:rPr>
                <w:sz w:val="20"/>
                <w:szCs w:val="20"/>
                <w:rtl w:val="0"/>
              </w:rPr>
              <w:t xml:space="preserve">Tertile 1 (Low)</w:t>
            </w:r>
          </w:p>
        </w:tc>
      </w:tr>
      <w:tr>
        <w:trPr>
          <w:trHeight w:val="400" w:hRule="atLeast"/>
        </w:trPr>
        <w:tc>
          <w:tcPr>
            <w:vMerge w:val="continue"/>
            <w:shd w:fill="efefef"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45">
            <w:pPr>
              <w:ind w:left="0" w:firstLine="0"/>
              <w:jc w:val="center"/>
              <w:rPr>
                <w:sz w:val="20"/>
                <w:szCs w:val="20"/>
              </w:rPr>
            </w:pPr>
            <w:r w:rsidDel="00000000" w:rsidR="00000000" w:rsidRPr="00000000">
              <w:rPr>
                <w:sz w:val="20"/>
                <w:szCs w:val="20"/>
                <w:rtl w:val="0"/>
              </w:rPr>
              <w:t xml:space="preserve">Lower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Upper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Lower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Upper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Lower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Upper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Genes/Proteins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2408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Organisms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3108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678</w:t>
            </w:r>
          </w:p>
        </w:tc>
      </w:tr>
    </w:tbl>
    <w:p w:rsidR="00000000" w:rsidDel="00000000" w:rsidP="00000000" w:rsidRDefault="00000000" w:rsidRPr="00000000" w14:paraId="00000060">
      <w:pPr>
        <w:rPr>
          <w:sz w:val="20"/>
          <w:szCs w:val="20"/>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First</w:t>
      </w:r>
      <w:r w:rsidDel="00000000" w:rsidR="00000000" w:rsidRPr="00000000">
        <w:rPr>
          <w:rtl w:val="0"/>
        </w:rPr>
        <w:t xml:space="preserve"> we identified from the subset of open access articles </w:t>
      </w:r>
      <w:hyperlink r:id="rId9">
        <w:r w:rsidDel="00000000" w:rsidR="00000000" w:rsidRPr="00000000">
          <w:rPr>
            <w:color w:val="1155cc"/>
            <w:u w:val="single"/>
            <w:rtl w:val="0"/>
          </w:rPr>
          <w:t xml:space="preserve">archived</w:t>
        </w:r>
      </w:hyperlink>
      <w:r w:rsidDel="00000000" w:rsidR="00000000" w:rsidRPr="00000000">
        <w:rPr>
          <w:rtl w:val="0"/>
        </w:rPr>
        <w:t xml:space="preserve"> on August 31 2018 those that have parsable CC-BY licenses (around 1M). Therefore, all the articles selected from this procedure can be reused by both academic and commercial entities. Then we analysed the size of the XML for those articles and established that most of them fall between 25 and 50 KB (503,950 articles) and follow a normal distribution. For these “</w:t>
      </w:r>
      <w:r w:rsidDel="00000000" w:rsidR="00000000" w:rsidRPr="00000000">
        <w:rPr>
          <w:rtl w:val="0"/>
        </w:rPr>
        <w:t xml:space="preserve">typically sized</w:t>
      </w:r>
      <w:r w:rsidDel="00000000" w:rsidR="00000000" w:rsidRPr="00000000">
        <w:rPr>
          <w:rtl w:val="0"/>
        </w:rPr>
        <w:t xml:space="preserve">” articles, we identified </w:t>
      </w:r>
      <w:r w:rsidDel="00000000" w:rsidR="00000000" w:rsidRPr="00000000">
        <w:rPr>
          <w:rtl w:val="0"/>
        </w:rPr>
        <w:t xml:space="preserve">the tertile boundaries of abundance</w:t>
      </w:r>
      <w:r w:rsidDel="00000000" w:rsidR="00000000" w:rsidRPr="00000000">
        <w:rPr>
          <w:rtl w:val="0"/>
        </w:rPr>
        <w:t xml:space="preserve"> (see Table 1. categorize them into Low, Medium, and High) for the three key entities gene/proteins, diseases and organisms. The articles were then binned into 27 classes representing every combination of Low, Medium, and High gene/proteins, diseases and organisms (3x3x3). We then also overlaid information regarding article links to data and Open Targets (OTAR) gene-disease relationship annotations. Overall, this</w:t>
      </w:r>
      <w:r w:rsidDel="00000000" w:rsidR="00000000" w:rsidRPr="00000000">
        <w:rPr>
          <w:rtl w:val="0"/>
        </w:rPr>
        <w:t xml:space="preserve"> led to a set of  503,950 standard sized articles [</w:t>
      </w:r>
      <w:hyperlink r:id="rId10">
        <w:r w:rsidDel="00000000" w:rsidR="00000000" w:rsidRPr="00000000">
          <w:rPr>
            <w:color w:val="1155cc"/>
            <w:u w:val="single"/>
            <w:rtl w:val="0"/>
          </w:rPr>
          <w:t xml:space="preserve">Link to spreadsheet</w:t>
        </w:r>
      </w:hyperlink>
      <w:r w:rsidDel="00000000" w:rsidR="00000000" w:rsidRPr="00000000">
        <w:rPr>
          <w:rtl w:val="0"/>
        </w:rPr>
        <w:t xml:space="preserve">],</w:t>
      </w:r>
      <w:r w:rsidDel="00000000" w:rsidR="00000000" w:rsidRPr="00000000">
        <w:rPr>
          <w:rtl w:val="0"/>
        </w:rPr>
        <w:t xml:space="preserve"> exhibiting a range of abundances of the the three entities,</w:t>
      </w:r>
      <w:r w:rsidDel="00000000" w:rsidR="00000000" w:rsidRPr="00000000">
        <w:rPr>
          <w:rtl w:val="0"/>
        </w:rPr>
        <w:t xml:space="preserve"> about 13.4% of which have links to data and 26% of which have OTAR </w:t>
      </w:r>
      <w:r w:rsidDel="00000000" w:rsidR="00000000" w:rsidRPr="00000000">
        <w:rPr>
          <w:rtl w:val="0"/>
        </w:rPr>
        <w:t xml:space="preserve">annotations [</w:t>
      </w:r>
      <w:hyperlink r:id="rId11">
        <w:r w:rsidDel="00000000" w:rsidR="00000000" w:rsidRPr="00000000">
          <w:rPr>
            <w:color w:val="1155cc"/>
            <w:u w:val="single"/>
            <w:rtl w:val="0"/>
          </w:rPr>
          <w:t xml:space="preserve">Link to spreadsheet</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2">
      <w:pPr>
        <w:pStyle w:val="Heading4"/>
        <w:rPr/>
      </w:pPr>
      <w:bookmarkStart w:colFirst="0" w:colLast="0" w:name="_rnmlrl7s94ir" w:id="6"/>
      <w:bookmarkEnd w:id="6"/>
      <w:r w:rsidDel="00000000" w:rsidR="00000000" w:rsidRPr="00000000">
        <w:rPr>
          <w:rtl w:val="0"/>
        </w:rPr>
        <w:t xml:space="preserve">Draft guidelines for the annotators </w:t>
      </w:r>
    </w:p>
    <w:p w:rsidR="00000000" w:rsidDel="00000000" w:rsidP="00000000" w:rsidRDefault="00000000" w:rsidRPr="00000000" w14:paraId="00000063">
      <w:pPr>
        <w:numPr>
          <w:ilvl w:val="0"/>
          <w:numId w:val="13"/>
        </w:numPr>
        <w:ind w:left="720" w:hanging="360"/>
        <w:rPr>
          <w:sz w:val="20"/>
          <w:szCs w:val="20"/>
        </w:rPr>
      </w:pPr>
      <w:r w:rsidDel="00000000" w:rsidR="00000000" w:rsidRPr="00000000">
        <w:rPr>
          <w:sz w:val="20"/>
          <w:szCs w:val="20"/>
          <w:rtl w:val="0"/>
        </w:rPr>
        <w:t xml:space="preserve">Definitions of types we interested (i.e. what should be considered as a target entity?)</w:t>
      </w:r>
    </w:p>
    <w:p w:rsidR="00000000" w:rsidDel="00000000" w:rsidP="00000000" w:rsidRDefault="00000000" w:rsidRPr="00000000" w14:paraId="00000064">
      <w:pPr>
        <w:numPr>
          <w:ilvl w:val="0"/>
          <w:numId w:val="13"/>
        </w:numPr>
        <w:ind w:left="720" w:hanging="360"/>
        <w:rPr>
          <w:sz w:val="20"/>
          <w:szCs w:val="20"/>
        </w:rPr>
      </w:pPr>
      <w:r w:rsidDel="00000000" w:rsidR="00000000" w:rsidRPr="00000000">
        <w:rPr>
          <w:sz w:val="20"/>
          <w:szCs w:val="20"/>
          <w:rtl w:val="0"/>
        </w:rPr>
        <w:t xml:space="preserve">Some examples</w:t>
      </w:r>
    </w:p>
    <w:p w:rsidR="00000000" w:rsidDel="00000000" w:rsidP="00000000" w:rsidRDefault="00000000" w:rsidRPr="00000000" w14:paraId="00000065">
      <w:pPr>
        <w:numPr>
          <w:ilvl w:val="0"/>
          <w:numId w:val="13"/>
        </w:numPr>
        <w:ind w:left="720" w:hanging="360"/>
        <w:rPr>
          <w:sz w:val="20"/>
          <w:szCs w:val="20"/>
        </w:rPr>
      </w:pPr>
      <w:r w:rsidDel="00000000" w:rsidR="00000000" w:rsidRPr="00000000">
        <w:rPr>
          <w:sz w:val="20"/>
          <w:szCs w:val="20"/>
          <w:rtl w:val="0"/>
        </w:rPr>
        <w:t xml:space="preserve">Select the span of entity based on its syntax e.g. noun phrase/adjective phrase</w:t>
      </w:r>
    </w:p>
    <w:p w:rsidR="00000000" w:rsidDel="00000000" w:rsidP="00000000" w:rsidRDefault="00000000" w:rsidRPr="00000000" w14:paraId="00000066">
      <w:pPr>
        <w:numPr>
          <w:ilvl w:val="0"/>
          <w:numId w:val="13"/>
        </w:numPr>
        <w:ind w:left="720" w:hanging="360"/>
        <w:rPr>
          <w:sz w:val="20"/>
          <w:szCs w:val="20"/>
        </w:rPr>
      </w:pPr>
      <w:r w:rsidDel="00000000" w:rsidR="00000000" w:rsidRPr="00000000">
        <w:rPr>
          <w:sz w:val="20"/>
          <w:szCs w:val="20"/>
          <w:rtl w:val="0"/>
        </w:rPr>
        <w:t xml:space="preserve">Where (which database/platform) to check/validate whether the terms belong to a specific type and how to use the platform</w:t>
      </w:r>
    </w:p>
    <w:p w:rsidR="00000000" w:rsidDel="00000000" w:rsidP="00000000" w:rsidRDefault="00000000" w:rsidRPr="00000000" w14:paraId="00000067">
      <w:pPr>
        <w:numPr>
          <w:ilvl w:val="0"/>
          <w:numId w:val="13"/>
        </w:numPr>
        <w:ind w:left="720" w:hanging="360"/>
        <w:rPr>
          <w:sz w:val="20"/>
          <w:szCs w:val="20"/>
        </w:rPr>
      </w:pPr>
      <w:r w:rsidDel="00000000" w:rsidR="00000000" w:rsidRPr="00000000">
        <w:rPr>
          <w:sz w:val="20"/>
          <w:szCs w:val="20"/>
          <w:rtl w:val="0"/>
        </w:rPr>
        <w:t xml:space="preserve">How to communicate if there are unsure terms</w:t>
      </w:r>
    </w:p>
    <w:p w:rsidR="00000000" w:rsidDel="00000000" w:rsidP="00000000" w:rsidRDefault="00000000" w:rsidRPr="00000000" w14:paraId="00000068">
      <w:pPr>
        <w:numPr>
          <w:ilvl w:val="0"/>
          <w:numId w:val="13"/>
        </w:numPr>
        <w:ind w:left="720" w:hanging="360"/>
        <w:rPr>
          <w:sz w:val="20"/>
          <w:szCs w:val="20"/>
        </w:rPr>
      </w:pPr>
      <w:r w:rsidDel="00000000" w:rsidR="00000000" w:rsidRPr="00000000">
        <w:rPr>
          <w:sz w:val="20"/>
          <w:szCs w:val="20"/>
          <w:rtl w:val="0"/>
        </w:rPr>
        <w:t xml:space="preserve">How to use the annotation platform</w:t>
      </w:r>
    </w:p>
    <w:p w:rsidR="00000000" w:rsidDel="00000000" w:rsidP="00000000" w:rsidRDefault="00000000" w:rsidRPr="00000000" w14:paraId="00000069">
      <w:pPr>
        <w:ind w:left="720" w:firstLine="0"/>
        <w:rPr>
          <w:sz w:val="20"/>
          <w:szCs w:val="20"/>
        </w:rPr>
      </w:pPr>
      <w:r w:rsidDel="00000000" w:rsidR="00000000" w:rsidRPr="00000000">
        <w:rPr>
          <w:rtl w:val="0"/>
        </w:rPr>
      </w:r>
    </w:p>
    <w:p w:rsidR="00000000" w:rsidDel="00000000" w:rsidP="00000000" w:rsidRDefault="00000000" w:rsidRPr="00000000" w14:paraId="0000006A">
      <w:pPr>
        <w:pStyle w:val="Heading4"/>
        <w:rPr/>
      </w:pPr>
      <w:bookmarkStart w:colFirst="0" w:colLast="0" w:name="_e1mlhftlmoqr" w:id="7"/>
      <w:bookmarkEnd w:id="7"/>
      <w:r w:rsidDel="00000000" w:rsidR="00000000" w:rsidRPr="00000000">
        <w:rPr>
          <w:rtl w:val="0"/>
        </w:rPr>
        <w:t xml:space="preserve">Annotation work begins:</w:t>
      </w:r>
    </w:p>
    <w:p w:rsidR="00000000" w:rsidDel="00000000" w:rsidP="00000000" w:rsidRDefault="00000000" w:rsidRPr="00000000" w14:paraId="0000006B">
      <w:pPr>
        <w:numPr>
          <w:ilvl w:val="0"/>
          <w:numId w:val="8"/>
        </w:numPr>
        <w:ind w:left="720" w:hanging="360"/>
        <w:rPr>
          <w:sz w:val="20"/>
          <w:szCs w:val="20"/>
        </w:rPr>
      </w:pPr>
      <w:r w:rsidDel="00000000" w:rsidR="00000000" w:rsidRPr="00000000">
        <w:rPr>
          <w:sz w:val="20"/>
          <w:szCs w:val="20"/>
          <w:rtl w:val="0"/>
        </w:rPr>
        <w:t xml:space="preserve">Pre-annotate articles using Europe PMC annotation pipeline</w:t>
      </w:r>
    </w:p>
    <w:p w:rsidR="00000000" w:rsidDel="00000000" w:rsidP="00000000" w:rsidRDefault="00000000" w:rsidRPr="00000000" w14:paraId="0000006C">
      <w:pPr>
        <w:numPr>
          <w:ilvl w:val="0"/>
          <w:numId w:val="8"/>
        </w:numPr>
        <w:ind w:left="720" w:hanging="360"/>
        <w:rPr>
          <w:sz w:val="20"/>
          <w:szCs w:val="20"/>
        </w:rPr>
      </w:pPr>
      <w:r w:rsidDel="00000000" w:rsidR="00000000" w:rsidRPr="00000000">
        <w:rPr>
          <w:sz w:val="20"/>
          <w:szCs w:val="20"/>
          <w:rtl w:val="0"/>
        </w:rPr>
        <w:t xml:space="preserve">Present the pre-annotated articles </w:t>
      </w:r>
      <w:r w:rsidDel="00000000" w:rsidR="00000000" w:rsidRPr="00000000">
        <w:rPr>
          <w:sz w:val="20"/>
          <w:szCs w:val="20"/>
          <w:rtl w:val="0"/>
        </w:rPr>
        <w:t xml:space="preserve">on the annotation platform</w:t>
      </w:r>
      <w:r w:rsidDel="00000000" w:rsidR="00000000" w:rsidRPr="00000000">
        <w:rPr>
          <w:rtl w:val="0"/>
        </w:rPr>
      </w:r>
    </w:p>
    <w:p w:rsidR="00000000" w:rsidDel="00000000" w:rsidP="00000000" w:rsidRDefault="00000000" w:rsidRPr="00000000" w14:paraId="0000006D">
      <w:pPr>
        <w:numPr>
          <w:ilvl w:val="0"/>
          <w:numId w:val="8"/>
        </w:numPr>
        <w:ind w:left="720" w:hanging="360"/>
        <w:rPr>
          <w:sz w:val="20"/>
          <w:szCs w:val="20"/>
        </w:rPr>
      </w:pPr>
      <w:r w:rsidDel="00000000" w:rsidR="00000000" w:rsidRPr="00000000">
        <w:rPr>
          <w:sz w:val="20"/>
          <w:szCs w:val="20"/>
          <w:rtl w:val="0"/>
        </w:rPr>
        <w:t xml:space="preserve">Let </w:t>
      </w:r>
      <w:r w:rsidDel="00000000" w:rsidR="00000000" w:rsidRPr="00000000">
        <w:rPr>
          <w:sz w:val="20"/>
          <w:szCs w:val="20"/>
          <w:rtl w:val="0"/>
        </w:rPr>
        <w:t xml:space="preserve">annotators</w:t>
      </w:r>
      <w:r w:rsidDel="00000000" w:rsidR="00000000" w:rsidRPr="00000000">
        <w:rPr>
          <w:sz w:val="20"/>
          <w:szCs w:val="20"/>
          <w:rtl w:val="0"/>
        </w:rPr>
        <w:t xml:space="preserve"> start annotate articles:</w:t>
      </w:r>
    </w:p>
    <w:p w:rsidR="00000000" w:rsidDel="00000000" w:rsidP="00000000" w:rsidRDefault="00000000" w:rsidRPr="00000000" w14:paraId="0000006E">
      <w:pPr>
        <w:numPr>
          <w:ilvl w:val="1"/>
          <w:numId w:val="8"/>
        </w:numPr>
        <w:ind w:left="1440" w:hanging="360"/>
        <w:rPr>
          <w:sz w:val="20"/>
          <w:szCs w:val="20"/>
        </w:rPr>
      </w:pPr>
      <w:r w:rsidDel="00000000" w:rsidR="00000000" w:rsidRPr="00000000">
        <w:rPr>
          <w:sz w:val="20"/>
          <w:szCs w:val="20"/>
          <w:rtl w:val="0"/>
        </w:rPr>
        <w:t xml:space="preserve">Following the guidelines</w:t>
      </w:r>
    </w:p>
    <w:p w:rsidR="00000000" w:rsidDel="00000000" w:rsidP="00000000" w:rsidRDefault="00000000" w:rsidRPr="00000000" w14:paraId="0000006F">
      <w:pPr>
        <w:numPr>
          <w:ilvl w:val="1"/>
          <w:numId w:val="8"/>
        </w:numPr>
        <w:ind w:left="1440" w:hanging="360"/>
        <w:rPr>
          <w:sz w:val="20"/>
          <w:szCs w:val="20"/>
        </w:rPr>
      </w:pPr>
      <w:r w:rsidDel="00000000" w:rsidR="00000000" w:rsidRPr="00000000">
        <w:rPr>
          <w:sz w:val="20"/>
          <w:szCs w:val="20"/>
          <w:rtl w:val="0"/>
        </w:rPr>
        <w:t xml:space="preserve">Annotate entities missed by the pre-annotation</w:t>
      </w:r>
    </w:p>
    <w:p w:rsidR="00000000" w:rsidDel="00000000" w:rsidP="00000000" w:rsidRDefault="00000000" w:rsidRPr="00000000" w14:paraId="00000070">
      <w:pPr>
        <w:numPr>
          <w:ilvl w:val="1"/>
          <w:numId w:val="8"/>
        </w:numPr>
        <w:ind w:left="1440" w:hanging="360"/>
        <w:rPr>
          <w:sz w:val="20"/>
          <w:szCs w:val="20"/>
        </w:rPr>
      </w:pPr>
      <w:r w:rsidDel="00000000" w:rsidR="00000000" w:rsidRPr="00000000">
        <w:rPr>
          <w:sz w:val="20"/>
          <w:szCs w:val="20"/>
          <w:rtl w:val="0"/>
        </w:rPr>
        <w:t xml:space="preserve">Correct wrong annotations made by pre-annotations</w:t>
      </w:r>
    </w:p>
    <w:p w:rsidR="00000000" w:rsidDel="00000000" w:rsidP="00000000" w:rsidRDefault="00000000" w:rsidRPr="00000000" w14:paraId="00000071">
      <w:pPr>
        <w:numPr>
          <w:ilvl w:val="1"/>
          <w:numId w:val="8"/>
        </w:numPr>
        <w:ind w:left="1440" w:hanging="360"/>
        <w:rPr>
          <w:sz w:val="20"/>
          <w:szCs w:val="20"/>
        </w:rPr>
      </w:pPr>
      <w:r w:rsidDel="00000000" w:rsidR="00000000" w:rsidRPr="00000000">
        <w:rPr>
          <w:sz w:val="20"/>
          <w:szCs w:val="20"/>
          <w:rtl w:val="0"/>
        </w:rPr>
        <w:t xml:space="preserve">If issues arise, report to lead annotator</w:t>
      </w:r>
    </w:p>
    <w:p w:rsidR="00000000" w:rsidDel="00000000" w:rsidP="00000000" w:rsidRDefault="00000000" w:rsidRPr="00000000" w14:paraId="00000072">
      <w:pPr>
        <w:numPr>
          <w:ilvl w:val="0"/>
          <w:numId w:val="8"/>
        </w:numPr>
        <w:ind w:left="720" w:hanging="360"/>
        <w:rPr>
          <w:sz w:val="20"/>
          <w:szCs w:val="20"/>
        </w:rPr>
      </w:pPr>
      <w:r w:rsidDel="00000000" w:rsidR="00000000" w:rsidRPr="00000000">
        <w:rPr>
          <w:sz w:val="20"/>
          <w:szCs w:val="20"/>
          <w:rtl w:val="0"/>
        </w:rPr>
        <w:t xml:space="preserve">Lead annotator reviews as many as annotations made by primary annotators</w:t>
      </w:r>
    </w:p>
    <w:p w:rsidR="00000000" w:rsidDel="00000000" w:rsidP="00000000" w:rsidRDefault="00000000" w:rsidRPr="00000000" w14:paraId="00000073">
      <w:pPr>
        <w:numPr>
          <w:ilvl w:val="1"/>
          <w:numId w:val="8"/>
        </w:numPr>
        <w:ind w:left="1440" w:hanging="360"/>
        <w:rPr>
          <w:sz w:val="20"/>
          <w:szCs w:val="20"/>
        </w:rPr>
      </w:pPr>
      <w:r w:rsidDel="00000000" w:rsidR="00000000" w:rsidRPr="00000000">
        <w:rPr>
          <w:sz w:val="20"/>
          <w:szCs w:val="20"/>
          <w:rtl w:val="0"/>
        </w:rPr>
        <w:t xml:space="preserve">Summarizes issues</w:t>
      </w:r>
    </w:p>
    <w:p w:rsidR="00000000" w:rsidDel="00000000" w:rsidP="00000000" w:rsidRDefault="00000000" w:rsidRPr="00000000" w14:paraId="00000074">
      <w:pPr>
        <w:numPr>
          <w:ilvl w:val="1"/>
          <w:numId w:val="8"/>
        </w:numPr>
        <w:ind w:left="1440" w:hanging="360"/>
        <w:rPr>
          <w:sz w:val="20"/>
          <w:szCs w:val="20"/>
        </w:rPr>
      </w:pPr>
      <w:r w:rsidDel="00000000" w:rsidR="00000000" w:rsidRPr="00000000">
        <w:rPr>
          <w:sz w:val="20"/>
          <w:szCs w:val="20"/>
          <w:rtl w:val="0"/>
        </w:rPr>
        <w:t xml:space="preserve">Communicates/discusses with primary annotators</w:t>
      </w:r>
    </w:p>
    <w:p w:rsidR="00000000" w:rsidDel="00000000" w:rsidP="00000000" w:rsidRDefault="00000000" w:rsidRPr="00000000" w14:paraId="00000075">
      <w:pPr>
        <w:numPr>
          <w:ilvl w:val="1"/>
          <w:numId w:val="8"/>
        </w:numPr>
        <w:ind w:left="1440" w:hanging="360"/>
        <w:rPr>
          <w:sz w:val="20"/>
          <w:szCs w:val="20"/>
        </w:rPr>
      </w:pPr>
      <w:r w:rsidDel="00000000" w:rsidR="00000000" w:rsidRPr="00000000">
        <w:rPr>
          <w:sz w:val="20"/>
          <w:szCs w:val="20"/>
          <w:rtl w:val="0"/>
        </w:rPr>
        <w:t xml:space="preserve">Generate specific guidelines that tackle specific issues</w:t>
      </w:r>
    </w:p>
    <w:p w:rsidR="00000000" w:rsidDel="00000000" w:rsidP="00000000" w:rsidRDefault="00000000" w:rsidRPr="00000000" w14:paraId="00000076">
      <w:pPr>
        <w:numPr>
          <w:ilvl w:val="1"/>
          <w:numId w:val="8"/>
        </w:numPr>
        <w:ind w:left="1440" w:hanging="360"/>
        <w:rPr>
          <w:sz w:val="20"/>
          <w:szCs w:val="20"/>
        </w:rPr>
      </w:pPr>
      <w:r w:rsidDel="00000000" w:rsidR="00000000" w:rsidRPr="00000000">
        <w:rPr>
          <w:sz w:val="20"/>
          <w:szCs w:val="20"/>
          <w:rtl w:val="0"/>
        </w:rPr>
        <w:t xml:space="preserve">Repeat these steps</w:t>
      </w:r>
    </w:p>
    <w:p w:rsidR="00000000" w:rsidDel="00000000" w:rsidP="00000000" w:rsidRDefault="00000000" w:rsidRPr="00000000" w14:paraId="00000077">
      <w:pPr>
        <w:rPr>
          <w:sz w:val="20"/>
          <w:szCs w:val="20"/>
        </w:rPr>
      </w:pPr>
      <w:r w:rsidDel="00000000" w:rsidR="00000000" w:rsidRPr="00000000">
        <w:rPr>
          <w:rtl w:val="0"/>
        </w:rPr>
      </w:r>
    </w:p>
    <w:p w:rsidR="00000000" w:rsidDel="00000000" w:rsidP="00000000" w:rsidRDefault="00000000" w:rsidRPr="00000000" w14:paraId="00000078">
      <w:pPr>
        <w:rPr>
          <w:sz w:val="20"/>
          <w:szCs w:val="20"/>
        </w:rPr>
      </w:pPr>
      <w:r w:rsidDel="00000000" w:rsidR="00000000" w:rsidRPr="00000000">
        <w:rPr>
          <w:sz w:val="20"/>
          <w:szCs w:val="20"/>
          <w:rtl w:val="0"/>
        </w:rPr>
        <w:t xml:space="preserve">Depends on available resources and time frame, the annotation steps may vary.</w:t>
      </w:r>
    </w:p>
    <w:p w:rsidR="00000000" w:rsidDel="00000000" w:rsidP="00000000" w:rsidRDefault="00000000" w:rsidRPr="00000000" w14:paraId="00000079">
      <w:pPr>
        <w:numPr>
          <w:ilvl w:val="0"/>
          <w:numId w:val="3"/>
        </w:numPr>
        <w:ind w:left="720" w:hanging="360"/>
        <w:rPr>
          <w:sz w:val="20"/>
          <w:szCs w:val="20"/>
        </w:rPr>
      </w:pPr>
      <w:r w:rsidDel="00000000" w:rsidR="00000000" w:rsidRPr="00000000">
        <w:rPr>
          <w:rFonts w:ascii="Roboto" w:cs="Roboto" w:eastAsia="Roboto" w:hAnsi="Roboto"/>
          <w:color w:val="333333"/>
          <w:sz w:val="20"/>
          <w:szCs w:val="20"/>
          <w:shd w:fill="f5f5f5" w:val="clear"/>
          <w:rtl w:val="0"/>
        </w:rPr>
        <w:t xml:space="preserve"> If resources and time allows, three primary annotators work on the same set of articles (for agreement score) and then annotations can be checked/corrected by a lead annotator if a lead annotator is available.</w:t>
      </w:r>
    </w:p>
    <w:p w:rsidR="00000000" w:rsidDel="00000000" w:rsidP="00000000" w:rsidRDefault="00000000" w:rsidRPr="00000000" w14:paraId="0000007A">
      <w:pPr>
        <w:numPr>
          <w:ilvl w:val="0"/>
          <w:numId w:val="3"/>
        </w:numPr>
        <w:ind w:left="720" w:hanging="360"/>
        <w:rPr>
          <w:rFonts w:ascii="Roboto" w:cs="Roboto" w:eastAsia="Roboto" w:hAnsi="Roboto"/>
          <w:color w:val="333333"/>
          <w:sz w:val="20"/>
          <w:szCs w:val="20"/>
          <w:shd w:fill="f5f5f5" w:val="clear"/>
        </w:rPr>
      </w:pPr>
      <w:r w:rsidDel="00000000" w:rsidR="00000000" w:rsidRPr="00000000">
        <w:rPr>
          <w:rFonts w:ascii="Roboto" w:cs="Roboto" w:eastAsia="Roboto" w:hAnsi="Roboto"/>
          <w:color w:val="333333"/>
          <w:sz w:val="20"/>
          <w:szCs w:val="20"/>
          <w:shd w:fill="f5f5f5" w:val="clear"/>
          <w:rtl w:val="0"/>
        </w:rPr>
        <w:t xml:space="preserve">If (1) is not practical, each primary annotator works on different articles and then annotations are checked or corrected by a lead annotator. As such a lead annotator is crucial for the quality of annotations.</w:t>
      </w:r>
    </w:p>
    <w:p w:rsidR="00000000" w:rsidDel="00000000" w:rsidP="00000000" w:rsidRDefault="00000000" w:rsidRPr="00000000" w14:paraId="0000007B">
      <w:pPr>
        <w:rPr/>
      </w:pPr>
      <w:r w:rsidDel="00000000" w:rsidR="00000000" w:rsidRPr="00000000">
        <w:rPr>
          <w:rtl w:val="0"/>
        </w:rPr>
        <w:t xml:space="preserve">Where an annotation tool is required we will use a combination of Europe PMC annotations and Hypothes.is, which allows annotations of articles from the Europe PMC interface - it’s easier for annotators to annotate while reading a well-formatted paper in a browser.</w:t>
      </w:r>
    </w:p>
    <w:p w:rsidR="00000000" w:rsidDel="00000000" w:rsidP="00000000" w:rsidRDefault="00000000" w:rsidRPr="00000000" w14:paraId="0000007C">
      <w:pPr>
        <w:numPr>
          <w:ilvl w:val="0"/>
          <w:numId w:val="7"/>
        </w:numPr>
        <w:ind w:left="720" w:hanging="360"/>
      </w:pPr>
      <w:r w:rsidDel="00000000" w:rsidR="00000000" w:rsidRPr="00000000">
        <w:rPr>
          <w:rtl w:val="0"/>
        </w:rPr>
        <w:t xml:space="preserve">It requires alteration to the Europe PMC annotations feedback form plus:</w:t>
      </w:r>
    </w:p>
    <w:p w:rsidR="00000000" w:rsidDel="00000000" w:rsidP="00000000" w:rsidRDefault="00000000" w:rsidRPr="00000000" w14:paraId="0000007D">
      <w:pPr>
        <w:numPr>
          <w:ilvl w:val="1"/>
          <w:numId w:val="7"/>
        </w:numPr>
        <w:ind w:left="1440" w:hanging="360"/>
      </w:pPr>
      <w:r w:rsidDel="00000000" w:rsidR="00000000" w:rsidRPr="00000000">
        <w:rPr>
          <w:rtl w:val="0"/>
        </w:rPr>
        <w:t xml:space="preserve">Hypothes.is user account for each annotator</w:t>
      </w:r>
    </w:p>
    <w:p w:rsidR="00000000" w:rsidDel="00000000" w:rsidP="00000000" w:rsidRDefault="00000000" w:rsidRPr="00000000" w14:paraId="0000007E">
      <w:pPr>
        <w:numPr>
          <w:ilvl w:val="1"/>
          <w:numId w:val="7"/>
        </w:numPr>
        <w:ind w:left="1440" w:hanging="360"/>
      </w:pPr>
      <w:r w:rsidDel="00000000" w:rsidR="00000000" w:rsidRPr="00000000">
        <w:rPr>
          <w:rtl w:val="0"/>
        </w:rPr>
        <w:t xml:space="preserve">use of a Hypothes.is group “Europe PMC annotations” for marking false negatives.</w:t>
      </w:r>
    </w:p>
    <w:p w:rsidR="00000000" w:rsidDel="00000000" w:rsidP="00000000" w:rsidRDefault="00000000" w:rsidRPr="00000000" w14:paraId="0000007F">
      <w:pPr>
        <w:numPr>
          <w:ilvl w:val="0"/>
          <w:numId w:val="7"/>
        </w:numPr>
        <w:ind w:left="720" w:hanging="360"/>
      </w:pPr>
      <w:r w:rsidDel="00000000" w:rsidR="00000000" w:rsidRPr="00000000">
        <w:rPr>
          <w:rtl w:val="0"/>
        </w:rPr>
        <w:t xml:space="preserve">We need to ensure the output formats are parsable and able to be integrated with Europe PMC annotations .</w:t>
      </w:r>
    </w:p>
    <w:p w:rsidR="00000000" w:rsidDel="00000000" w:rsidP="00000000" w:rsidRDefault="00000000" w:rsidRPr="00000000" w14:paraId="00000080">
      <w:pPr>
        <w:numPr>
          <w:ilvl w:val="0"/>
          <w:numId w:val="7"/>
        </w:numPr>
        <w:ind w:left="720" w:hanging="360"/>
      </w:pPr>
      <w:r w:rsidDel="00000000" w:rsidR="00000000" w:rsidRPr="00000000">
        <w:rPr>
          <w:color w:val="cc4125"/>
          <w:rtl w:val="0"/>
        </w:rPr>
        <w:t xml:space="preserve">We need to switch off the entity auto-delete function</w:t>
      </w:r>
      <w:r w:rsidDel="00000000" w:rsidR="00000000" w:rsidRPr="00000000">
        <w:rPr>
          <w:rtl w:val="0"/>
        </w:rPr>
        <w:t xml:space="preserve">.</w:t>
      </w:r>
    </w:p>
    <w:p w:rsidR="00000000" w:rsidDel="00000000" w:rsidP="00000000" w:rsidRDefault="00000000" w:rsidRPr="00000000" w14:paraId="00000081">
      <w:pPr>
        <w:rPr/>
      </w:pPr>
      <w:r w:rsidDel="00000000" w:rsidR="00000000" w:rsidRPr="00000000">
        <w:rPr>
          <w:rtl w:val="0"/>
        </w:rPr>
        <w:t xml:space="preserve">As a bonus this approach will also identify bugs in the SciLite viewer as a false negative may indeed have been a true positive but not displayed correctly by SciLite. The approach leads to two tasks: validate pre-tagged entities/relationships and identify missed entities/relationships. </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For annotators to validate existing annotations: needs a pop up that allows annotators to report:</w:t>
      </w:r>
    </w:p>
    <w:p w:rsidR="00000000" w:rsidDel="00000000" w:rsidP="00000000" w:rsidRDefault="00000000" w:rsidRPr="00000000" w14:paraId="00000085">
      <w:pPr>
        <w:numPr>
          <w:ilvl w:val="0"/>
          <w:numId w:val="12"/>
        </w:numPr>
        <w:ind w:left="720" w:hanging="360"/>
      </w:pPr>
      <w:r w:rsidDel="00000000" w:rsidR="00000000" w:rsidRPr="00000000">
        <w:rPr>
          <w:rtl w:val="0"/>
        </w:rPr>
        <w:t xml:space="preserve">Entity is correct</w:t>
      </w:r>
    </w:p>
    <w:p w:rsidR="00000000" w:rsidDel="00000000" w:rsidP="00000000" w:rsidRDefault="00000000" w:rsidRPr="00000000" w14:paraId="00000086">
      <w:pPr>
        <w:numPr>
          <w:ilvl w:val="0"/>
          <w:numId w:val="12"/>
        </w:numPr>
        <w:ind w:left="720" w:hanging="360"/>
      </w:pPr>
      <w:r w:rsidDel="00000000" w:rsidR="00000000" w:rsidRPr="00000000">
        <w:rPr>
          <w:rtl w:val="0"/>
        </w:rPr>
        <w:t xml:space="preserve">Both entities in a relationship are correct AND</w:t>
      </w:r>
      <w:r w:rsidDel="00000000" w:rsidR="00000000" w:rsidRPr="00000000">
        <w:rPr>
          <w:rtl w:val="0"/>
        </w:rPr>
      </w:r>
    </w:p>
    <w:p w:rsidR="00000000" w:rsidDel="00000000" w:rsidP="00000000" w:rsidRDefault="00000000" w:rsidRPr="00000000" w14:paraId="00000087">
      <w:pPr>
        <w:numPr>
          <w:ilvl w:val="1"/>
          <w:numId w:val="12"/>
        </w:numPr>
        <w:ind w:left="1440" w:hanging="360"/>
      </w:pPr>
      <w:r w:rsidDel="00000000" w:rsidR="00000000" w:rsidRPr="00000000">
        <w:rPr>
          <w:rtl w:val="0"/>
        </w:rPr>
        <w:t xml:space="preserve">The relationship is positive and certain</w:t>
      </w:r>
    </w:p>
    <w:p w:rsidR="00000000" w:rsidDel="00000000" w:rsidP="00000000" w:rsidRDefault="00000000" w:rsidRPr="00000000" w14:paraId="00000088">
      <w:pPr>
        <w:numPr>
          <w:ilvl w:val="2"/>
          <w:numId w:val="12"/>
        </w:numPr>
        <w:ind w:left="2160" w:hanging="360"/>
        <w:rPr>
          <w:sz w:val="20"/>
          <w:szCs w:val="20"/>
        </w:rPr>
      </w:pPr>
      <w:r w:rsidDel="00000000" w:rsidR="00000000" w:rsidRPr="00000000">
        <w:rPr>
          <w:sz w:val="20"/>
          <w:szCs w:val="20"/>
          <w:rtl w:val="0"/>
        </w:rPr>
        <w:t xml:space="preserve">Significant transcriptome alterations are detected in the brain of patients with amyotrophic lateral sclerosis (ALS), including carriers of the C9orf72 repeat expansion and C9orf72-negative sporadic cases PMC5886204</w:t>
      </w:r>
    </w:p>
    <w:p w:rsidR="00000000" w:rsidDel="00000000" w:rsidP="00000000" w:rsidRDefault="00000000" w:rsidRPr="00000000" w14:paraId="00000089">
      <w:pPr>
        <w:numPr>
          <w:ilvl w:val="1"/>
          <w:numId w:val="12"/>
        </w:numPr>
        <w:ind w:left="1440" w:hanging="360"/>
      </w:pPr>
      <w:r w:rsidDel="00000000" w:rsidR="00000000" w:rsidRPr="00000000">
        <w:rPr>
          <w:rtl w:val="0"/>
        </w:rPr>
        <w:t xml:space="preserve">The relationship is positive and possible</w:t>
      </w:r>
    </w:p>
    <w:p w:rsidR="00000000" w:rsidDel="00000000" w:rsidP="00000000" w:rsidRDefault="00000000" w:rsidRPr="00000000" w14:paraId="0000008A">
      <w:pPr>
        <w:numPr>
          <w:ilvl w:val="1"/>
          <w:numId w:val="12"/>
        </w:numPr>
        <w:ind w:left="1440" w:hanging="360"/>
      </w:pPr>
      <w:r w:rsidDel="00000000" w:rsidR="00000000" w:rsidRPr="00000000">
        <w:rPr>
          <w:rtl w:val="0"/>
        </w:rPr>
        <w:t xml:space="preserve">The relationship is negative and certain</w:t>
      </w:r>
    </w:p>
    <w:p w:rsidR="00000000" w:rsidDel="00000000" w:rsidP="00000000" w:rsidRDefault="00000000" w:rsidRPr="00000000" w14:paraId="0000008B">
      <w:pPr>
        <w:numPr>
          <w:ilvl w:val="2"/>
          <w:numId w:val="12"/>
        </w:numPr>
        <w:ind w:left="2160" w:hanging="360"/>
        <w:rPr>
          <w:sz w:val="20"/>
          <w:szCs w:val="20"/>
        </w:rPr>
      </w:pPr>
      <w:r w:rsidDel="00000000" w:rsidR="00000000" w:rsidRPr="00000000">
        <w:rPr>
          <w:sz w:val="20"/>
          <w:szCs w:val="20"/>
          <w:rtl w:val="0"/>
        </w:rPr>
        <w:t xml:space="preserve">Furthermore, serum levels of </w:t>
      </w:r>
      <w:r w:rsidDel="00000000" w:rsidR="00000000" w:rsidRPr="00000000">
        <w:rPr>
          <w:sz w:val="20"/>
          <w:szCs w:val="20"/>
          <w:shd w:fill="b6d7a8" w:val="clear"/>
          <w:rtl w:val="0"/>
        </w:rPr>
        <w:t xml:space="preserve">OPG</w:t>
      </w:r>
      <w:r w:rsidDel="00000000" w:rsidR="00000000" w:rsidRPr="00000000">
        <w:rPr>
          <w:sz w:val="20"/>
          <w:szCs w:val="20"/>
          <w:rtl w:val="0"/>
        </w:rPr>
        <w:t xml:space="preserve"> did not show differences between patients with </w:t>
      </w:r>
      <w:r w:rsidDel="00000000" w:rsidR="00000000" w:rsidRPr="00000000">
        <w:rPr>
          <w:sz w:val="20"/>
          <w:szCs w:val="20"/>
          <w:shd w:fill="b6d7a8" w:val="clear"/>
          <w:rtl w:val="0"/>
        </w:rPr>
        <w:t xml:space="preserve">osteonecrosis</w:t>
      </w:r>
      <w:r w:rsidDel="00000000" w:rsidR="00000000" w:rsidRPr="00000000">
        <w:rPr>
          <w:sz w:val="20"/>
          <w:szCs w:val="20"/>
          <w:rtl w:val="0"/>
        </w:rPr>
        <w:t xml:space="preserve"> treated intravenously for cancer compared to those treated orally for osteoporosis. PMC5694175</w:t>
      </w:r>
    </w:p>
    <w:p w:rsidR="00000000" w:rsidDel="00000000" w:rsidP="00000000" w:rsidRDefault="00000000" w:rsidRPr="00000000" w14:paraId="0000008C">
      <w:pPr>
        <w:numPr>
          <w:ilvl w:val="1"/>
          <w:numId w:val="12"/>
        </w:numPr>
        <w:ind w:left="1440" w:hanging="360"/>
      </w:pPr>
      <w:r w:rsidDel="00000000" w:rsidR="00000000" w:rsidRPr="00000000">
        <w:rPr>
          <w:rtl w:val="0"/>
        </w:rPr>
        <w:t xml:space="preserve">The relationship is negative and possible</w:t>
      </w:r>
    </w:p>
    <w:p w:rsidR="00000000" w:rsidDel="00000000" w:rsidP="00000000" w:rsidRDefault="00000000" w:rsidRPr="00000000" w14:paraId="0000008D">
      <w:pPr>
        <w:numPr>
          <w:ilvl w:val="1"/>
          <w:numId w:val="12"/>
        </w:numPr>
        <w:ind w:left="1440" w:hanging="360"/>
      </w:pPr>
      <w:r w:rsidDel="00000000" w:rsidR="00000000" w:rsidRPr="00000000">
        <w:rPr>
          <w:rtl w:val="0"/>
        </w:rPr>
        <w:t xml:space="preserve">The relationship is indirect</w:t>
      </w:r>
    </w:p>
    <w:p w:rsidR="00000000" w:rsidDel="00000000" w:rsidP="00000000" w:rsidRDefault="00000000" w:rsidRPr="00000000" w14:paraId="0000008E">
      <w:pPr>
        <w:numPr>
          <w:ilvl w:val="2"/>
          <w:numId w:val="12"/>
        </w:numPr>
        <w:ind w:left="2160" w:hanging="360"/>
        <w:rPr>
          <w:sz w:val="20"/>
          <w:szCs w:val="20"/>
        </w:rPr>
      </w:pPr>
      <w:r w:rsidDel="00000000" w:rsidR="00000000" w:rsidRPr="00000000">
        <w:rPr>
          <w:sz w:val="20"/>
          <w:szCs w:val="20"/>
          <w:rtl w:val="0"/>
        </w:rPr>
        <w:t xml:space="preserve">e.g. Based on the comparison of serum levels of </w:t>
      </w:r>
      <w:r w:rsidDel="00000000" w:rsidR="00000000" w:rsidRPr="00000000">
        <w:rPr>
          <w:sz w:val="20"/>
          <w:szCs w:val="20"/>
          <w:shd w:fill="b6d7a8" w:val="clear"/>
          <w:rtl w:val="0"/>
        </w:rPr>
        <w:t xml:space="preserve">RANKL</w:t>
      </w:r>
      <w:r w:rsidDel="00000000" w:rsidR="00000000" w:rsidRPr="00000000">
        <w:rPr>
          <w:sz w:val="20"/>
          <w:szCs w:val="20"/>
          <w:rtl w:val="0"/>
        </w:rPr>
        <w:t xml:space="preserve"> and </w:t>
      </w:r>
      <w:r w:rsidDel="00000000" w:rsidR="00000000" w:rsidRPr="00000000">
        <w:rPr>
          <w:sz w:val="20"/>
          <w:szCs w:val="20"/>
          <w:shd w:fill="b6d7a8" w:val="clear"/>
          <w:rtl w:val="0"/>
        </w:rPr>
        <w:t xml:space="preserve">OPG</w:t>
      </w:r>
      <w:r w:rsidDel="00000000" w:rsidR="00000000" w:rsidRPr="00000000">
        <w:rPr>
          <w:sz w:val="20"/>
          <w:szCs w:val="20"/>
          <w:rtl w:val="0"/>
        </w:rPr>
        <w:t xml:space="preserve">, and the RANKL/OPG ratio among the different stages of </w:t>
      </w:r>
      <w:r w:rsidDel="00000000" w:rsidR="00000000" w:rsidRPr="00000000">
        <w:rPr>
          <w:sz w:val="20"/>
          <w:szCs w:val="20"/>
          <w:shd w:fill="b6d7a8" w:val="clear"/>
          <w:rtl w:val="0"/>
        </w:rPr>
        <w:t xml:space="preserve">osteonecrosis</w:t>
      </w:r>
      <w:r w:rsidDel="00000000" w:rsidR="00000000" w:rsidRPr="00000000">
        <w:rPr>
          <w:sz w:val="20"/>
          <w:szCs w:val="20"/>
          <w:rtl w:val="0"/>
        </w:rPr>
        <w:t xml:space="preserve">, no significant differences were observed (p &gt; 0.05). PMC5694175</w:t>
      </w:r>
    </w:p>
    <w:p w:rsidR="00000000" w:rsidDel="00000000" w:rsidP="00000000" w:rsidRDefault="00000000" w:rsidRPr="00000000" w14:paraId="0000008F">
      <w:pPr>
        <w:numPr>
          <w:ilvl w:val="2"/>
          <w:numId w:val="12"/>
        </w:numPr>
        <w:ind w:left="2160" w:hanging="360"/>
        <w:rPr>
          <w:sz w:val="20"/>
          <w:szCs w:val="20"/>
        </w:rPr>
      </w:pPr>
      <w:r w:rsidDel="00000000" w:rsidR="00000000" w:rsidRPr="00000000">
        <w:rPr>
          <w:sz w:val="20"/>
          <w:szCs w:val="20"/>
          <w:rtl w:val="0"/>
        </w:rPr>
        <w:t xml:space="preserve">We determined whether serum levels of Receptor Activator for Nuclear Factor κ B Ligand (RANKL), Osteoprotegerin (</w:t>
      </w:r>
      <w:r w:rsidDel="00000000" w:rsidR="00000000" w:rsidRPr="00000000">
        <w:rPr>
          <w:sz w:val="20"/>
          <w:szCs w:val="20"/>
          <w:shd w:fill="b6d7a8" w:val="clear"/>
          <w:rtl w:val="0"/>
        </w:rPr>
        <w:t xml:space="preserve">OPG</w:t>
      </w:r>
      <w:r w:rsidDel="00000000" w:rsidR="00000000" w:rsidRPr="00000000">
        <w:rPr>
          <w:sz w:val="20"/>
          <w:szCs w:val="20"/>
          <w:rtl w:val="0"/>
        </w:rPr>
        <w:t xml:space="preserve">), and the </w:t>
      </w:r>
      <w:r w:rsidDel="00000000" w:rsidR="00000000" w:rsidRPr="00000000">
        <w:rPr>
          <w:sz w:val="20"/>
          <w:szCs w:val="20"/>
          <w:shd w:fill="b6d7a8" w:val="clear"/>
          <w:rtl w:val="0"/>
        </w:rPr>
        <w:t xml:space="preserve">RANKL</w:t>
      </w:r>
      <w:r w:rsidDel="00000000" w:rsidR="00000000" w:rsidRPr="00000000">
        <w:rPr>
          <w:sz w:val="20"/>
          <w:szCs w:val="20"/>
          <w:rtl w:val="0"/>
        </w:rPr>
        <w:t xml:space="preserve">/OPG ratio could be useful biomarkers for the severity of oral lesions in bisphosphonate-related </w:t>
      </w:r>
      <w:r w:rsidDel="00000000" w:rsidR="00000000" w:rsidRPr="00000000">
        <w:rPr>
          <w:sz w:val="20"/>
          <w:szCs w:val="20"/>
          <w:shd w:fill="b6d7a8" w:val="clear"/>
          <w:rtl w:val="0"/>
        </w:rPr>
        <w:t xml:space="preserve">osteonecrosis</w:t>
      </w:r>
      <w:r w:rsidDel="00000000" w:rsidR="00000000" w:rsidRPr="00000000">
        <w:rPr>
          <w:sz w:val="20"/>
          <w:szCs w:val="20"/>
          <w:rtl w:val="0"/>
        </w:rPr>
        <w:t xml:space="preserve"> of the jaw PMC5694175</w:t>
      </w:r>
    </w:p>
    <w:p w:rsidR="00000000" w:rsidDel="00000000" w:rsidP="00000000" w:rsidRDefault="00000000" w:rsidRPr="00000000" w14:paraId="00000090">
      <w:pPr>
        <w:numPr>
          <w:ilvl w:val="2"/>
          <w:numId w:val="12"/>
        </w:numPr>
        <w:ind w:left="2160" w:hanging="360"/>
        <w:rPr>
          <w:sz w:val="20"/>
          <w:szCs w:val="20"/>
        </w:rPr>
      </w:pPr>
      <w:r w:rsidDel="00000000" w:rsidR="00000000" w:rsidRPr="00000000">
        <w:rPr>
          <w:sz w:val="20"/>
          <w:szCs w:val="20"/>
          <w:rtl w:val="0"/>
        </w:rPr>
        <w:t xml:space="preserve">Effect of Degarelix, a </w:t>
      </w:r>
      <w:r w:rsidDel="00000000" w:rsidR="00000000" w:rsidRPr="00000000">
        <w:rPr>
          <w:sz w:val="20"/>
          <w:szCs w:val="20"/>
          <w:shd w:fill="b6d7a8" w:val="clear"/>
          <w:rtl w:val="0"/>
        </w:rPr>
        <w:t xml:space="preserve">Gonadotropin-Releasing Hormone Receptor</w:t>
      </w:r>
      <w:r w:rsidDel="00000000" w:rsidR="00000000" w:rsidRPr="00000000">
        <w:rPr>
          <w:sz w:val="20"/>
          <w:szCs w:val="20"/>
          <w:rtl w:val="0"/>
        </w:rPr>
        <w:t xml:space="preserve"> Antagonist for the Treatment of </w:t>
      </w:r>
      <w:r w:rsidDel="00000000" w:rsidR="00000000" w:rsidRPr="00000000">
        <w:rPr>
          <w:sz w:val="20"/>
          <w:szCs w:val="20"/>
          <w:shd w:fill="b6d7a8" w:val="clear"/>
          <w:rtl w:val="0"/>
        </w:rPr>
        <w:t xml:space="preserve">Prostate Cancer</w:t>
      </w:r>
      <w:r w:rsidDel="00000000" w:rsidR="00000000" w:rsidRPr="00000000">
        <w:rPr>
          <w:sz w:val="20"/>
          <w:szCs w:val="20"/>
          <w:rtl w:val="0"/>
        </w:rPr>
        <w:t xml:space="preserve">, on Cardiac Repolarisation in a Randomised, Placebo and Active Comparator Controlled Thorough QT/QTc Trial in Healthy Men. </w:t>
      </w:r>
      <w:r w:rsidDel="00000000" w:rsidR="00000000" w:rsidRPr="00000000">
        <w:rPr>
          <w:color w:val="222222"/>
          <w:sz w:val="20"/>
          <w:szCs w:val="20"/>
          <w:highlight w:val="white"/>
          <w:rtl w:val="0"/>
        </w:rPr>
        <w:t xml:space="preserve">PMC5569649</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numPr>
          <w:ilvl w:val="0"/>
          <w:numId w:val="11"/>
        </w:numPr>
        <w:ind w:left="720" w:hanging="360"/>
      </w:pPr>
      <w:r w:rsidDel="00000000" w:rsidR="00000000" w:rsidRPr="00000000">
        <w:rPr>
          <w:rtl w:val="0"/>
        </w:rPr>
        <w:t xml:space="preserve">Report problem with annotation: needs </w:t>
      </w:r>
    </w:p>
    <w:p w:rsidR="00000000" w:rsidDel="00000000" w:rsidP="00000000" w:rsidRDefault="00000000" w:rsidRPr="00000000" w14:paraId="00000093">
      <w:pPr>
        <w:numPr>
          <w:ilvl w:val="1"/>
          <w:numId w:val="11"/>
        </w:numPr>
        <w:ind w:left="1440" w:hanging="360"/>
      </w:pPr>
      <w:r w:rsidDel="00000000" w:rsidR="00000000" w:rsidRPr="00000000">
        <w:rPr>
          <w:rtl w:val="0"/>
        </w:rPr>
        <w:t xml:space="preserve">Entity</w:t>
      </w:r>
      <w:r w:rsidDel="00000000" w:rsidR="00000000" w:rsidRPr="00000000">
        <w:rPr>
          <w:rtl w:val="0"/>
        </w:rPr>
        <w:t xml:space="preserve"> </w:t>
      </w:r>
    </w:p>
    <w:p w:rsidR="00000000" w:rsidDel="00000000" w:rsidP="00000000" w:rsidRDefault="00000000" w:rsidRPr="00000000" w14:paraId="00000094">
      <w:pPr>
        <w:numPr>
          <w:ilvl w:val="2"/>
          <w:numId w:val="11"/>
        </w:numPr>
        <w:ind w:left="2160" w:hanging="360"/>
      </w:pPr>
      <w:r w:rsidDel="00000000" w:rsidR="00000000" w:rsidRPr="00000000">
        <w:rPr>
          <w:rtl w:val="0"/>
        </w:rPr>
        <w:t xml:space="preserve">is wrong/false positive </w:t>
      </w:r>
    </w:p>
    <w:p w:rsidR="00000000" w:rsidDel="00000000" w:rsidP="00000000" w:rsidRDefault="00000000" w:rsidRPr="00000000" w14:paraId="00000095">
      <w:pPr>
        <w:numPr>
          <w:ilvl w:val="2"/>
          <w:numId w:val="11"/>
        </w:numPr>
        <w:ind w:left="2160" w:hanging="360"/>
      </w:pPr>
      <w:r w:rsidDel="00000000" w:rsidR="00000000" w:rsidRPr="00000000">
        <w:rPr>
          <w:rtl w:val="0"/>
        </w:rPr>
        <w:t xml:space="preserve">is only partially annotated</w:t>
      </w:r>
    </w:p>
    <w:p w:rsidR="00000000" w:rsidDel="00000000" w:rsidP="00000000" w:rsidRDefault="00000000" w:rsidRPr="00000000" w14:paraId="00000096">
      <w:pPr>
        <w:numPr>
          <w:ilvl w:val="3"/>
          <w:numId w:val="11"/>
        </w:numPr>
        <w:ind w:left="2880" w:hanging="360"/>
      </w:pPr>
      <w:r w:rsidDel="00000000" w:rsidR="00000000" w:rsidRPr="00000000">
        <w:rPr>
          <w:rtl w:val="0"/>
        </w:rPr>
        <w:t xml:space="preserve">State what the full annotation should be</w:t>
      </w:r>
    </w:p>
    <w:p w:rsidR="00000000" w:rsidDel="00000000" w:rsidP="00000000" w:rsidRDefault="00000000" w:rsidRPr="00000000" w14:paraId="00000097">
      <w:pPr>
        <w:numPr>
          <w:ilvl w:val="1"/>
          <w:numId w:val="11"/>
        </w:numPr>
        <w:ind w:left="1440" w:hanging="360"/>
      </w:pPr>
      <w:r w:rsidDel="00000000" w:rsidR="00000000" w:rsidRPr="00000000">
        <w:rPr>
          <w:rtl w:val="0"/>
        </w:rPr>
        <w:t xml:space="preserve">Relationship</w:t>
      </w:r>
    </w:p>
    <w:p w:rsidR="00000000" w:rsidDel="00000000" w:rsidP="00000000" w:rsidRDefault="00000000" w:rsidRPr="00000000" w14:paraId="00000098">
      <w:pPr>
        <w:numPr>
          <w:ilvl w:val="2"/>
          <w:numId w:val="11"/>
        </w:numPr>
        <w:ind w:left="2160" w:hanging="360"/>
      </w:pPr>
      <w:r w:rsidDel="00000000" w:rsidR="00000000" w:rsidRPr="00000000">
        <w:rPr>
          <w:rtl w:val="0"/>
        </w:rPr>
        <w:t xml:space="preserve">One/both of the entities (gene/protein -- disease) is a false positive</w:t>
      </w:r>
    </w:p>
    <w:p w:rsidR="00000000" w:rsidDel="00000000" w:rsidP="00000000" w:rsidRDefault="00000000" w:rsidRPr="00000000" w14:paraId="00000099">
      <w:pPr>
        <w:numPr>
          <w:ilvl w:val="2"/>
          <w:numId w:val="11"/>
        </w:numPr>
        <w:ind w:left="2160" w:hanging="360"/>
      </w:pPr>
      <w:r w:rsidDel="00000000" w:rsidR="00000000" w:rsidRPr="00000000">
        <w:rPr>
          <w:rtl w:val="0"/>
        </w:rPr>
        <w:t xml:space="preserve">Is not actually a relationship, not even indirect. e.g. It is merely a co-occurrence of terms.</w:t>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pStyle w:val="Heading4"/>
        <w:rPr/>
      </w:pPr>
      <w:bookmarkStart w:colFirst="0" w:colLast="0" w:name="_rmmooeu3ewe2" w:id="8"/>
      <w:bookmarkEnd w:id="8"/>
      <w:r w:rsidDel="00000000" w:rsidR="00000000" w:rsidRPr="00000000">
        <w:rPr>
          <w:rtl w:val="0"/>
        </w:rPr>
        <w:t xml:space="preserve">Identify missed entities/relationships (via Hypothes.is) </w:t>
      </w:r>
    </w:p>
    <w:p w:rsidR="00000000" w:rsidDel="00000000" w:rsidP="00000000" w:rsidRDefault="00000000" w:rsidRPr="00000000" w14:paraId="0000009C">
      <w:pPr>
        <w:rPr/>
      </w:pPr>
      <w:r w:rsidDel="00000000" w:rsidR="00000000" w:rsidRPr="00000000">
        <w:rPr>
          <w:rtl w:val="0"/>
        </w:rPr>
        <w:t xml:space="preserve">Missed entities are reported through Hypothes.is that allows annotators to annotate text and take note in the corresponding comment box. Annotators are required to report the type of the entity/relationship.</w:t>
      </w:r>
    </w:p>
    <w:p w:rsidR="00000000" w:rsidDel="00000000" w:rsidP="00000000" w:rsidRDefault="00000000" w:rsidRPr="00000000" w14:paraId="0000009D">
      <w:pPr>
        <w:numPr>
          <w:ilvl w:val="0"/>
          <w:numId w:val="2"/>
        </w:numPr>
        <w:ind w:left="720" w:hanging="360"/>
      </w:pPr>
      <w:r w:rsidDel="00000000" w:rsidR="00000000" w:rsidRPr="00000000">
        <w:rPr>
          <w:rtl w:val="0"/>
        </w:rPr>
        <w:t xml:space="preserve">Entities</w:t>
      </w:r>
    </w:p>
    <w:p w:rsidR="00000000" w:rsidDel="00000000" w:rsidP="00000000" w:rsidRDefault="00000000" w:rsidRPr="00000000" w14:paraId="0000009E">
      <w:pPr>
        <w:numPr>
          <w:ilvl w:val="1"/>
          <w:numId w:val="2"/>
        </w:numPr>
        <w:ind w:left="1440" w:hanging="360"/>
      </w:pPr>
      <w:r w:rsidDel="00000000" w:rsidR="00000000" w:rsidRPr="00000000">
        <w:rPr>
          <w:rtl w:val="0"/>
        </w:rPr>
        <w:t xml:space="preserve">Highlight the full entity phrase and state the type in the Hypothes.is comment box</w:t>
      </w:r>
    </w:p>
    <w:p w:rsidR="00000000" w:rsidDel="00000000" w:rsidP="00000000" w:rsidRDefault="00000000" w:rsidRPr="00000000" w14:paraId="0000009F">
      <w:pPr>
        <w:numPr>
          <w:ilvl w:val="2"/>
          <w:numId w:val="2"/>
        </w:numPr>
        <w:ind w:left="2160" w:hanging="360"/>
      </w:pPr>
      <w:r w:rsidDel="00000000" w:rsidR="00000000" w:rsidRPr="00000000">
        <w:rPr>
          <w:rtl w:val="0"/>
        </w:rPr>
        <w:t xml:space="preserve">GP:cyclin-dependent kinase 6</w:t>
      </w:r>
    </w:p>
    <w:p w:rsidR="00000000" w:rsidDel="00000000" w:rsidP="00000000" w:rsidRDefault="00000000" w:rsidRPr="00000000" w14:paraId="000000A0">
      <w:pPr>
        <w:numPr>
          <w:ilvl w:val="2"/>
          <w:numId w:val="2"/>
        </w:numPr>
        <w:ind w:left="2160" w:hanging="360"/>
      </w:pPr>
      <w:r w:rsidDel="00000000" w:rsidR="00000000" w:rsidRPr="00000000">
        <w:rPr>
          <w:rtl w:val="0"/>
        </w:rPr>
        <w:t xml:space="preserve">ORG:Rattus rattus (note: only binomials)</w:t>
      </w:r>
    </w:p>
    <w:p w:rsidR="00000000" w:rsidDel="00000000" w:rsidP="00000000" w:rsidRDefault="00000000" w:rsidRPr="00000000" w14:paraId="000000A1">
      <w:pPr>
        <w:numPr>
          <w:ilvl w:val="2"/>
          <w:numId w:val="2"/>
        </w:numPr>
        <w:ind w:left="2160" w:hanging="360"/>
      </w:pPr>
      <w:r w:rsidDel="00000000" w:rsidR="00000000" w:rsidRPr="00000000">
        <w:rPr>
          <w:rtl w:val="0"/>
        </w:rPr>
        <w:t xml:space="preserve">DIS:eastern equine encephalitis (clinical presentation)</w:t>
      </w:r>
    </w:p>
    <w:p w:rsidR="00000000" w:rsidDel="00000000" w:rsidP="00000000" w:rsidRDefault="00000000" w:rsidRPr="00000000" w14:paraId="000000A2">
      <w:pPr>
        <w:numPr>
          <w:ilvl w:val="0"/>
          <w:numId w:val="2"/>
        </w:numPr>
        <w:ind w:left="720" w:hanging="360"/>
      </w:pPr>
      <w:r w:rsidDel="00000000" w:rsidR="00000000" w:rsidRPr="00000000">
        <w:rPr>
          <w:rtl w:val="0"/>
        </w:rPr>
        <w:t xml:space="preserve">Relationships</w:t>
      </w:r>
    </w:p>
    <w:p w:rsidR="00000000" w:rsidDel="00000000" w:rsidP="00000000" w:rsidRDefault="00000000" w:rsidRPr="00000000" w14:paraId="000000A3">
      <w:pPr>
        <w:numPr>
          <w:ilvl w:val="1"/>
          <w:numId w:val="2"/>
        </w:numPr>
        <w:ind w:left="1440" w:hanging="360"/>
      </w:pPr>
      <w:r w:rsidDel="00000000" w:rsidR="00000000" w:rsidRPr="00000000">
        <w:rPr>
          <w:rtl w:val="0"/>
        </w:rPr>
        <w:t xml:space="preserve">Highlight the text containing the relationship and state</w:t>
      </w:r>
    </w:p>
    <w:p w:rsidR="00000000" w:rsidDel="00000000" w:rsidP="00000000" w:rsidRDefault="00000000" w:rsidRPr="00000000" w14:paraId="000000A4">
      <w:pPr>
        <w:numPr>
          <w:ilvl w:val="2"/>
          <w:numId w:val="2"/>
        </w:numPr>
        <w:ind w:left="2160" w:hanging="360"/>
      </w:pPr>
      <w:r w:rsidDel="00000000" w:rsidR="00000000" w:rsidRPr="00000000">
        <w:rPr>
          <w:rtl w:val="0"/>
        </w:rPr>
        <w:t xml:space="preserve">Neg/Pos (Relationship is positive or negative) </w:t>
      </w:r>
    </w:p>
    <w:p w:rsidR="00000000" w:rsidDel="00000000" w:rsidP="00000000" w:rsidRDefault="00000000" w:rsidRPr="00000000" w14:paraId="000000A5">
      <w:pPr>
        <w:numPr>
          <w:ilvl w:val="2"/>
          <w:numId w:val="2"/>
        </w:numPr>
        <w:ind w:left="2160" w:hanging="360"/>
      </w:pPr>
      <w:r w:rsidDel="00000000" w:rsidR="00000000" w:rsidRPr="00000000">
        <w:rPr>
          <w:rtl w:val="0"/>
        </w:rPr>
        <w:t xml:space="preserve">Cert/Like/Remo (Certain --- quite likely --- remotely)</w:t>
      </w:r>
    </w:p>
    <w:p w:rsidR="00000000" w:rsidDel="00000000" w:rsidP="00000000" w:rsidRDefault="00000000" w:rsidRPr="00000000" w14:paraId="000000A6">
      <w:pPr>
        <w:numPr>
          <w:ilvl w:val="2"/>
          <w:numId w:val="2"/>
        </w:numPr>
        <w:ind w:left="2160" w:hanging="360"/>
      </w:pPr>
      <w:r w:rsidDel="00000000" w:rsidR="00000000" w:rsidRPr="00000000">
        <w:rPr>
          <w:rtl w:val="0"/>
        </w:rPr>
        <w:t xml:space="preserve">Contra (Contradicts (previous work))</w:t>
      </w:r>
      <w:r w:rsidDel="00000000" w:rsidR="00000000" w:rsidRPr="00000000">
        <w:rPr>
          <w:rtl w:val="0"/>
        </w:rPr>
      </w:r>
    </w:p>
    <w:p w:rsidR="00000000" w:rsidDel="00000000" w:rsidP="00000000" w:rsidRDefault="00000000" w:rsidRPr="00000000" w14:paraId="000000A7">
      <w:pPr>
        <w:pStyle w:val="Heading1"/>
        <w:rPr/>
      </w:pPr>
      <w:bookmarkStart w:colFirst="0" w:colLast="0" w:name="_7nzdoyx0p9qj" w:id="9"/>
      <w:bookmarkEnd w:id="9"/>
      <w:r w:rsidDel="00000000" w:rsidR="00000000" w:rsidRPr="00000000">
        <w:rPr>
          <w:rtl w:val="0"/>
        </w:rPr>
        <w:t xml:space="preserve">Brief: </w:t>
      </w:r>
      <w:r w:rsidDel="00000000" w:rsidR="00000000" w:rsidRPr="00000000">
        <w:rPr>
          <w:rtl w:val="0"/>
        </w:rPr>
        <w:t xml:space="preserve">Construction of Training Set for Key Entities in Europe PMC</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Europe PMC is a database of over five million open access full text research articles, most of which are available as XML. We wish to develop machine learning algorithms to extract useful information for curator workflows. We therefore need to develop a collection of marked-up articles (a training set or Gold standard) for benchmarking and training of algorithms.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The overall goal is to </w:t>
      </w:r>
      <w:r w:rsidDel="00000000" w:rsidR="00000000" w:rsidRPr="00000000">
        <w:rPr>
          <w:u w:val="single"/>
          <w:rtl w:val="0"/>
        </w:rPr>
        <w:t xml:space="preserve">develop an open-access training set of around 300 articles</w:t>
      </w:r>
      <w:r w:rsidDel="00000000" w:rsidR="00000000" w:rsidRPr="00000000">
        <w:rPr>
          <w:rtl w:val="0"/>
        </w:rPr>
        <w:t xml:space="preserve">, with the potential to expand this set both in quantity and in entity type in later stages.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We already tag XML articles with gene/proteins, diseases, organisms, and gene-disease relationships</w:t>
      </w:r>
      <w:r w:rsidDel="00000000" w:rsidR="00000000" w:rsidRPr="00000000">
        <w:rPr>
          <w:rtl w:val="0"/>
        </w:rPr>
        <w:t xml:space="preserve"> using the dictionary and rule-based Europe PMC pipeline</w:t>
      </w:r>
      <w:r w:rsidDel="00000000" w:rsidR="00000000" w:rsidRPr="00000000">
        <w:rPr>
          <w:rtl w:val="0"/>
        </w:rPr>
        <w:t xml:space="preserve">.</w:t>
      </w:r>
      <w:r w:rsidDel="00000000" w:rsidR="00000000" w:rsidRPr="00000000">
        <w:rPr>
          <w:rtl w:val="0"/>
        </w:rPr>
        <w:t xml:space="preserve"> Gene/protein, disease and organisms are annotated  by dictionaries using Uniprot names, NCBI Taxonomy names and </w:t>
      </w:r>
      <w:r w:rsidDel="00000000" w:rsidR="00000000" w:rsidRPr="00000000">
        <w:rPr>
          <w:rtl w:val="0"/>
        </w:rPr>
        <w:t xml:space="preserve">UMLS terms. We will use these tags as a starting point for manual annotation of a training set of articles.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The gene-disease relationships are tagged using EFO Diseases and the </w:t>
      </w:r>
      <w:r w:rsidDel="00000000" w:rsidR="00000000" w:rsidRPr="00000000">
        <w:rPr>
          <w:rtl w:val="0"/>
        </w:rPr>
        <w:t xml:space="preserve">human </w:t>
      </w:r>
      <w:r w:rsidDel="00000000" w:rsidR="00000000" w:rsidRPr="00000000">
        <w:rPr>
          <w:rtl w:val="0"/>
        </w:rPr>
        <w:t xml:space="preserve">and mouse gene/protein subset of UniProt names and are based simply on sentence-level co-occurrence of a gene and disease.</w:t>
      </w:r>
    </w:p>
    <w:p w:rsidR="00000000" w:rsidDel="00000000" w:rsidP="00000000" w:rsidRDefault="00000000" w:rsidRPr="00000000" w14:paraId="000000B0">
      <w:pPr>
        <w:pStyle w:val="Heading2"/>
        <w:rPr/>
      </w:pPr>
      <w:bookmarkStart w:colFirst="0" w:colLast="0" w:name="_1mhkxenqmm6c" w:id="10"/>
      <w:bookmarkEnd w:id="10"/>
      <w:r w:rsidDel="00000000" w:rsidR="00000000" w:rsidRPr="00000000">
        <w:rPr>
          <w:rtl w:val="0"/>
        </w:rPr>
        <w:t xml:space="preserve">Selection of the articles for the training set</w:t>
      </w:r>
    </w:p>
    <w:p w:rsidR="00000000" w:rsidDel="00000000" w:rsidP="00000000" w:rsidRDefault="00000000" w:rsidRPr="00000000" w14:paraId="000000B1">
      <w:pPr>
        <w:rPr/>
      </w:pPr>
      <w:r w:rsidDel="00000000" w:rsidR="00000000" w:rsidRPr="00000000">
        <w:rPr>
          <w:rtl w:val="0"/>
        </w:rPr>
        <w:t xml:space="preserve">We have identified a subset of around 503K articles that satisfy the following criteria:</w:t>
      </w:r>
    </w:p>
    <w:p w:rsidR="00000000" w:rsidDel="00000000" w:rsidP="00000000" w:rsidRDefault="00000000" w:rsidRPr="00000000" w14:paraId="000000B2">
      <w:pPr>
        <w:numPr>
          <w:ilvl w:val="0"/>
          <w:numId w:val="9"/>
        </w:numPr>
        <w:ind w:left="720" w:hanging="360"/>
      </w:pPr>
      <w:r w:rsidDel="00000000" w:rsidR="00000000" w:rsidRPr="00000000">
        <w:rPr>
          <w:rtl w:val="0"/>
        </w:rPr>
        <w:t xml:space="preserve">CC-BY license, to make the dataset re-usable in the future</w:t>
      </w:r>
    </w:p>
    <w:p w:rsidR="00000000" w:rsidDel="00000000" w:rsidP="00000000" w:rsidRDefault="00000000" w:rsidRPr="00000000" w14:paraId="000000B3">
      <w:pPr>
        <w:numPr>
          <w:ilvl w:val="0"/>
          <w:numId w:val="9"/>
        </w:numPr>
        <w:ind w:left="720" w:hanging="360"/>
      </w:pPr>
      <w:r w:rsidDel="00000000" w:rsidR="00000000" w:rsidRPr="00000000">
        <w:rPr>
          <w:rtl w:val="0"/>
        </w:rPr>
        <w:t xml:space="preserve">Articles of “typical” size (XML file size between 25-50KB) to remove articles with abnormal size, so constraining the manual annotation task</w:t>
      </w:r>
    </w:p>
    <w:p w:rsidR="00000000" w:rsidDel="00000000" w:rsidP="00000000" w:rsidRDefault="00000000" w:rsidRPr="00000000" w14:paraId="000000B4">
      <w:pPr>
        <w:numPr>
          <w:ilvl w:val="0"/>
          <w:numId w:val="9"/>
        </w:numPr>
        <w:ind w:left="720" w:hanging="360"/>
      </w:pPr>
      <w:r w:rsidDel="00000000" w:rsidR="00000000" w:rsidRPr="00000000">
        <w:rPr>
          <w:rtl w:val="0"/>
        </w:rPr>
        <w:t xml:space="preserve">Known to contain a range of abundances of three key entities of interest: genes/proteins, disease/phenotypes and organisms.</w:t>
      </w:r>
    </w:p>
    <w:p w:rsidR="00000000" w:rsidDel="00000000" w:rsidP="00000000" w:rsidRDefault="00000000" w:rsidRPr="00000000" w14:paraId="000000B5">
      <w:pPr>
        <w:numPr>
          <w:ilvl w:val="0"/>
          <w:numId w:val="9"/>
        </w:numPr>
        <w:ind w:left="720" w:hanging="360"/>
        <w:rPr>
          <w:u w:val="none"/>
        </w:rPr>
      </w:pPr>
      <w:r w:rsidDel="00000000" w:rsidR="00000000" w:rsidRPr="00000000">
        <w:rPr>
          <w:rtl w:val="0"/>
        </w:rPr>
        <w:t xml:space="preserve">These articles also frequently include known OTAR gene-disease relationship annotations (26%) and/or links to data (13.4%)</w:t>
      </w:r>
    </w:p>
    <w:p w:rsidR="00000000" w:rsidDel="00000000" w:rsidP="00000000" w:rsidRDefault="00000000" w:rsidRPr="00000000" w14:paraId="000000B6">
      <w:pPr>
        <w:ind w:left="720" w:firstLine="0"/>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These 503,950 articles have been divided into 27 bins based on relative abundance (High, Medium, Low) of the three key entities (gene/proteins, diseases, organisms). After removing the (Low, Low, Low) category, which is sparse and adds little value to the training dataset, 26 bins remain. From these, about 300 articles will be randomly selected, in proportion to the number of articles within each bin (ie 5-15 articles from each in real terms).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About 27.6% of candidate articles in our 26 bins contain OTAR gene-disease relationships. Therefore we would expect about 83papers to contain OTAR annotations which should also be evaluated.</w:t>
      </w:r>
      <w:r w:rsidDel="00000000" w:rsidR="00000000" w:rsidRPr="00000000">
        <w:rPr>
          <w:rtl w:val="0"/>
        </w:rPr>
      </w:r>
    </w:p>
    <w:p w:rsidR="00000000" w:rsidDel="00000000" w:rsidP="00000000" w:rsidRDefault="00000000" w:rsidRPr="00000000" w14:paraId="000000BA">
      <w:pPr>
        <w:rPr>
          <w:sz w:val="20"/>
          <w:szCs w:val="20"/>
        </w:rPr>
      </w:pPr>
      <w:r w:rsidDel="00000000" w:rsidR="00000000" w:rsidRPr="00000000">
        <w:rPr>
          <w:rtl w:val="0"/>
        </w:rPr>
      </w:r>
    </w:p>
    <w:p w:rsidR="00000000" w:rsidDel="00000000" w:rsidP="00000000" w:rsidRDefault="00000000" w:rsidRPr="00000000" w14:paraId="000000BB">
      <w:pPr>
        <w:rPr>
          <w:sz w:val="20"/>
          <w:szCs w:val="20"/>
        </w:rPr>
      </w:pPr>
      <w:r w:rsidDel="00000000" w:rsidR="00000000" w:rsidRPr="00000000">
        <w:rPr>
          <w:sz w:val="20"/>
          <w:szCs w:val="20"/>
          <w:rtl w:val="0"/>
        </w:rPr>
        <w:t xml:space="preserve">For: Brief for Annotation development see: </w:t>
      </w:r>
      <w:hyperlink r:id="rId12">
        <w:r w:rsidDel="00000000" w:rsidR="00000000" w:rsidRPr="00000000">
          <w:rPr>
            <w:color w:val="1155cc"/>
            <w:sz w:val="20"/>
            <w:szCs w:val="20"/>
            <w:u w:val="single"/>
            <w:rtl w:val="0"/>
          </w:rPr>
          <w:t xml:space="preserve">https://docs.google.com/document/d/1TpICfvlfK0AFLe90Wqcos2fovzFRzfj1uhrgwDdtNwY/edit</w:t>
        </w:r>
      </w:hyperlink>
      <w:r w:rsidDel="00000000" w:rsidR="00000000" w:rsidRPr="00000000">
        <w:rPr>
          <w:rtl w:val="0"/>
        </w:rPr>
      </w:r>
    </w:p>
    <w:p w:rsidR="00000000" w:rsidDel="00000000" w:rsidP="00000000" w:rsidRDefault="00000000" w:rsidRPr="00000000" w14:paraId="000000BC">
      <w:pPr>
        <w:rPr>
          <w:sz w:val="20"/>
          <w:szCs w:val="20"/>
        </w:rPr>
      </w:pPr>
      <w:r w:rsidDel="00000000" w:rsidR="00000000" w:rsidRPr="00000000">
        <w:rPr>
          <w:sz w:val="20"/>
          <w:szCs w:val="20"/>
          <w:rtl w:val="0"/>
        </w:rPr>
        <w:t xml:space="preserve">I have separated it out in order to share with Molecular Connections.</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spreadsheets/d/1ULCVoIi12MEJsW1sApZwC3VevWokbafTvWAiRVmSwds/edit?usp=sharing" TargetMode="External"/><Relationship Id="rId10" Type="http://schemas.openxmlformats.org/officeDocument/2006/relationships/hyperlink" Target="https://www.google.com/url?q=https://docs.google.com/spreadsheets/d/1SP10FNB9BALoqw0bFkjtqvyHIIDpbRGFCQNETS8mnl4/edit?usp%3Dsharing&amp;sa=D&amp;ust=1549535436079000&amp;usg=AFQjCNHCEOykub8PcpvKuF-WWD43SnYghQ" TargetMode="External"/><Relationship Id="rId12" Type="http://schemas.openxmlformats.org/officeDocument/2006/relationships/hyperlink" Target="https://docs.google.com/document/d/1TpICfvlfK0AFLe90Wqcos2fovzFRzfj1uhrgwDdtNwY/edit" TargetMode="External"/><Relationship Id="rId9" Type="http://schemas.openxmlformats.org/officeDocument/2006/relationships/hyperlink" Target="http://europepmc.org/ftp/archive/" TargetMode="External"/><Relationship Id="rId5" Type="http://schemas.openxmlformats.org/officeDocument/2006/relationships/styles" Target="styles.xml"/><Relationship Id="rId6" Type="http://schemas.openxmlformats.org/officeDocument/2006/relationships/hyperlink" Target="http://europepmc.org/ftp/archive/" TargetMode="External"/><Relationship Id="rId7" Type="http://schemas.openxmlformats.org/officeDocument/2006/relationships/hyperlink" Target="http://europepmc.org/ftp/archive/v.2018.09/"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