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1i88f8an7i" w:id="0"/>
      <w:bookmarkEnd w:id="0"/>
      <w:r w:rsidDel="00000000" w:rsidR="00000000" w:rsidRPr="00000000">
        <w:rPr>
          <w:rtl w:val="0"/>
        </w:rPr>
        <w:t xml:space="preserve">Training set dev analysis</w:t>
      </w:r>
    </w:p>
    <w:p w:rsidR="00000000" w:rsidDel="00000000" w:rsidP="00000000" w:rsidRDefault="00000000" w:rsidRPr="00000000" w14:paraId="00000002">
      <w:pPr>
        <w:pStyle w:val="Heading4"/>
        <w:rPr/>
      </w:pPr>
      <w:bookmarkStart w:colFirst="0" w:colLast="0" w:name="_d416zdfhac66" w:id="1"/>
      <w:bookmarkEnd w:id="1"/>
      <w:r w:rsidDel="00000000" w:rsidR="00000000" w:rsidRPr="00000000">
        <w:rPr>
          <w:rtl w:val="0"/>
        </w:rPr>
        <w:t xml:space="preserve">Distributions before any cut-off (considering number of all entity mentions in each type e.g. [p53, p54, p53] counts as 3):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Long tails are observed, means potential outliers with high numbers. Most articles have lower frequency of entity mentions.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34216" cy="267176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216" cy="267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410558" cy="406241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558" cy="4062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rPr/>
      </w:pPr>
      <w:bookmarkStart w:colFirst="0" w:colLast="0" w:name="_kma3zhyvqg33" w:id="2"/>
      <w:bookmarkEnd w:id="2"/>
      <w:r w:rsidDel="00000000" w:rsidR="00000000" w:rsidRPr="00000000">
        <w:rPr>
          <w:rtl w:val="0"/>
        </w:rPr>
        <w:t xml:space="preserve">Distribution after the cut-off (considering number of all entity mentions in each type e.g. [p53, p54, p53] counts as 3):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By working out the numbers at 25% and 75% percentiles, any number less the 25% percentile (as lower bound) or greater than 75% percentile + 1.5xIQR (interquartile range) is removed. E.g. If 25% percentile is 2 and 75% percentile is 10, any number less than 2 and greater than 10+1.5x(10-2) is removed.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143790" cy="25765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790" cy="2576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63130" cy="388143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3130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Except the body size, all of them are not normal distribution. The frequency decreases when number of entities increases.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From box plots, data is still skewed. 50% articles mentioned around 10-80 gene names (with duplicates), 10-45 disease names (with duplicates) and 10-60 Organism names (with duplicates).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Distribution before any cut-off (only considering the number of  distinct entity names in each type e.g. [p53,p54,p53] counts as 2):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Data is very skewed and most articles have less than 200 entity mentioned without duplicates.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076825" cy="253841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38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69525" cy="38814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525" cy="3881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5rywejk2a2lg" w:id="3"/>
      <w:bookmarkEnd w:id="3"/>
      <w:r w:rsidDel="00000000" w:rsidR="00000000" w:rsidRPr="00000000">
        <w:rPr>
          <w:rtl w:val="0"/>
        </w:rPr>
        <w:t xml:space="preserve">Distribution after cut-off (only considering the number of  distinct entity names in each type e.g. [p53,p54,p53] counts as 2):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After cut-off at lower and upper bound, they are not normal distribution. Interestingly, 50% articles only have 5-15 mentions (without duplicate) of each entity type.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010581" cy="2509838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581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093409" cy="38242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409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p0fd641peq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prudr3qc8s61" w:id="5"/>
      <w:bookmarkEnd w:id="5"/>
      <w:r w:rsidDel="00000000" w:rsidR="00000000" w:rsidRPr="00000000">
        <w:rPr>
          <w:rtl w:val="0"/>
        </w:rPr>
        <w:t xml:space="preserve">Co-occurrence of each two types: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easy look-up, numbers are in 1000 e.g. 48 means 48,000.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Low, Med and High are separated by 33% and 66% percentile of cut-off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6510338" cy="23573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338" cy="235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Similar to Vid’s spreadsheet,  LOW-LOW-LOW is always the highest density.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