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ymbola" w:hAnsi="Symbola"/>
          <w:b/>
          <w:b/>
          <w:bCs/>
          <w:sz w:val="40"/>
          <w:szCs w:val="40"/>
        </w:rPr>
      </w:pPr>
      <w:r>
        <w:rPr>
          <w:rFonts w:ascii="Symbola" w:hAnsi="Symbola"/>
          <w:b/>
          <w:bCs/>
          <w:sz w:val="40"/>
          <w:szCs w:val="40"/>
        </w:rPr>
        <w:t>The Guide for Writing Word Documents in Microsoft Word for EasyChair Publications</w:t>
      </w:r>
    </w:p>
    <w:p>
      <w:pPr>
        <w:pStyle w:val="Normal"/>
        <w:jc w:val="center"/>
        <w:rPr>
          <w:rFonts w:ascii="Symbola" w:hAnsi="Symbola"/>
          <w:b/>
          <w:b/>
          <w:bCs/>
          <w:sz w:val="40"/>
          <w:szCs w:val="40"/>
        </w:rPr>
      </w:pPr>
      <w:r>
        <w:rPr>
          <w:rFonts w:ascii="Symbola" w:hAnsi="Symbola"/>
          <w:b/>
          <w:bCs/>
          <w:sz w:val="40"/>
          <w:szCs w:val="40"/>
        </w:rPr>
      </w:r>
    </w:p>
    <w:p>
      <w:pPr>
        <w:pStyle w:val="Normal"/>
        <w:jc w:val="center"/>
        <w:rPr>
          <w:sz w:val="22"/>
          <w:szCs w:val="22"/>
        </w:rPr>
      </w:pPr>
      <w:r>
        <w:rPr>
          <w:sz w:val="22"/>
          <w:szCs w:val="22"/>
        </w:rPr>
        <w:t>Andrei Voronkov</w:t>
      </w:r>
      <w:r>
        <w:rPr>
          <w:sz w:val="22"/>
          <w:szCs w:val="22"/>
          <w:vertAlign w:val="superscript"/>
        </w:rPr>
        <w:t>1,21</w:t>
      </w:r>
      <w:r>
        <w:rPr>
          <w:sz w:val="22"/>
          <w:szCs w:val="22"/>
        </w:rPr>
        <w:t xml:space="preserve"> and Kryštof Hoder</w:t>
      </w:r>
      <w:r>
        <w:rPr>
          <w:sz w:val="22"/>
          <w:szCs w:val="22"/>
          <w:vertAlign w:val="subscript"/>
        </w:rPr>
        <w:t>12</w:t>
      </w:r>
    </w:p>
    <w:p>
      <w:pPr>
        <w:pStyle w:val="Normal"/>
        <w:jc w:val="center"/>
        <w:rPr>
          <w:vertAlign w:val="subscript"/>
        </w:rPr>
      </w:pPr>
      <w:r>
        <w:rPr>
          <w:vertAlign w:val="subscript"/>
        </w:rPr>
      </w:r>
    </w:p>
    <w:p>
      <w:pPr>
        <w:pStyle w:val="Normal"/>
        <w:jc w:val="left"/>
        <w:rPr>
          <w:sz w:val="26"/>
          <w:szCs w:val="26"/>
        </w:rPr>
      </w:pPr>
      <w:r>
        <w:rPr>
          <w:sz w:val="26"/>
          <w:szCs w:val="26"/>
        </w:rPr>
        <w:t>1 EasyChair</w:t>
      </w:r>
    </w:p>
    <w:p>
      <w:pPr>
        <w:pStyle w:val="Normal"/>
        <w:jc w:val="right"/>
        <w:rPr/>
      </w:pPr>
      <w:r>
        <w:rPr>
          <w:sz w:val="26"/>
          <w:szCs w:val="26"/>
        </w:rPr>
        <w:t>2 University of Manchester, Manchester, U.K.</w:t>
      </w:r>
    </w:p>
    <w:p>
      <w:pPr>
        <w:pStyle w:val="Normal"/>
        <w:jc w:val="right"/>
        <w:rPr>
          <w:sz w:val="26"/>
          <w:szCs w:val="26"/>
        </w:rPr>
      </w:pPr>
      <w:r>
        <w:rPr/>
      </w:r>
    </w:p>
    <w:p>
      <w:pPr>
        <w:pStyle w:val="Normal"/>
        <w:jc w:val="right"/>
        <w:rPr>
          <w:sz w:val="26"/>
          <w:szCs w:val="26"/>
        </w:rPr>
      </w:pPr>
      <w:r>
        <w:rPr/>
      </w:r>
    </w:p>
    <w:p>
      <w:pPr>
        <w:pStyle w:val="Normal"/>
        <w:jc w:val="right"/>
        <w:rPr>
          <w:sz w:val="26"/>
          <w:szCs w:val="26"/>
        </w:rPr>
      </w:pPr>
      <w:r>
        <w:rPr>
          <w:sz w:val="26"/>
          <w:szCs w:val="26"/>
        </w:rPr>
      </w:r>
    </w:p>
    <w:p>
      <w:pPr>
        <w:pStyle w:val="Normal"/>
        <w:jc w:val="center"/>
        <w:rPr/>
      </w:pPr>
      <w:r>
        <w:rPr>
          <w:rFonts w:ascii="FreeMono" w:hAnsi="FreeMono"/>
          <w:sz w:val="26"/>
          <w:szCs w:val="26"/>
        </w:rPr>
        <w:t xml:space="preserve">andrei@voronkov.com, </w:t>
      </w:r>
      <w:hyperlink r:id="rId2">
        <w:r>
          <w:rPr>
            <w:rStyle w:val="InternetLink"/>
            <w:rFonts w:ascii="FreeMono" w:hAnsi="FreeMono"/>
            <w:sz w:val="26"/>
            <w:szCs w:val="26"/>
          </w:rPr>
          <w:t>hoderk@cs.man.ac.uk</w:t>
        </w:r>
      </w:hyperlink>
    </w:p>
    <w:p>
      <w:pPr>
        <w:pStyle w:val="Normal"/>
        <w:jc w:val="center"/>
        <w:rPr>
          <w:rFonts w:ascii="FreeMono" w:hAnsi="FreeMono"/>
          <w:sz w:val="26"/>
          <w:szCs w:val="26"/>
        </w:rPr>
      </w:pPr>
      <w:r>
        <w:rPr/>
      </w:r>
    </w:p>
    <w:p>
      <w:pPr>
        <w:pStyle w:val="Normal"/>
        <w:jc w:val="center"/>
        <w:rPr>
          <w:rFonts w:ascii="FreeMono" w:hAnsi="FreeMono"/>
          <w:sz w:val="26"/>
          <w:szCs w:val="26"/>
        </w:rPr>
      </w:pPr>
      <w:r>
        <w:rPr/>
      </w:r>
    </w:p>
    <w:p>
      <w:pPr>
        <w:pStyle w:val="Normal"/>
        <w:jc w:val="center"/>
        <w:rPr>
          <w:rFonts w:ascii="FreeMono" w:hAnsi="FreeMono"/>
          <w:sz w:val="26"/>
          <w:szCs w:val="26"/>
        </w:rPr>
      </w:pPr>
      <w:r>
        <w:rPr/>
      </w:r>
    </w:p>
    <w:p>
      <w:pPr>
        <w:pStyle w:val="Normal"/>
        <w:spacing w:before="113" w:after="170"/>
        <w:rPr/>
      </w:pPr>
      <w:r>
        <w:rPr>
          <w:b/>
          <w:bCs/>
          <w:sz w:val="26"/>
          <w:szCs w:val="26"/>
        </w:rPr>
        <w:t>1.</w:t>
      </w:r>
      <w:r>
        <w:rPr>
          <w:sz w:val="26"/>
          <w:szCs w:val="26"/>
        </w:rPr>
        <w:t xml:space="preserve"> </w:t>
      </w:r>
      <w:r>
        <w:rPr>
          <w:i/>
          <w:iCs/>
          <w:sz w:val="26"/>
          <w:szCs w:val="26"/>
          <w:u w:val="single"/>
        </w:rPr>
        <w:t>Abstract</w:t>
      </w:r>
    </w:p>
    <w:p>
      <w:pPr>
        <w:pStyle w:val="Normal"/>
        <w:spacing w:before="113" w:after="170"/>
        <w:rPr/>
      </w:pPr>
      <w:r>
        <w:rPr>
          <w:sz w:val="26"/>
          <w:szCs w:val="26"/>
        </w:rPr>
        <w:tab/>
        <w:tab/>
        <w:tab/>
        <w:t>In order to ease the lives of authors, editors, and trees, we present a manual and an example of the use of Microsoft Word and similar tools for creating documents for EasyChair-based electronic and on-paper publishing in the EPiC Series and Kalpa Publications series.</w:t>
      </w:r>
    </w:p>
    <w:p>
      <w:pPr>
        <w:pStyle w:val="Normal"/>
        <w:spacing w:before="113" w:after="170"/>
        <w:rPr>
          <w:b/>
          <w:b/>
          <w:bCs/>
          <w:sz w:val="26"/>
          <w:szCs w:val="26"/>
        </w:rPr>
      </w:pPr>
      <w:r>
        <w:rPr/>
      </w:r>
    </w:p>
    <w:p>
      <w:pPr>
        <w:pStyle w:val="Normal"/>
        <w:spacing w:before="113" w:after="170"/>
        <w:rPr>
          <w:sz w:val="26"/>
          <w:szCs w:val="26"/>
        </w:rPr>
      </w:pPr>
      <w:r>
        <w:rPr>
          <w:b/>
          <w:bCs/>
          <w:sz w:val="26"/>
          <w:szCs w:val="26"/>
        </w:rPr>
        <w:t>1.</w:t>
      </w:r>
      <w:r>
        <w:rPr>
          <w:sz w:val="26"/>
          <w:szCs w:val="26"/>
        </w:rPr>
        <w:t xml:space="preserve"> </w:t>
      </w:r>
      <w:r>
        <w:rPr>
          <w:sz w:val="26"/>
          <w:szCs w:val="26"/>
          <w:u w:val="single"/>
        </w:rPr>
        <w:t>Introduction</w:t>
      </w:r>
    </w:p>
    <w:p>
      <w:pPr>
        <w:pStyle w:val="Normal"/>
        <w:spacing w:before="113" w:after="170"/>
        <w:rPr/>
      </w:pPr>
      <w:r>
        <w:rPr>
          <w:sz w:val="26"/>
          <w:szCs w:val="26"/>
        </w:rPr>
        <w:tab/>
        <w:tab/>
        <w:tab/>
        <w:t>The styles and parameters of this guide are designed for compliance with the requirements for publication in two EasyChair series: the EPiC Series and Kalpa Publications [CITATION Vor04 \l 1033 ]. EasyChair is a conference management system that is flexible, easy to use, and has many features to make it suitable for various conference models. It is currently probably the most commonly used conference management system [ CITATION Vor04 \l 1033 ], serving thousands of conferences every year.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a">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oderk@cs.man.ac.uk"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726</TotalTime>
  <Application>LibreOffice/5.1.6.2$Linux_X86_64 LibreOffice_project/10m0$Build-2</Application>
  <Pages>1</Pages>
  <Words>153</Words>
  <Characters>859</Characters>
  <CharactersWithSpaces>1005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2018-05-04T12:19:25Z</dcterms:created>
  <dc:creator/>
  <dc:description/>
  <dc:language>en-IN</dc:language>
  <cp:lastModifiedBy/>
  <dcterms:modified xsi:type="dcterms:W3CDTF">2018-05-07T19:23:14Z</dcterms:modified>
  <cp:revision>13</cp:revision>
  <dc:subject/>
  <dc:title/>
</cp:coreProperties>
</file>