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E5FB8" w14:textId="5443A9B4" w:rsidR="009D3ADD" w:rsidRDefault="00F97409" w:rsidP="00F97409">
      <w:r>
        <w:t>A.1.)</w:t>
      </w:r>
    </w:p>
    <w:p w14:paraId="480EF132" w14:textId="7BAFE8EB" w:rsidR="00096A0A" w:rsidRDefault="00F97409" w:rsidP="00096A0A">
      <w:pPr>
        <w:rPr>
          <w:sz w:val="32"/>
          <w:szCs w:val="32"/>
        </w:rPr>
      </w:pPr>
      <w:r>
        <w:rPr>
          <w:noProof/>
          <w:sz w:val="32"/>
          <w:szCs w:val="32"/>
        </w:rPr>
        <mc:AlternateContent>
          <mc:Choice Requires="wps">
            <w:drawing>
              <wp:anchor distT="0" distB="0" distL="114300" distR="114300" simplePos="0" relativeHeight="251659264" behindDoc="0" locked="0" layoutInCell="1" allowOverlap="1" wp14:anchorId="26877A08" wp14:editId="52DDE8C1">
                <wp:simplePos x="0" y="0"/>
                <wp:positionH relativeFrom="column">
                  <wp:posOffset>1076960</wp:posOffset>
                </wp:positionH>
                <wp:positionV relativeFrom="paragraph">
                  <wp:posOffset>8890</wp:posOffset>
                </wp:positionV>
                <wp:extent cx="4018280" cy="497840"/>
                <wp:effectExtent l="0" t="0" r="20320" b="16510"/>
                <wp:wrapNone/>
                <wp:docPr id="632309193" name="Text Box 6"/>
                <wp:cNvGraphicFramePr/>
                <a:graphic xmlns:a="http://schemas.openxmlformats.org/drawingml/2006/main">
                  <a:graphicData uri="http://schemas.microsoft.com/office/word/2010/wordprocessingShape">
                    <wps:wsp>
                      <wps:cNvSpPr txBox="1"/>
                      <wps:spPr>
                        <a:xfrm>
                          <a:off x="0" y="0"/>
                          <a:ext cx="4018280" cy="497840"/>
                        </a:xfrm>
                        <a:prstGeom prst="rect">
                          <a:avLst/>
                        </a:prstGeom>
                        <a:solidFill>
                          <a:schemeClr val="lt1"/>
                        </a:solidFill>
                        <a:ln w="6350">
                          <a:solidFill>
                            <a:prstClr val="black"/>
                          </a:solidFill>
                        </a:ln>
                      </wps:spPr>
                      <wps:txbx>
                        <w:txbxContent>
                          <w:p w14:paraId="35F5A99C" w14:textId="7DC7AC9A" w:rsidR="00F97409" w:rsidRPr="00AF24CB" w:rsidRDefault="00F97409">
                            <w:pPr>
                              <w:rPr>
                                <w:b/>
                                <w:bCs/>
                                <w:sz w:val="28"/>
                                <w:szCs w:val="28"/>
                              </w:rPr>
                            </w:pPr>
                            <w:r w:rsidRPr="00AF24CB">
                              <w:rPr>
                                <w:b/>
                                <w:bCs/>
                                <w:sz w:val="28"/>
                                <w:szCs w:val="28"/>
                              </w:rPr>
                              <w:t xml:space="preserve">            Tree Plantation and its impact on </w:t>
                            </w:r>
                            <w:proofErr w:type="spellStart"/>
                            <w:r w:rsidRPr="00AF24CB">
                              <w:rPr>
                                <w:b/>
                                <w:bCs/>
                                <w:sz w:val="28"/>
                                <w:szCs w:val="28"/>
                              </w:rPr>
                              <w:t>enviroment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877A08" id="_x0000_t202" coordsize="21600,21600" o:spt="202" path="m,l,21600r21600,l21600,xe">
                <v:stroke joinstyle="miter"/>
                <v:path gradientshapeok="t" o:connecttype="rect"/>
              </v:shapetype>
              <v:shape id="Text Box 6" o:spid="_x0000_s1026" type="#_x0000_t202" style="position:absolute;margin-left:84.8pt;margin-top:.7pt;width:316.4pt;height:3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" fillcolor="white [3201]" strokeweight=".5pt">
                <v:textbox>
                  <w:txbxContent>
                    <w:p w14:paraId="35F5A99C" w14:textId="7DC7AC9A" w:rsidR="00F97409" w:rsidRPr="00AF24CB" w:rsidRDefault="00F97409">
                      <w:pPr>
                        <w:rPr>
                          <w:b/>
                          <w:bCs/>
                          <w:sz w:val="28"/>
                          <w:szCs w:val="28"/>
                        </w:rPr>
                      </w:pPr>
                      <w:r w:rsidRPr="00AF24CB">
                        <w:rPr>
                          <w:b/>
                          <w:bCs/>
                          <w:sz w:val="28"/>
                          <w:szCs w:val="28"/>
                        </w:rPr>
                        <w:t xml:space="preserve">            Tree Plantation and its impact on </w:t>
                      </w:r>
                      <w:proofErr w:type="spellStart"/>
                      <w:r w:rsidRPr="00AF24CB">
                        <w:rPr>
                          <w:b/>
                          <w:bCs/>
                          <w:sz w:val="28"/>
                          <w:szCs w:val="28"/>
                        </w:rPr>
                        <w:t>enviroment</w:t>
                      </w:r>
                      <w:proofErr w:type="spellEnd"/>
                    </w:p>
                  </w:txbxContent>
                </v:textbox>
              </v:shape>
            </w:pict>
          </mc:Fallback>
        </mc:AlternateContent>
      </w:r>
    </w:p>
    <w:p w14:paraId="2ACE1ECC" w14:textId="77777777" w:rsidR="00F97409" w:rsidRDefault="00F97409" w:rsidP="00F97409"/>
    <w:p w14:paraId="12DAEB39" w14:textId="77777777" w:rsidR="00F97409" w:rsidRDefault="00F97409" w:rsidP="00F97409"/>
    <w:p w14:paraId="18985326" w14:textId="40803E18" w:rsidR="00F97409" w:rsidRDefault="00F97409" w:rsidP="00F97409">
      <w:r>
        <w:t>A tree plantation, forest plantation, plantation forest, timber plantation or tree farm is a forest planted for high volume production of wood, usually by planting one type of tree as a monoculture forest. The term tree farm also is used to refer to tree nurseries and Christmas tree farms. Plantation forestry can produce a high volume of wood in a short period of time. Plantations are grown by state forestry authorities (for example, the Forestry Commission in Britain) and/or the paper and wood industries and other private landowners (such as Weyerhaeuser, Rayonier and Sierra Pacific Industries in the United States or Asia Pulp &amp; Paper in Indonesia). Christmas trees are often grown on plantations, and in southern and southeastern Asia, teak plantations have recently replaced the natural forest.</w:t>
      </w:r>
    </w:p>
    <w:p w14:paraId="26BA90DA" w14:textId="77777777" w:rsidR="00F97409" w:rsidRDefault="00F97409" w:rsidP="00F97409">
      <w:r>
        <w:t xml:space="preserve">Industrial plantations are actively managed for the commercial production of forest products. Industrial plantations are usually large-scale. Individual blocks are usually even-aged and often consist of just one or two species. These species can be exotic or indigenous. The plants used for the plantation are often genetically altered for desired traits such as growth and resistance to pests and diseases in general and specific traits, for example in the case of timber species, </w:t>
      </w:r>
      <w:proofErr w:type="spellStart"/>
      <w:r>
        <w:t>volumic</w:t>
      </w:r>
      <w:proofErr w:type="spellEnd"/>
      <w:r>
        <w:t xml:space="preserve"> wood production and stem straightness. Forest genetic resources are the basis for genetic alteration. Selected individuals grown in seed orchards are a good source for seeds to develop adequate planting material.</w:t>
      </w:r>
    </w:p>
    <w:p w14:paraId="5E53CFF0" w14:textId="77777777" w:rsidR="00F97409" w:rsidRDefault="00F97409" w:rsidP="00F97409"/>
    <w:p w14:paraId="505D14BC" w14:textId="77777777" w:rsidR="00F97409" w:rsidRDefault="00F97409" w:rsidP="00F97409"/>
    <w:p w14:paraId="1DF15561" w14:textId="77777777" w:rsidR="00F97409" w:rsidRDefault="00F97409" w:rsidP="00F97409"/>
    <w:p w14:paraId="4E651EFD" w14:textId="77777777" w:rsidR="00F97409" w:rsidRDefault="00F97409" w:rsidP="00F97409"/>
    <w:p w14:paraId="1862A4F5" w14:textId="77777777" w:rsidR="00F97409" w:rsidRDefault="00F97409" w:rsidP="00F97409"/>
    <w:p w14:paraId="1B5F04B4" w14:textId="77777777" w:rsidR="00F97409" w:rsidRDefault="00F97409" w:rsidP="00F97409"/>
    <w:p w14:paraId="27441BA0" w14:textId="77777777" w:rsidR="00F97409" w:rsidRDefault="00F97409" w:rsidP="00F97409">
      <w:r>
        <w:t xml:space="preserve"> A tree plantation, forest plantation, plantation forest, timber plantation or tree farm is a forest planted for high volume production of wood, usually by planting one type of tree as a monoculture forest. The term tree farm also is used to refer to tree nurseries and Christmas tree farms. Plantation forestry can produce a high volume of wood in a short period of time. Plantations are grown by state forestry authorities (for example, the Forestry Commission in Britain) and/or the paper and wood industries and other private landowners (such as Weyerhaeuser, Rayonier and Sierra Pacific Industries in the United States or Asia Pulp &amp; Paper in Indonesia). Christmas trees are often grown on plantations, and in southern and southeastern Asia, teak plantations have recently replaced the natural forest.</w:t>
      </w:r>
    </w:p>
    <w:p w14:paraId="5CC9B12C" w14:textId="7AE47F5F" w:rsidR="009D3ADD" w:rsidRDefault="00F97409" w:rsidP="00F97409">
      <w:pPr>
        <w:jc w:val="both"/>
      </w:pPr>
      <w:r>
        <w:t xml:space="preserve">Industrial plantations are actively managed for the commercial production of forest products. Industrial plantations are usually large-scale. Individual blocks are usually even-aged and often consist of just one or two species. These species can be exotic or indigenous. The plants used for the plantation are often genetically altered for desired traits such as growth and resistance to pests and diseases in general and specific traits, for example in the case of timber species, </w:t>
      </w:r>
      <w:proofErr w:type="spellStart"/>
      <w:r>
        <w:t>volumic</w:t>
      </w:r>
      <w:proofErr w:type="spellEnd"/>
      <w:r>
        <w:t xml:space="preserve"> wood production and stem straightness. Forest genetic resources are the basis for genetic alteration. Selected individuals</w:t>
      </w:r>
    </w:p>
    <w:p w14:paraId="28A62CD0" w14:textId="77777777" w:rsidR="009D3ADD" w:rsidRDefault="009D3ADD" w:rsidP="009D3ADD">
      <w:pPr>
        <w:jc w:val="both"/>
      </w:pPr>
    </w:p>
    <w:p w14:paraId="6CF55ECF" w14:textId="77777777" w:rsidR="009D3ADD" w:rsidRDefault="009D3ADD" w:rsidP="009D3ADD">
      <w:pPr>
        <w:jc w:val="both"/>
      </w:pPr>
    </w:p>
    <w:p w14:paraId="53197750" w14:textId="77777777" w:rsidR="009D3ADD" w:rsidRDefault="009D3ADD" w:rsidP="009D3ADD">
      <w:pPr>
        <w:jc w:val="both"/>
      </w:pPr>
    </w:p>
    <w:p w14:paraId="2F8A4AB8" w14:textId="36766477" w:rsidR="00096A0A" w:rsidRDefault="00096A0A" w:rsidP="009D3ADD">
      <w:pPr>
        <w:jc w:val="both"/>
        <w:rPr>
          <w:b/>
          <w:bCs/>
        </w:rPr>
      </w:pPr>
      <w:r w:rsidRPr="00096A0A">
        <w:rPr>
          <w:b/>
          <w:bCs/>
        </w:rPr>
        <w:t>B</w:t>
      </w:r>
      <w:r>
        <w:rPr>
          <w:b/>
          <w:bCs/>
        </w:rPr>
        <w:t xml:space="preserve">) </w:t>
      </w:r>
    </w:p>
    <w:p w14:paraId="2EE88623" w14:textId="1AC77661" w:rsidR="00096A0A" w:rsidRDefault="00096A0A" w:rsidP="009D3ADD">
      <w:pPr>
        <w:jc w:val="both"/>
        <w:rPr>
          <w:b/>
          <w:bCs/>
        </w:rPr>
      </w:pPr>
    </w:p>
    <w:p w14:paraId="17D47184" w14:textId="77777777" w:rsidR="00AF24CB" w:rsidRDefault="00AF24CB" w:rsidP="009D3ADD">
      <w:pPr>
        <w:jc w:val="both"/>
        <w:rPr>
          <w:b/>
          <w:bCs/>
        </w:rPr>
      </w:pPr>
    </w:p>
    <w:p w14:paraId="237FBFFB" w14:textId="77777777" w:rsidR="00AF24CB" w:rsidRDefault="00AF24CB" w:rsidP="009D3ADD">
      <w:pPr>
        <w:jc w:val="both"/>
        <w:rPr>
          <w:b/>
          <w:bCs/>
        </w:rPr>
      </w:pPr>
    </w:p>
    <w:p w14:paraId="27F5C587" w14:textId="77777777" w:rsidR="00AF24CB" w:rsidRDefault="00AF24CB" w:rsidP="009D3ADD">
      <w:pPr>
        <w:jc w:val="both"/>
        <w:rPr>
          <w:b/>
          <w:bCs/>
        </w:rPr>
      </w:pPr>
    </w:p>
    <w:p w14:paraId="2C712254" w14:textId="77777777" w:rsidR="00AF24CB" w:rsidRDefault="00AF24CB" w:rsidP="009D3ADD">
      <w:pPr>
        <w:jc w:val="both"/>
        <w:rPr>
          <w:b/>
          <w:bCs/>
        </w:rPr>
      </w:pPr>
    </w:p>
    <w:p w14:paraId="7EBE4694" w14:textId="77777777" w:rsidR="00AF24CB" w:rsidRDefault="00AF24CB" w:rsidP="009D3ADD">
      <w:pPr>
        <w:jc w:val="both"/>
        <w:rPr>
          <w:b/>
          <w:bCs/>
        </w:rPr>
      </w:pPr>
    </w:p>
    <w:p w14:paraId="018BB3EB" w14:textId="77777777" w:rsidR="00096A0A" w:rsidRDefault="00096A0A" w:rsidP="009D3ADD">
      <w:pPr>
        <w:jc w:val="both"/>
        <w:rPr>
          <w:b/>
          <w:bCs/>
        </w:rPr>
      </w:pPr>
    </w:p>
    <w:p w14:paraId="016C8963" w14:textId="63357FA5" w:rsidR="00096A0A" w:rsidRPr="00096A0A" w:rsidRDefault="00096A0A" w:rsidP="009D3ADD">
      <w:pPr>
        <w:jc w:val="both"/>
        <w:rPr>
          <w:b/>
          <w:bCs/>
        </w:rPr>
      </w:pPr>
      <w:r>
        <w:rPr>
          <w:noProof/>
        </w:rPr>
        <w:drawing>
          <wp:inline distT="0" distB="0" distL="0" distR="0" wp14:anchorId="166EBA88" wp14:editId="58DAB1BB">
            <wp:extent cx="5999480" cy="3408680"/>
            <wp:effectExtent l="0" t="0" r="1270" b="1270"/>
            <wp:docPr id="241306188" name="Chart 1">
              <a:extLst xmlns:a="http://schemas.openxmlformats.org/drawingml/2006/main">
                <a:ext uri="{FF2B5EF4-FFF2-40B4-BE49-F238E27FC236}">
                  <a16:creationId xmlns:a16="http://schemas.microsoft.com/office/drawing/2014/main" id="{BE641161-65E0-49E8-B0DB-A292F11A22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096A0A" w:rsidRPr="00096A0A" w:rsidSect="009D3ADD">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307AD"/>
    <w:multiLevelType w:val="hybridMultilevel"/>
    <w:tmpl w:val="E5CC517E"/>
    <w:lvl w:ilvl="0" w:tplc="E42C18F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1239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5F1"/>
    <w:rsid w:val="00096A0A"/>
    <w:rsid w:val="000C5C47"/>
    <w:rsid w:val="009D3ADD"/>
    <w:rsid w:val="00A145F1"/>
    <w:rsid w:val="00AF24CB"/>
    <w:rsid w:val="00E6191C"/>
    <w:rsid w:val="00F97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26F2D"/>
  <w15:chartTrackingRefBased/>
  <w15:docId w15:val="{90FD77BE-97D7-45ED-A5C3-533C24493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3ADD"/>
    <w:rPr>
      <w:color w:val="0563C1" w:themeColor="hyperlink"/>
      <w:u w:val="single"/>
    </w:rPr>
  </w:style>
  <w:style w:type="character" w:styleId="UnresolvedMention">
    <w:name w:val="Unresolved Mention"/>
    <w:basedOn w:val="DefaultParagraphFont"/>
    <w:uiPriority w:val="99"/>
    <w:semiHidden/>
    <w:unhideWhenUsed/>
    <w:rsid w:val="009D3ADD"/>
    <w:rPr>
      <w:color w:val="605E5C"/>
      <w:shd w:val="clear" w:color="auto" w:fill="E1DFDD"/>
    </w:rPr>
  </w:style>
  <w:style w:type="paragraph" w:styleId="ListParagraph">
    <w:name w:val="List Paragraph"/>
    <w:basedOn w:val="Normal"/>
    <w:uiPriority w:val="34"/>
    <w:qFormat/>
    <w:rsid w:val="00F97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983292">
      <w:bodyDiv w:val="1"/>
      <w:marLeft w:val="0"/>
      <w:marRight w:val="0"/>
      <w:marTop w:val="0"/>
      <w:marBottom w:val="0"/>
      <w:divBdr>
        <w:top w:val="none" w:sz="0" w:space="0" w:color="auto"/>
        <w:left w:val="none" w:sz="0" w:space="0" w:color="auto"/>
        <w:bottom w:val="none" w:sz="0" w:space="0" w:color="auto"/>
        <w:right w:val="none" w:sz="0" w:space="0" w:color="auto"/>
      </w:divBdr>
    </w:div>
    <w:div w:id="622224791">
      <w:bodyDiv w:val="1"/>
      <w:marLeft w:val="0"/>
      <w:marRight w:val="0"/>
      <w:marTop w:val="0"/>
      <w:marBottom w:val="0"/>
      <w:divBdr>
        <w:top w:val="none" w:sz="0" w:space="0" w:color="auto"/>
        <w:left w:val="none" w:sz="0" w:space="0" w:color="auto"/>
        <w:bottom w:val="none" w:sz="0" w:space="0" w:color="auto"/>
        <w:right w:val="none" w:sz="0" w:space="0" w:color="auto"/>
      </w:divBdr>
    </w:div>
    <w:div w:id="1424303586">
      <w:bodyDiv w:val="1"/>
      <w:marLeft w:val="0"/>
      <w:marRight w:val="0"/>
      <w:marTop w:val="0"/>
      <w:marBottom w:val="0"/>
      <w:divBdr>
        <w:top w:val="none" w:sz="0" w:space="0" w:color="auto"/>
        <w:left w:val="none" w:sz="0" w:space="0" w:color="auto"/>
        <w:bottom w:val="none" w:sz="0" w:space="0" w:color="auto"/>
        <w:right w:val="none" w:sz="0" w:space="0" w:color="auto"/>
      </w:divBdr>
    </w:div>
    <w:div w:id="198300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percentStacked"/>
        <c:varyColors val="0"/>
        <c:ser>
          <c:idx val="0"/>
          <c:order val="0"/>
          <c:tx>
            <c:strRef>
              <c:f>Sheet1!$A$2</c:f>
              <c:strCache>
                <c:ptCount val="1"/>
                <c:pt idx="0">
                  <c:v>Marine Sprite</c:v>
                </c:pt>
              </c:strCache>
            </c:strRef>
          </c:tx>
          <c:spPr>
            <a:solidFill>
              <a:schemeClr val="accent1"/>
            </a:solidFill>
            <a:ln>
              <a:noFill/>
            </a:ln>
            <a:effectLst/>
          </c:spPr>
          <c:invertIfNegative val="0"/>
          <c:cat>
            <c:numRef>
              <c:f>Sheet1!$B$1:$H$1</c:f>
              <c:numCache>
                <c:formatCode>General</c:formatCode>
                <c:ptCount val="7"/>
                <c:pt idx="0">
                  <c:v>2008</c:v>
                </c:pt>
                <c:pt idx="1">
                  <c:v>2009</c:v>
                </c:pt>
                <c:pt idx="2">
                  <c:v>2010</c:v>
                </c:pt>
                <c:pt idx="3">
                  <c:v>2011</c:v>
                </c:pt>
                <c:pt idx="4">
                  <c:v>2012</c:v>
                </c:pt>
                <c:pt idx="5">
                  <c:v>2013</c:v>
                </c:pt>
                <c:pt idx="6">
                  <c:v>2014</c:v>
                </c:pt>
              </c:numCache>
            </c:numRef>
          </c:cat>
          <c:val>
            <c:numRef>
              <c:f>Sheet1!$B$2:$H$2</c:f>
              <c:numCache>
                <c:formatCode>General</c:formatCode>
                <c:ptCount val="7"/>
                <c:pt idx="0">
                  <c:v>31</c:v>
                </c:pt>
                <c:pt idx="1">
                  <c:v>38</c:v>
                </c:pt>
                <c:pt idx="2">
                  <c:v>38</c:v>
                </c:pt>
                <c:pt idx="3">
                  <c:v>27</c:v>
                </c:pt>
                <c:pt idx="4">
                  <c:v>27</c:v>
                </c:pt>
                <c:pt idx="5">
                  <c:v>33</c:v>
                </c:pt>
                <c:pt idx="6">
                  <c:v>24</c:v>
                </c:pt>
              </c:numCache>
            </c:numRef>
          </c:val>
          <c:extLst>
            <c:ext xmlns:c16="http://schemas.microsoft.com/office/drawing/2014/chart" uri="{C3380CC4-5D6E-409C-BE32-E72D297353CC}">
              <c16:uniqueId val="{00000000-2481-407E-80A8-F12E7511EB30}"/>
            </c:ext>
          </c:extLst>
        </c:ser>
        <c:ser>
          <c:idx val="1"/>
          <c:order val="1"/>
          <c:tx>
            <c:strRef>
              <c:f>Sheet1!$A$3</c:f>
              <c:strCache>
                <c:ptCount val="1"/>
                <c:pt idx="0">
                  <c:v>Striking Calf</c:v>
                </c:pt>
              </c:strCache>
            </c:strRef>
          </c:tx>
          <c:spPr>
            <a:solidFill>
              <a:schemeClr val="accent2"/>
            </a:solidFill>
            <a:ln>
              <a:noFill/>
            </a:ln>
            <a:effectLst/>
          </c:spPr>
          <c:invertIfNegative val="0"/>
          <c:cat>
            <c:numRef>
              <c:f>Sheet1!$B$1:$H$1</c:f>
              <c:numCache>
                <c:formatCode>General</c:formatCode>
                <c:ptCount val="7"/>
                <c:pt idx="0">
                  <c:v>2008</c:v>
                </c:pt>
                <c:pt idx="1">
                  <c:v>2009</c:v>
                </c:pt>
                <c:pt idx="2">
                  <c:v>2010</c:v>
                </c:pt>
                <c:pt idx="3">
                  <c:v>2011</c:v>
                </c:pt>
                <c:pt idx="4">
                  <c:v>2012</c:v>
                </c:pt>
                <c:pt idx="5">
                  <c:v>2013</c:v>
                </c:pt>
                <c:pt idx="6">
                  <c:v>2014</c:v>
                </c:pt>
              </c:numCache>
            </c:numRef>
          </c:cat>
          <c:val>
            <c:numRef>
              <c:f>Sheet1!$B$3:$H$3</c:f>
              <c:numCache>
                <c:formatCode>General</c:formatCode>
                <c:ptCount val="7"/>
                <c:pt idx="0">
                  <c:v>37</c:v>
                </c:pt>
                <c:pt idx="1">
                  <c:v>26</c:v>
                </c:pt>
                <c:pt idx="2">
                  <c:v>30</c:v>
                </c:pt>
                <c:pt idx="3">
                  <c:v>38</c:v>
                </c:pt>
                <c:pt idx="4">
                  <c:v>16</c:v>
                </c:pt>
                <c:pt idx="5">
                  <c:v>33</c:v>
                </c:pt>
                <c:pt idx="6">
                  <c:v>37</c:v>
                </c:pt>
              </c:numCache>
            </c:numRef>
          </c:val>
          <c:extLst>
            <c:ext xmlns:c16="http://schemas.microsoft.com/office/drawing/2014/chart" uri="{C3380CC4-5D6E-409C-BE32-E72D297353CC}">
              <c16:uniqueId val="{00000001-2481-407E-80A8-F12E7511EB30}"/>
            </c:ext>
          </c:extLst>
        </c:ser>
        <c:ser>
          <c:idx val="2"/>
          <c:order val="2"/>
          <c:tx>
            <c:strRef>
              <c:f>Sheet1!$A$4</c:f>
              <c:strCache>
                <c:ptCount val="1"/>
                <c:pt idx="0">
                  <c:v>Tank Picture</c:v>
                </c:pt>
              </c:strCache>
            </c:strRef>
          </c:tx>
          <c:spPr>
            <a:solidFill>
              <a:schemeClr val="accent3"/>
            </a:solidFill>
            <a:ln>
              <a:noFill/>
            </a:ln>
            <a:effectLst/>
          </c:spPr>
          <c:invertIfNegative val="0"/>
          <c:cat>
            <c:numRef>
              <c:f>Sheet1!$B$1:$H$1</c:f>
              <c:numCache>
                <c:formatCode>General</c:formatCode>
                <c:ptCount val="7"/>
                <c:pt idx="0">
                  <c:v>2008</c:v>
                </c:pt>
                <c:pt idx="1">
                  <c:v>2009</c:v>
                </c:pt>
                <c:pt idx="2">
                  <c:v>2010</c:v>
                </c:pt>
                <c:pt idx="3">
                  <c:v>2011</c:v>
                </c:pt>
                <c:pt idx="4">
                  <c:v>2012</c:v>
                </c:pt>
                <c:pt idx="5">
                  <c:v>2013</c:v>
                </c:pt>
                <c:pt idx="6">
                  <c:v>2014</c:v>
                </c:pt>
              </c:numCache>
            </c:numRef>
          </c:cat>
          <c:val>
            <c:numRef>
              <c:f>Sheet1!$B$4:$H$4</c:f>
              <c:numCache>
                <c:formatCode>General</c:formatCode>
                <c:ptCount val="7"/>
                <c:pt idx="0">
                  <c:v>8</c:v>
                </c:pt>
                <c:pt idx="1">
                  <c:v>14</c:v>
                </c:pt>
                <c:pt idx="2">
                  <c:v>10</c:v>
                </c:pt>
                <c:pt idx="3">
                  <c:v>7</c:v>
                </c:pt>
                <c:pt idx="4">
                  <c:v>19</c:v>
                </c:pt>
                <c:pt idx="5">
                  <c:v>8</c:v>
                </c:pt>
                <c:pt idx="6">
                  <c:v>23</c:v>
                </c:pt>
              </c:numCache>
            </c:numRef>
          </c:val>
          <c:extLst>
            <c:ext xmlns:c16="http://schemas.microsoft.com/office/drawing/2014/chart" uri="{C3380CC4-5D6E-409C-BE32-E72D297353CC}">
              <c16:uniqueId val="{00000002-2481-407E-80A8-F12E7511EB30}"/>
            </c:ext>
          </c:extLst>
        </c:ser>
        <c:ser>
          <c:idx val="3"/>
          <c:order val="3"/>
          <c:tx>
            <c:strRef>
              <c:f>Sheet1!$A$5</c:f>
              <c:strCache>
                <c:ptCount val="1"/>
                <c:pt idx="0">
                  <c:v>Bucket slope</c:v>
                </c:pt>
              </c:strCache>
            </c:strRef>
          </c:tx>
          <c:spPr>
            <a:solidFill>
              <a:schemeClr val="accent4"/>
            </a:solidFill>
            <a:ln>
              <a:noFill/>
            </a:ln>
            <a:effectLst/>
          </c:spPr>
          <c:invertIfNegative val="0"/>
          <c:cat>
            <c:numRef>
              <c:f>Sheet1!$B$1:$H$1</c:f>
              <c:numCache>
                <c:formatCode>General</c:formatCode>
                <c:ptCount val="7"/>
                <c:pt idx="0">
                  <c:v>2008</c:v>
                </c:pt>
                <c:pt idx="1">
                  <c:v>2009</c:v>
                </c:pt>
                <c:pt idx="2">
                  <c:v>2010</c:v>
                </c:pt>
                <c:pt idx="3">
                  <c:v>2011</c:v>
                </c:pt>
                <c:pt idx="4">
                  <c:v>2012</c:v>
                </c:pt>
                <c:pt idx="5">
                  <c:v>2013</c:v>
                </c:pt>
                <c:pt idx="6">
                  <c:v>2014</c:v>
                </c:pt>
              </c:numCache>
            </c:numRef>
          </c:cat>
          <c:val>
            <c:numRef>
              <c:f>Sheet1!$B$5:$H$5</c:f>
              <c:numCache>
                <c:formatCode>General</c:formatCode>
                <c:ptCount val="7"/>
                <c:pt idx="0">
                  <c:v>6</c:v>
                </c:pt>
                <c:pt idx="1">
                  <c:v>6</c:v>
                </c:pt>
                <c:pt idx="2">
                  <c:v>5</c:v>
                </c:pt>
                <c:pt idx="3">
                  <c:v>6</c:v>
                </c:pt>
                <c:pt idx="4">
                  <c:v>7</c:v>
                </c:pt>
                <c:pt idx="5">
                  <c:v>7</c:v>
                </c:pt>
                <c:pt idx="6">
                  <c:v>5</c:v>
                </c:pt>
              </c:numCache>
            </c:numRef>
          </c:val>
          <c:extLst>
            <c:ext xmlns:c16="http://schemas.microsoft.com/office/drawing/2014/chart" uri="{C3380CC4-5D6E-409C-BE32-E72D297353CC}">
              <c16:uniqueId val="{00000003-2481-407E-80A8-F12E7511EB30}"/>
            </c:ext>
          </c:extLst>
        </c:ser>
        <c:ser>
          <c:idx val="4"/>
          <c:order val="4"/>
          <c:tx>
            <c:strRef>
              <c:f>Sheet1!$A$6</c:f>
              <c:strCache>
                <c:ptCount val="1"/>
                <c:pt idx="0">
                  <c:v>Reborn Kid</c:v>
                </c:pt>
              </c:strCache>
            </c:strRef>
          </c:tx>
          <c:spPr>
            <a:solidFill>
              <a:schemeClr val="accent5"/>
            </a:solidFill>
            <a:ln>
              <a:noFill/>
            </a:ln>
            <a:effectLst/>
          </c:spPr>
          <c:invertIfNegative val="0"/>
          <c:cat>
            <c:numRef>
              <c:f>Sheet1!$B$1:$H$1</c:f>
              <c:numCache>
                <c:formatCode>General</c:formatCode>
                <c:ptCount val="7"/>
                <c:pt idx="0">
                  <c:v>2008</c:v>
                </c:pt>
                <c:pt idx="1">
                  <c:v>2009</c:v>
                </c:pt>
                <c:pt idx="2">
                  <c:v>2010</c:v>
                </c:pt>
                <c:pt idx="3">
                  <c:v>2011</c:v>
                </c:pt>
                <c:pt idx="4">
                  <c:v>2012</c:v>
                </c:pt>
                <c:pt idx="5">
                  <c:v>2013</c:v>
                </c:pt>
                <c:pt idx="6">
                  <c:v>2014</c:v>
                </c:pt>
              </c:numCache>
            </c:numRef>
          </c:cat>
          <c:val>
            <c:numRef>
              <c:f>Sheet1!$B$6:$H$6</c:f>
              <c:numCache>
                <c:formatCode>General</c:formatCode>
                <c:ptCount val="7"/>
                <c:pt idx="0">
                  <c:v>17</c:v>
                </c:pt>
                <c:pt idx="1">
                  <c:v>10</c:v>
                </c:pt>
                <c:pt idx="2">
                  <c:v>17</c:v>
                </c:pt>
                <c:pt idx="3">
                  <c:v>23</c:v>
                </c:pt>
                <c:pt idx="4">
                  <c:v>31</c:v>
                </c:pt>
                <c:pt idx="5">
                  <c:v>18</c:v>
                </c:pt>
                <c:pt idx="6">
                  <c:v>11</c:v>
                </c:pt>
              </c:numCache>
            </c:numRef>
          </c:val>
          <c:extLst>
            <c:ext xmlns:c16="http://schemas.microsoft.com/office/drawing/2014/chart" uri="{C3380CC4-5D6E-409C-BE32-E72D297353CC}">
              <c16:uniqueId val="{00000004-2481-407E-80A8-F12E7511EB30}"/>
            </c:ext>
          </c:extLst>
        </c:ser>
        <c:dLbls>
          <c:showLegendKey val="0"/>
          <c:showVal val="0"/>
          <c:showCatName val="0"/>
          <c:showSerName val="0"/>
          <c:showPercent val="0"/>
          <c:showBubbleSize val="0"/>
        </c:dLbls>
        <c:gapWidth val="182"/>
        <c:overlap val="100"/>
        <c:axId val="191666720"/>
        <c:axId val="190111008"/>
      </c:barChart>
      <c:catAx>
        <c:axId val="191666720"/>
        <c:scaling>
          <c:orientation val="minMax"/>
        </c:scaling>
        <c:delete val="0"/>
        <c:axPos val="l"/>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111008"/>
        <c:crosses val="autoZero"/>
        <c:auto val="1"/>
        <c:lblAlgn val="ctr"/>
        <c:lblOffset val="100"/>
        <c:noMultiLvlLbl val="0"/>
      </c:catAx>
      <c:valAx>
        <c:axId val="190111008"/>
        <c:scaling>
          <c:orientation val="minMax"/>
        </c:scaling>
        <c:delete val="0"/>
        <c:axPos val="b"/>
        <c:majorGridlines>
          <c:spPr>
            <a:ln w="9525" cap="flat" cmpd="sng" algn="ctr">
              <a:solidFill>
                <a:schemeClr val="tx1">
                  <a:lumMod val="15000"/>
                  <a:lumOff val="85000"/>
                </a:schemeClr>
              </a:solidFill>
              <a:round/>
            </a:ln>
            <a:effectLst/>
          </c:spPr>
        </c:majorGridlines>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6667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SAHABUR RAHMAN</dc:creator>
  <cp:keywords/>
  <dc:description/>
  <cp:lastModifiedBy>SAHABUR RAHMAN</cp:lastModifiedBy>
  <cp:revision>14</cp:revision>
  <dcterms:created xsi:type="dcterms:W3CDTF">2024-12-06T09:55:00Z</dcterms:created>
  <dcterms:modified xsi:type="dcterms:W3CDTF">2024-12-06T11:19:00Z</dcterms:modified>
</cp:coreProperties>
</file>