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7D" w:rsidRPr="00D2376B" w:rsidRDefault="00FD6963" w:rsidP="001F187D">
      <w:pPr>
        <w:pStyle w:val="Heading1"/>
        <w:jc w:val="center"/>
        <w:rPr>
          <w:color w:val="auto"/>
        </w:rPr>
      </w:pPr>
      <w:r>
        <w:rPr>
          <w:color w:val="auto"/>
        </w:rPr>
        <w:t xml:space="preserve">Salary and </w:t>
      </w:r>
      <w:r w:rsidR="0020662D" w:rsidRPr="00D2376B">
        <w:rPr>
          <w:color w:val="auto"/>
        </w:rPr>
        <w:t xml:space="preserve">Benefits Policy for </w:t>
      </w:r>
      <w:r w:rsidR="00395F2A">
        <w:rPr>
          <w:color w:val="auto"/>
        </w:rPr>
        <w:t>ASEs, S&amp;</w:t>
      </w:r>
      <w:r w:rsidR="00D2376B">
        <w:rPr>
          <w:color w:val="auto"/>
        </w:rPr>
        <w:t>S</w:t>
      </w:r>
      <w:r w:rsidR="0020662D" w:rsidRPr="00D2376B">
        <w:rPr>
          <w:color w:val="auto"/>
        </w:rPr>
        <w:t>, PED</w:t>
      </w:r>
    </w:p>
    <w:tbl>
      <w:tblPr>
        <w:tblStyle w:val="TableGrid"/>
        <w:tblW w:w="14215" w:type="dxa"/>
        <w:tblLayout w:type="fixed"/>
        <w:tblLook w:val="04A0" w:firstRow="1" w:lastRow="0" w:firstColumn="1" w:lastColumn="0" w:noHBand="0" w:noVBand="1"/>
      </w:tblPr>
      <w:tblGrid>
        <w:gridCol w:w="1306"/>
        <w:gridCol w:w="275"/>
        <w:gridCol w:w="12634"/>
      </w:tblGrid>
      <w:tr w:rsidR="001F187D" w:rsidTr="00414929">
        <w:trPr>
          <w:trHeight w:val="3752"/>
        </w:trPr>
        <w:tc>
          <w:tcPr>
            <w:tcW w:w="1306" w:type="dxa"/>
            <w:tcBorders>
              <w:right w:val="nil"/>
            </w:tcBorders>
          </w:tcPr>
          <w:p w:rsidR="001F187D" w:rsidRDefault="001F187D" w:rsidP="0089010A">
            <w:pPr>
              <w:spacing w:line="259" w:lineRule="auto"/>
            </w:pPr>
            <w:r>
              <w:t>Fixed Benefit</w:t>
            </w:r>
            <w:r w:rsidR="00C77CD0">
              <w:t>s</w:t>
            </w:r>
          </w:p>
        </w:tc>
        <w:tc>
          <w:tcPr>
            <w:tcW w:w="275" w:type="dxa"/>
            <w:tcBorders>
              <w:left w:val="nil"/>
            </w:tcBorders>
          </w:tcPr>
          <w:p w:rsidR="001F187D" w:rsidRDefault="001F187D" w:rsidP="0089010A">
            <w:pPr>
              <w:spacing w:line="259" w:lineRule="auto"/>
            </w:pPr>
          </w:p>
        </w:tc>
        <w:tc>
          <w:tcPr>
            <w:tcW w:w="12634" w:type="dxa"/>
          </w:tcPr>
          <w:p w:rsidR="001F187D" w:rsidRDefault="0020662D" w:rsidP="0020662D">
            <w:pPr>
              <w:pStyle w:val="ListParagraph"/>
              <w:numPr>
                <w:ilvl w:val="0"/>
                <w:numId w:val="1"/>
              </w:numPr>
              <w:spacing w:after="0"/>
              <w:ind w:left="334" w:hanging="270"/>
            </w:pPr>
            <w:r w:rsidRPr="000F7C91">
              <w:rPr>
                <w:b/>
              </w:rPr>
              <w:t>Basic Salary</w:t>
            </w:r>
            <w:r>
              <w:t xml:space="preserve"> (based on job experience in similar position with EPGL):</w:t>
            </w:r>
          </w:p>
          <w:tbl>
            <w:tblPr>
              <w:tblStyle w:val="TableGrid"/>
              <w:tblW w:w="0" w:type="auto"/>
              <w:tblInd w:w="334" w:type="dxa"/>
              <w:tblLayout w:type="fixed"/>
              <w:tblLook w:val="04A0" w:firstRow="1" w:lastRow="0" w:firstColumn="1" w:lastColumn="0" w:noHBand="0" w:noVBand="1"/>
            </w:tblPr>
            <w:tblGrid>
              <w:gridCol w:w="2335"/>
              <w:gridCol w:w="2340"/>
              <w:gridCol w:w="1890"/>
            </w:tblGrid>
            <w:tr w:rsidR="0020662D" w:rsidTr="00414929">
              <w:tc>
                <w:tcPr>
                  <w:tcW w:w="2335" w:type="dxa"/>
                </w:tcPr>
                <w:p w:rsidR="0020662D" w:rsidRPr="00260BB1" w:rsidRDefault="0020662D" w:rsidP="0020662D">
                  <w:pPr>
                    <w:pStyle w:val="ListParagraph"/>
                    <w:spacing w:after="0"/>
                    <w:ind w:left="0"/>
                    <w:rPr>
                      <w:b/>
                    </w:rPr>
                  </w:pPr>
                  <w:r w:rsidRPr="00260BB1">
                    <w:rPr>
                      <w:b/>
                    </w:rPr>
                    <w:t>Employment Category</w:t>
                  </w:r>
                </w:p>
              </w:tc>
              <w:tc>
                <w:tcPr>
                  <w:tcW w:w="2340" w:type="dxa"/>
                </w:tcPr>
                <w:p w:rsidR="0020662D" w:rsidRPr="00260BB1" w:rsidRDefault="0020662D" w:rsidP="0020662D">
                  <w:pPr>
                    <w:pStyle w:val="ListParagraph"/>
                    <w:spacing w:after="0"/>
                    <w:ind w:left="0"/>
                    <w:rPr>
                      <w:b/>
                    </w:rPr>
                  </w:pPr>
                  <w:r w:rsidRPr="00260BB1">
                    <w:rPr>
                      <w:b/>
                    </w:rPr>
                    <w:t>Experience with EPGL</w:t>
                  </w:r>
                </w:p>
              </w:tc>
              <w:tc>
                <w:tcPr>
                  <w:tcW w:w="1890" w:type="dxa"/>
                </w:tcPr>
                <w:p w:rsidR="0020662D" w:rsidRPr="00260BB1" w:rsidRDefault="0020662D" w:rsidP="0020662D">
                  <w:pPr>
                    <w:pStyle w:val="ListParagraph"/>
                    <w:spacing w:after="0"/>
                    <w:ind w:left="0"/>
                    <w:rPr>
                      <w:b/>
                    </w:rPr>
                  </w:pPr>
                  <w:r w:rsidRPr="00260BB1">
                    <w:rPr>
                      <w:b/>
                    </w:rPr>
                    <w:t>Basic Salary</w:t>
                  </w:r>
                  <w:r w:rsidR="00260BB1" w:rsidRPr="00260BB1">
                    <w:rPr>
                      <w:b/>
                    </w:rPr>
                    <w:t xml:space="preserve"> (BDT)</w:t>
                  </w:r>
                </w:p>
              </w:tc>
            </w:tr>
            <w:tr w:rsidR="0020662D" w:rsidTr="00414929">
              <w:tc>
                <w:tcPr>
                  <w:tcW w:w="2335" w:type="dxa"/>
                </w:tcPr>
                <w:p w:rsidR="0020662D" w:rsidRDefault="00260BB1" w:rsidP="00260BB1">
                  <w:pPr>
                    <w:pStyle w:val="ListParagraph"/>
                    <w:spacing w:after="0"/>
                    <w:ind w:left="0"/>
                    <w:jc w:val="center"/>
                  </w:pPr>
                  <w:r>
                    <w:t>A</w:t>
                  </w:r>
                </w:p>
              </w:tc>
              <w:tc>
                <w:tcPr>
                  <w:tcW w:w="2340" w:type="dxa"/>
                </w:tcPr>
                <w:p w:rsidR="0020662D" w:rsidRDefault="00260BB1" w:rsidP="00260BB1">
                  <w:pPr>
                    <w:pStyle w:val="ListParagraph"/>
                    <w:spacing w:after="0"/>
                    <w:ind w:left="0"/>
                    <w:jc w:val="center"/>
                  </w:pPr>
                  <w:r>
                    <w:rPr>
                      <w:rFonts w:cs="Calibri"/>
                    </w:rPr>
                    <w:t>&gt; 5 Years</w:t>
                  </w:r>
                </w:p>
              </w:tc>
              <w:tc>
                <w:tcPr>
                  <w:tcW w:w="1890" w:type="dxa"/>
                </w:tcPr>
                <w:p w:rsidR="0020662D" w:rsidRDefault="00260BB1" w:rsidP="00260BB1">
                  <w:pPr>
                    <w:pStyle w:val="ListParagraph"/>
                    <w:spacing w:after="0"/>
                    <w:ind w:left="0"/>
                    <w:jc w:val="center"/>
                  </w:pPr>
                  <w:r>
                    <w:t>5,500.00</w:t>
                  </w:r>
                </w:p>
              </w:tc>
            </w:tr>
            <w:tr w:rsidR="00260BB1" w:rsidTr="00414929">
              <w:tc>
                <w:tcPr>
                  <w:tcW w:w="2335" w:type="dxa"/>
                </w:tcPr>
                <w:p w:rsidR="00260BB1" w:rsidRDefault="00260BB1" w:rsidP="00260BB1">
                  <w:pPr>
                    <w:pStyle w:val="ListParagraph"/>
                    <w:spacing w:after="0"/>
                    <w:ind w:left="0"/>
                    <w:jc w:val="center"/>
                  </w:pPr>
                  <w:r>
                    <w:t>B</w:t>
                  </w:r>
                </w:p>
              </w:tc>
              <w:tc>
                <w:tcPr>
                  <w:tcW w:w="2340" w:type="dxa"/>
                </w:tcPr>
                <w:p w:rsidR="00260BB1" w:rsidRDefault="00260BB1" w:rsidP="00260BB1">
                  <w:pPr>
                    <w:pStyle w:val="ListParagraph"/>
                    <w:spacing w:after="0"/>
                    <w:ind w:left="0"/>
                    <w:jc w:val="center"/>
                  </w:pPr>
                  <w:r>
                    <w:rPr>
                      <w:rFonts w:cs="Calibri"/>
                    </w:rPr>
                    <w:t>&gt;</w:t>
                  </w:r>
                  <w:r w:rsidR="007A748A">
                    <w:rPr>
                      <w:rFonts w:cs="Calibri"/>
                    </w:rPr>
                    <w:t xml:space="preserve"> 2 Years</w:t>
                  </w:r>
                  <w:r>
                    <w:rPr>
                      <w:rFonts w:cs="Calibri"/>
                    </w:rPr>
                    <w:t xml:space="preserve"> but ≤ 5 Years</w:t>
                  </w:r>
                </w:p>
              </w:tc>
              <w:tc>
                <w:tcPr>
                  <w:tcW w:w="1890" w:type="dxa"/>
                </w:tcPr>
                <w:p w:rsidR="00260BB1" w:rsidRDefault="00260BB1" w:rsidP="00260BB1">
                  <w:pPr>
                    <w:pStyle w:val="ListParagraph"/>
                    <w:spacing w:after="0"/>
                    <w:ind w:left="0"/>
                    <w:jc w:val="center"/>
                  </w:pPr>
                  <w:r>
                    <w:t>4,500.00</w:t>
                  </w:r>
                </w:p>
              </w:tc>
            </w:tr>
            <w:tr w:rsidR="00260BB1" w:rsidTr="00414929">
              <w:tc>
                <w:tcPr>
                  <w:tcW w:w="2335" w:type="dxa"/>
                </w:tcPr>
                <w:p w:rsidR="00260BB1" w:rsidRDefault="00260BB1" w:rsidP="00260BB1">
                  <w:pPr>
                    <w:pStyle w:val="ListParagraph"/>
                    <w:spacing w:after="0"/>
                    <w:ind w:left="0"/>
                    <w:jc w:val="center"/>
                  </w:pPr>
                  <w:r>
                    <w:t>C</w:t>
                  </w:r>
                </w:p>
              </w:tc>
              <w:tc>
                <w:tcPr>
                  <w:tcW w:w="2340" w:type="dxa"/>
                </w:tcPr>
                <w:p w:rsidR="00260BB1" w:rsidRDefault="00260BB1" w:rsidP="00260BB1">
                  <w:pPr>
                    <w:pStyle w:val="ListParagraph"/>
                    <w:spacing w:after="0"/>
                    <w:ind w:left="0"/>
                    <w:jc w:val="center"/>
                  </w:pPr>
                  <w:r>
                    <w:t>Fresh and up to 2 Years</w:t>
                  </w:r>
                </w:p>
              </w:tc>
              <w:tc>
                <w:tcPr>
                  <w:tcW w:w="1890" w:type="dxa"/>
                </w:tcPr>
                <w:p w:rsidR="00260BB1" w:rsidRDefault="00260BB1" w:rsidP="00260BB1">
                  <w:pPr>
                    <w:pStyle w:val="ListParagraph"/>
                    <w:spacing w:after="0"/>
                    <w:ind w:left="0"/>
                    <w:jc w:val="center"/>
                  </w:pPr>
                  <w:r>
                    <w:t>3,500.00</w:t>
                  </w:r>
                </w:p>
              </w:tc>
            </w:tr>
          </w:tbl>
          <w:p w:rsidR="0020662D" w:rsidRDefault="0020662D" w:rsidP="0020662D">
            <w:pPr>
              <w:pStyle w:val="ListParagraph"/>
              <w:spacing w:after="0"/>
              <w:ind w:left="334"/>
            </w:pPr>
          </w:p>
          <w:p w:rsidR="0020662D" w:rsidRDefault="00260BB1" w:rsidP="000F7C91">
            <w:pPr>
              <w:pStyle w:val="ListParagraph"/>
              <w:numPr>
                <w:ilvl w:val="0"/>
                <w:numId w:val="1"/>
              </w:numPr>
              <w:spacing w:after="0"/>
              <w:ind w:left="334" w:hanging="270"/>
            </w:pPr>
            <w:r w:rsidRPr="000F7C91">
              <w:rPr>
                <w:b/>
              </w:rPr>
              <w:t>Conveyance Allowance</w:t>
            </w:r>
            <w:r w:rsidR="000F7C91">
              <w:t xml:space="preserve"> (based on job location)</w:t>
            </w:r>
            <w:r>
              <w:t>:</w:t>
            </w:r>
          </w:p>
          <w:tbl>
            <w:tblPr>
              <w:tblStyle w:val="TableGrid"/>
              <w:tblW w:w="0" w:type="auto"/>
              <w:tblInd w:w="329" w:type="dxa"/>
              <w:tblLayout w:type="fixed"/>
              <w:tblLook w:val="04A0" w:firstRow="1" w:lastRow="0" w:firstColumn="1" w:lastColumn="0" w:noHBand="0" w:noVBand="1"/>
            </w:tblPr>
            <w:tblGrid>
              <w:gridCol w:w="2700"/>
              <w:gridCol w:w="2880"/>
            </w:tblGrid>
            <w:tr w:rsidR="000F7C91" w:rsidTr="00414929">
              <w:tc>
                <w:tcPr>
                  <w:tcW w:w="2700" w:type="dxa"/>
                </w:tcPr>
                <w:p w:rsidR="000F7C91" w:rsidRPr="000F7C91" w:rsidRDefault="000F7C91" w:rsidP="000F7C91">
                  <w:pPr>
                    <w:rPr>
                      <w:b/>
                    </w:rPr>
                  </w:pPr>
                  <w:r w:rsidRPr="000F7C91">
                    <w:rPr>
                      <w:b/>
                    </w:rPr>
                    <w:t>Job Location</w:t>
                  </w:r>
                </w:p>
              </w:tc>
              <w:tc>
                <w:tcPr>
                  <w:tcW w:w="2880" w:type="dxa"/>
                </w:tcPr>
                <w:p w:rsidR="000F7C91" w:rsidRPr="000F7C91" w:rsidRDefault="000F7C91" w:rsidP="000F7C91">
                  <w:pPr>
                    <w:rPr>
                      <w:b/>
                    </w:rPr>
                  </w:pPr>
                  <w:r w:rsidRPr="000F7C91">
                    <w:rPr>
                      <w:b/>
                    </w:rPr>
                    <w:t>Conveyance Allowance (BDT)</w:t>
                  </w:r>
                </w:p>
              </w:tc>
            </w:tr>
            <w:tr w:rsidR="000F7C91" w:rsidTr="00414929">
              <w:tc>
                <w:tcPr>
                  <w:tcW w:w="2700" w:type="dxa"/>
                </w:tcPr>
                <w:p w:rsidR="000F7C91" w:rsidRDefault="000F7C91" w:rsidP="000F7C91">
                  <w:r w:rsidRPr="000F7C91">
                    <w:t>Inside Metropolitan Area</w:t>
                  </w:r>
                </w:p>
              </w:tc>
              <w:tc>
                <w:tcPr>
                  <w:tcW w:w="2880" w:type="dxa"/>
                </w:tcPr>
                <w:p w:rsidR="000F7C91" w:rsidRDefault="000F7C91" w:rsidP="000F7C91">
                  <w:pPr>
                    <w:jc w:val="center"/>
                  </w:pPr>
                  <w:r>
                    <w:t>3,300.00</w:t>
                  </w:r>
                </w:p>
              </w:tc>
            </w:tr>
            <w:tr w:rsidR="000F7C91" w:rsidTr="00414929">
              <w:tc>
                <w:tcPr>
                  <w:tcW w:w="2700" w:type="dxa"/>
                </w:tcPr>
                <w:p w:rsidR="000F7C91" w:rsidRDefault="000F7C91" w:rsidP="000F7C91">
                  <w:r>
                    <w:t>Outside</w:t>
                  </w:r>
                  <w:r w:rsidRPr="000F7C91">
                    <w:t xml:space="preserve"> Metropolitan Area</w:t>
                  </w:r>
                </w:p>
              </w:tc>
              <w:tc>
                <w:tcPr>
                  <w:tcW w:w="2880" w:type="dxa"/>
                </w:tcPr>
                <w:p w:rsidR="000F7C91" w:rsidRDefault="000F7C91" w:rsidP="000F7C91">
                  <w:pPr>
                    <w:jc w:val="center"/>
                  </w:pPr>
                  <w:r>
                    <w:t>3,800.00</w:t>
                  </w:r>
                </w:p>
              </w:tc>
            </w:tr>
          </w:tbl>
          <w:p w:rsidR="000F7C91" w:rsidRDefault="000F7C91" w:rsidP="000F7C91"/>
          <w:p w:rsidR="0020662D" w:rsidRDefault="000F7C91" w:rsidP="000F7C91">
            <w:pPr>
              <w:pStyle w:val="ListParagraph"/>
              <w:numPr>
                <w:ilvl w:val="0"/>
                <w:numId w:val="1"/>
              </w:numPr>
              <w:spacing w:after="0"/>
              <w:ind w:left="334" w:hanging="360"/>
            </w:pPr>
            <w:r w:rsidRPr="000F7C91">
              <w:rPr>
                <w:b/>
              </w:rPr>
              <w:t>Food Allowance:</w:t>
            </w:r>
            <w:r>
              <w:t xml:space="preserve"> Tk. 1,250.00</w:t>
            </w:r>
          </w:p>
        </w:tc>
      </w:tr>
      <w:tr w:rsidR="001F187D" w:rsidTr="00414929">
        <w:trPr>
          <w:trHeight w:val="1637"/>
        </w:trPr>
        <w:tc>
          <w:tcPr>
            <w:tcW w:w="1306" w:type="dxa"/>
            <w:tcBorders>
              <w:right w:val="nil"/>
            </w:tcBorders>
          </w:tcPr>
          <w:p w:rsidR="001F187D" w:rsidRDefault="001F187D" w:rsidP="0089010A">
            <w:pPr>
              <w:spacing w:line="259" w:lineRule="auto"/>
            </w:pPr>
            <w:r>
              <w:t>Mobile Allowance</w:t>
            </w:r>
          </w:p>
        </w:tc>
        <w:tc>
          <w:tcPr>
            <w:tcW w:w="275" w:type="dxa"/>
            <w:tcBorders>
              <w:left w:val="nil"/>
            </w:tcBorders>
          </w:tcPr>
          <w:p w:rsidR="001F187D" w:rsidRDefault="001F187D" w:rsidP="0089010A">
            <w:pPr>
              <w:spacing w:line="259" w:lineRule="auto"/>
            </w:pPr>
          </w:p>
        </w:tc>
        <w:tc>
          <w:tcPr>
            <w:tcW w:w="12634" w:type="dxa"/>
          </w:tcPr>
          <w:p w:rsidR="001F187D" w:rsidRDefault="001F187D" w:rsidP="0089010A">
            <w:pPr>
              <w:spacing w:line="259" w:lineRule="auto"/>
            </w:pPr>
            <w:r>
              <w:t>Usage Ceiling BDT 1,200 per month</w:t>
            </w:r>
          </w:p>
          <w:p w:rsidR="001F187D" w:rsidRPr="00C77CD0" w:rsidRDefault="001F187D" w:rsidP="0089010A">
            <w:pPr>
              <w:spacing w:line="259" w:lineRule="auto"/>
              <w:rPr>
                <w:szCs w:val="20"/>
              </w:rPr>
            </w:pPr>
          </w:p>
          <w:p w:rsidR="001F187D" w:rsidRDefault="001F187D" w:rsidP="00C77CD0">
            <w:pPr>
              <w:spacing w:line="259" w:lineRule="auto"/>
              <w:jc w:val="both"/>
            </w:pPr>
            <w:r w:rsidRPr="00C77CD0">
              <w:rPr>
                <w:iCs/>
                <w:szCs w:val="20"/>
              </w:rPr>
              <w:t xml:space="preserve">Energypac Power Generation Ltd. (EPGL) will provide office registered SIM with this usage ceiling for the office communication purposes. </w:t>
            </w:r>
            <w:r w:rsidR="00C77CD0">
              <w:rPr>
                <w:iCs/>
                <w:szCs w:val="20"/>
              </w:rPr>
              <w:t>Amount e</w:t>
            </w:r>
            <w:r w:rsidRPr="00C77CD0">
              <w:rPr>
                <w:iCs/>
                <w:szCs w:val="20"/>
              </w:rPr>
              <w:t>xceeding this limit will b</w:t>
            </w:r>
            <w:r w:rsidR="006D1D76" w:rsidRPr="00C77CD0">
              <w:rPr>
                <w:iCs/>
                <w:szCs w:val="20"/>
              </w:rPr>
              <w:t>e adjusted from the ASE</w:t>
            </w:r>
            <w:r w:rsidRPr="00C77CD0">
              <w:rPr>
                <w:iCs/>
                <w:szCs w:val="20"/>
              </w:rPr>
              <w:t>’s fixed benefit.</w:t>
            </w:r>
          </w:p>
        </w:tc>
      </w:tr>
      <w:tr w:rsidR="00864D55" w:rsidTr="00414929">
        <w:trPr>
          <w:trHeight w:val="953"/>
        </w:trPr>
        <w:tc>
          <w:tcPr>
            <w:tcW w:w="1306" w:type="dxa"/>
            <w:tcBorders>
              <w:right w:val="nil"/>
            </w:tcBorders>
          </w:tcPr>
          <w:p w:rsidR="00864D55" w:rsidRDefault="00864D55" w:rsidP="00864D55">
            <w:pPr>
              <w:spacing w:line="259" w:lineRule="auto"/>
            </w:pPr>
            <w:r>
              <w:t>Festival Bonus</w:t>
            </w:r>
          </w:p>
        </w:tc>
        <w:tc>
          <w:tcPr>
            <w:tcW w:w="275" w:type="dxa"/>
            <w:tcBorders>
              <w:left w:val="nil"/>
            </w:tcBorders>
          </w:tcPr>
          <w:p w:rsidR="00864D55" w:rsidRDefault="00864D55" w:rsidP="00864D55">
            <w:pPr>
              <w:spacing w:line="259" w:lineRule="auto"/>
            </w:pPr>
          </w:p>
        </w:tc>
        <w:tc>
          <w:tcPr>
            <w:tcW w:w="12634" w:type="dxa"/>
          </w:tcPr>
          <w:p w:rsidR="00864D55" w:rsidRDefault="00864D55" w:rsidP="00864D55">
            <w:pPr>
              <w:spacing w:line="259" w:lineRule="auto"/>
              <w:jc w:val="both"/>
              <w:rPr>
                <w:iCs/>
                <w:szCs w:val="20"/>
              </w:rPr>
            </w:pPr>
            <w:r w:rsidRPr="00C77CD0">
              <w:t xml:space="preserve">Two festival bonuses during the </w:t>
            </w:r>
            <w:proofErr w:type="spellStart"/>
            <w:r w:rsidRPr="00C77CD0">
              <w:t>Eid-ul-Fitr</w:t>
            </w:r>
            <w:proofErr w:type="spellEnd"/>
            <w:r w:rsidRPr="00C77CD0">
              <w:t xml:space="preserve"> and </w:t>
            </w:r>
            <w:proofErr w:type="spellStart"/>
            <w:r w:rsidRPr="00C77CD0">
              <w:t>Eid-ul-Azha</w:t>
            </w:r>
            <w:proofErr w:type="spellEnd"/>
            <w:r w:rsidRPr="00C77CD0">
              <w:t xml:space="preserve"> each </w:t>
            </w:r>
            <w:r w:rsidRPr="00B719B9">
              <w:t>equivalent to 1 month’s basic salary</w:t>
            </w:r>
            <w:r w:rsidRPr="00C77CD0">
              <w:t xml:space="preserve">. </w:t>
            </w:r>
            <w:r w:rsidRPr="00C77CD0">
              <w:rPr>
                <w:iCs/>
                <w:szCs w:val="20"/>
              </w:rPr>
              <w:t>Minimum employment relationship tenure of 120 days is required. In between 90 days to 120 days, half-festival bonus will be applicable.</w:t>
            </w:r>
          </w:p>
          <w:p w:rsidR="00906EB5" w:rsidRPr="00C77CD0" w:rsidRDefault="00906EB5" w:rsidP="008504D0">
            <w:pPr>
              <w:spacing w:line="259" w:lineRule="auto"/>
              <w:jc w:val="both"/>
            </w:pPr>
          </w:p>
        </w:tc>
      </w:tr>
      <w:tr w:rsidR="00864D55" w:rsidTr="00414929">
        <w:tc>
          <w:tcPr>
            <w:tcW w:w="1306" w:type="dxa"/>
            <w:tcBorders>
              <w:right w:val="nil"/>
            </w:tcBorders>
          </w:tcPr>
          <w:p w:rsidR="00864D55" w:rsidRDefault="00864D55" w:rsidP="00864D55">
            <w:pPr>
              <w:spacing w:line="259" w:lineRule="auto"/>
            </w:pPr>
            <w:r>
              <w:t>Variable Commission</w:t>
            </w:r>
          </w:p>
        </w:tc>
        <w:tc>
          <w:tcPr>
            <w:tcW w:w="275" w:type="dxa"/>
            <w:tcBorders>
              <w:left w:val="nil"/>
            </w:tcBorders>
          </w:tcPr>
          <w:p w:rsidR="00864D55" w:rsidRDefault="00864D55" w:rsidP="00864D55">
            <w:pPr>
              <w:spacing w:line="259" w:lineRule="auto"/>
            </w:pPr>
          </w:p>
        </w:tc>
        <w:tc>
          <w:tcPr>
            <w:tcW w:w="12634" w:type="dxa"/>
          </w:tcPr>
          <w:p w:rsidR="00F613A7" w:rsidRPr="005530FC" w:rsidRDefault="00F613A7" w:rsidP="00F613A7">
            <w:pPr>
              <w:pStyle w:val="ListParagraph"/>
              <w:numPr>
                <w:ilvl w:val="0"/>
                <w:numId w:val="3"/>
              </w:numPr>
              <w:spacing w:after="0"/>
              <w:ind w:left="334" w:hanging="334"/>
              <w:jc w:val="both"/>
              <w:rPr>
                <w:b/>
              </w:rPr>
            </w:pPr>
            <w:r w:rsidRPr="005530FC">
              <w:rPr>
                <w:b/>
              </w:rPr>
              <w:t xml:space="preserve">Eligibility for Commission on Collection Amount: </w:t>
            </w:r>
          </w:p>
          <w:tbl>
            <w:tblPr>
              <w:tblStyle w:val="TableGrid"/>
              <w:tblW w:w="0" w:type="auto"/>
              <w:tblInd w:w="334" w:type="dxa"/>
              <w:tblLayout w:type="fixed"/>
              <w:tblLook w:val="04A0" w:firstRow="1" w:lastRow="0" w:firstColumn="1" w:lastColumn="0" w:noHBand="0" w:noVBand="1"/>
            </w:tblPr>
            <w:tblGrid>
              <w:gridCol w:w="4405"/>
              <w:gridCol w:w="2970"/>
            </w:tblGrid>
            <w:tr w:rsidR="00F613A7" w:rsidTr="00414929">
              <w:tc>
                <w:tcPr>
                  <w:tcW w:w="4405" w:type="dxa"/>
                  <w:vAlign w:val="center"/>
                </w:tcPr>
                <w:p w:rsidR="00F613A7" w:rsidRPr="00F613A7" w:rsidRDefault="00F613A7" w:rsidP="00F613A7">
                  <w:pPr>
                    <w:jc w:val="center"/>
                    <w:rPr>
                      <w:rFonts w:ascii="Calibri" w:eastAsia="Times New Roman" w:hAnsi="Calibri" w:cs="Calibri"/>
                      <w:b/>
                      <w:bCs/>
                      <w:sz w:val="21"/>
                      <w:szCs w:val="21"/>
                    </w:rPr>
                  </w:pPr>
                  <w:r w:rsidRPr="00F613A7">
                    <w:rPr>
                      <w:rFonts w:ascii="Calibri" w:eastAsia="Times New Roman" w:hAnsi="Calibri" w:cs="Calibri"/>
                      <w:b/>
                      <w:bCs/>
                      <w:sz w:val="21"/>
                      <w:szCs w:val="21"/>
                    </w:rPr>
                    <w:t>Area</w:t>
                  </w:r>
                </w:p>
              </w:tc>
              <w:tc>
                <w:tcPr>
                  <w:tcW w:w="2970" w:type="dxa"/>
                  <w:vAlign w:val="center"/>
                </w:tcPr>
                <w:p w:rsidR="00F613A7" w:rsidRPr="00F613A7" w:rsidRDefault="00F613A7" w:rsidP="00F613A7">
                  <w:pPr>
                    <w:jc w:val="center"/>
                    <w:rPr>
                      <w:rFonts w:ascii="Calibri" w:eastAsia="Times New Roman" w:hAnsi="Calibri" w:cs="Calibri"/>
                      <w:b/>
                      <w:bCs/>
                      <w:sz w:val="21"/>
                      <w:szCs w:val="21"/>
                    </w:rPr>
                  </w:pPr>
                  <w:r w:rsidRPr="00F613A7">
                    <w:rPr>
                      <w:rFonts w:ascii="Calibri" w:eastAsia="Times New Roman" w:hAnsi="Calibri" w:cs="Calibri"/>
                      <w:b/>
                      <w:bCs/>
                      <w:sz w:val="21"/>
                      <w:szCs w:val="21"/>
                    </w:rPr>
                    <w:t xml:space="preserve"> </w:t>
                  </w:r>
                  <w:r w:rsidRPr="00F613A7">
                    <w:rPr>
                      <w:b/>
                    </w:rPr>
                    <w:t>Minimum Collection Amount</w:t>
                  </w:r>
                </w:p>
              </w:tc>
            </w:tr>
            <w:tr w:rsidR="00F613A7" w:rsidTr="00414929">
              <w:tc>
                <w:tcPr>
                  <w:tcW w:w="4405" w:type="dxa"/>
                  <w:vAlign w:val="center"/>
                </w:tcPr>
                <w:p w:rsidR="00F613A7" w:rsidRPr="00F613A7" w:rsidRDefault="00F613A7" w:rsidP="00F613A7">
                  <w:pPr>
                    <w:rPr>
                      <w:rFonts w:ascii="Calibri" w:eastAsia="Times New Roman" w:hAnsi="Calibri" w:cs="Calibri"/>
                      <w:bCs/>
                      <w:sz w:val="21"/>
                      <w:szCs w:val="21"/>
                    </w:rPr>
                  </w:pPr>
                  <w:r w:rsidRPr="00F613A7">
                    <w:rPr>
                      <w:rFonts w:ascii="Calibri" w:eastAsia="Times New Roman" w:hAnsi="Calibri" w:cs="Calibri"/>
                      <w:bCs/>
                      <w:sz w:val="21"/>
                      <w:szCs w:val="21"/>
                    </w:rPr>
                    <w:t xml:space="preserve"> For Residential Area </w:t>
                  </w:r>
                </w:p>
              </w:tc>
              <w:tc>
                <w:tcPr>
                  <w:tcW w:w="2970" w:type="dxa"/>
                </w:tcPr>
                <w:p w:rsidR="00F613A7" w:rsidRPr="00B22360" w:rsidRDefault="00F613A7" w:rsidP="00F613A7">
                  <w:pPr>
                    <w:jc w:val="center"/>
                    <w:rPr>
                      <w:rFonts w:ascii="Calibri" w:eastAsia="Times New Roman" w:hAnsi="Calibri" w:cs="Calibri"/>
                      <w:sz w:val="21"/>
                      <w:szCs w:val="21"/>
                    </w:rPr>
                  </w:pPr>
                  <w:r w:rsidRPr="00B22360">
                    <w:rPr>
                      <w:rFonts w:ascii="Calibri" w:eastAsia="Times New Roman" w:hAnsi="Calibri" w:cs="Calibri"/>
                      <w:sz w:val="21"/>
                      <w:szCs w:val="21"/>
                    </w:rPr>
                    <w:t xml:space="preserve">115,000.00 </w:t>
                  </w:r>
                </w:p>
              </w:tc>
            </w:tr>
            <w:tr w:rsidR="00F613A7" w:rsidTr="00414929">
              <w:tc>
                <w:tcPr>
                  <w:tcW w:w="4405" w:type="dxa"/>
                  <w:vAlign w:val="center"/>
                </w:tcPr>
                <w:p w:rsidR="00F613A7" w:rsidRPr="00F613A7" w:rsidRDefault="00F613A7" w:rsidP="00F613A7">
                  <w:pPr>
                    <w:rPr>
                      <w:rFonts w:ascii="Calibri" w:eastAsia="Times New Roman" w:hAnsi="Calibri" w:cs="Calibri"/>
                      <w:bCs/>
                      <w:sz w:val="21"/>
                      <w:szCs w:val="21"/>
                    </w:rPr>
                  </w:pPr>
                  <w:r w:rsidRPr="00F613A7">
                    <w:rPr>
                      <w:rFonts w:ascii="Calibri" w:eastAsia="Times New Roman" w:hAnsi="Calibri" w:cs="Calibri"/>
                      <w:bCs/>
                      <w:sz w:val="21"/>
                      <w:szCs w:val="21"/>
                    </w:rPr>
                    <w:t xml:space="preserve"> For Industrial Area/Outside Metropolitan Area </w:t>
                  </w:r>
                </w:p>
              </w:tc>
              <w:tc>
                <w:tcPr>
                  <w:tcW w:w="2970" w:type="dxa"/>
                </w:tcPr>
                <w:p w:rsidR="00F613A7" w:rsidRPr="00B22360" w:rsidRDefault="00F613A7" w:rsidP="00F613A7">
                  <w:pPr>
                    <w:jc w:val="center"/>
                    <w:rPr>
                      <w:rFonts w:ascii="Calibri" w:eastAsia="Times New Roman" w:hAnsi="Calibri" w:cs="Calibri"/>
                      <w:sz w:val="21"/>
                      <w:szCs w:val="21"/>
                    </w:rPr>
                  </w:pPr>
                  <w:r w:rsidRPr="00B22360">
                    <w:rPr>
                      <w:rFonts w:ascii="Calibri" w:eastAsia="Times New Roman" w:hAnsi="Calibri" w:cs="Calibri"/>
                      <w:sz w:val="21"/>
                      <w:szCs w:val="21"/>
                    </w:rPr>
                    <w:t xml:space="preserve">275,000.00 </w:t>
                  </w:r>
                </w:p>
              </w:tc>
            </w:tr>
          </w:tbl>
          <w:p w:rsidR="00F613A7" w:rsidRDefault="00F613A7" w:rsidP="00F613A7">
            <w:pPr>
              <w:pStyle w:val="ListParagraph"/>
              <w:spacing w:after="0"/>
              <w:ind w:left="334"/>
              <w:jc w:val="both"/>
            </w:pPr>
          </w:p>
          <w:p w:rsidR="00F613A7" w:rsidRDefault="00F613A7" w:rsidP="00864D55">
            <w:pPr>
              <w:spacing w:line="259" w:lineRule="auto"/>
              <w:jc w:val="both"/>
            </w:pPr>
          </w:p>
          <w:p w:rsidR="00C77CD0" w:rsidRDefault="00C77CD0" w:rsidP="00864D55">
            <w:pPr>
              <w:spacing w:line="259" w:lineRule="auto"/>
              <w:jc w:val="both"/>
            </w:pPr>
          </w:p>
          <w:p w:rsidR="00C77CD0" w:rsidRDefault="00C77CD0" w:rsidP="00864D55">
            <w:pPr>
              <w:spacing w:line="259" w:lineRule="auto"/>
              <w:jc w:val="both"/>
            </w:pPr>
          </w:p>
          <w:p w:rsidR="00C77CD0" w:rsidRDefault="00C77CD0" w:rsidP="00864D55">
            <w:pPr>
              <w:spacing w:line="259" w:lineRule="auto"/>
              <w:jc w:val="both"/>
            </w:pPr>
          </w:p>
          <w:p w:rsidR="00414929" w:rsidRDefault="00414929" w:rsidP="00414929">
            <w:pPr>
              <w:pStyle w:val="NoSpacing"/>
              <w:numPr>
                <w:ilvl w:val="0"/>
                <w:numId w:val="3"/>
              </w:numPr>
              <w:spacing w:line="276" w:lineRule="auto"/>
              <w:ind w:left="196" w:hanging="270"/>
              <w:jc w:val="both"/>
              <w:rPr>
                <w:b/>
              </w:rPr>
            </w:pPr>
            <w:r>
              <w:rPr>
                <w:b/>
              </w:rPr>
              <w:lastRenderedPageBreak/>
              <w:t xml:space="preserve">Commission Based on </w:t>
            </w:r>
            <w:r w:rsidRPr="00B22360">
              <w:rPr>
                <w:b/>
              </w:rPr>
              <w:t>Spares P</w:t>
            </w:r>
            <w:r>
              <w:rPr>
                <w:b/>
              </w:rPr>
              <w:t>arts Sales Collection:</w:t>
            </w:r>
          </w:p>
          <w:tbl>
            <w:tblPr>
              <w:tblW w:w="12251"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1"/>
            </w:tblGrid>
            <w:tr w:rsidR="00414929" w:rsidRPr="004B4B67" w:rsidTr="005530FC">
              <w:trPr>
                <w:trHeight w:val="107"/>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1.75 % for a co</w:t>
                  </w:r>
                  <w:r w:rsidR="005530FC" w:rsidRPr="005530FC">
                    <w:rPr>
                      <w:rFonts w:cs="Calibri"/>
                      <w:sz w:val="21"/>
                      <w:szCs w:val="21"/>
                    </w:rPr>
                    <w:t>llection of ≥Tk</w:t>
                  </w:r>
                  <w:r w:rsidR="00FC0733">
                    <w:rPr>
                      <w:rFonts w:cs="Calibri"/>
                      <w:sz w:val="21"/>
                      <w:szCs w:val="21"/>
                    </w:rPr>
                    <w:t>.</w:t>
                  </w:r>
                  <w:r w:rsidR="005530FC" w:rsidRPr="005530FC">
                    <w:rPr>
                      <w:rFonts w:cs="Calibri"/>
                      <w:sz w:val="21"/>
                      <w:szCs w:val="21"/>
                    </w:rPr>
                    <w:t xml:space="preserve"> 1</w:t>
                  </w:r>
                  <w:proofErr w:type="gramStart"/>
                  <w:r w:rsidR="005530FC" w:rsidRPr="005530FC">
                    <w:rPr>
                      <w:rFonts w:cs="Calibri"/>
                      <w:sz w:val="21"/>
                      <w:szCs w:val="21"/>
                    </w:rPr>
                    <w:t>,15,000</w:t>
                  </w:r>
                  <w:proofErr w:type="gramEnd"/>
                  <w:r w:rsidR="005530FC" w:rsidRPr="005530FC">
                    <w:rPr>
                      <w:rFonts w:cs="Calibri"/>
                      <w:sz w:val="21"/>
                      <w:szCs w:val="21"/>
                    </w:rPr>
                    <w:t>/- but &lt;  Tk</w:t>
                  </w:r>
                  <w:r w:rsidR="00FC0733">
                    <w:rPr>
                      <w:rFonts w:cs="Calibri"/>
                      <w:sz w:val="21"/>
                      <w:szCs w:val="21"/>
                    </w:rPr>
                    <w:t>.</w:t>
                  </w:r>
                  <w:r w:rsidR="005530FC" w:rsidRPr="005530FC">
                    <w:rPr>
                      <w:rFonts w:cs="Calibri"/>
                      <w:sz w:val="21"/>
                      <w:szCs w:val="21"/>
                    </w:rPr>
                    <w:t xml:space="preserve"> 1,50,000/-;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750 as Bonus. </w:t>
                  </w:r>
                </w:p>
              </w:tc>
            </w:tr>
            <w:tr w:rsidR="00414929" w:rsidRPr="004B4B67" w:rsidTr="005530FC">
              <w:trPr>
                <w:trHeight w:val="320"/>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2.00 % for a co</w:t>
                  </w:r>
                  <w:r w:rsidR="005530FC" w:rsidRPr="005530FC">
                    <w:rPr>
                      <w:rFonts w:cs="Calibri"/>
                      <w:sz w:val="21"/>
                      <w:szCs w:val="21"/>
                    </w:rPr>
                    <w:t>llection of ≥Tk</w:t>
                  </w:r>
                  <w:r w:rsidR="00FC0733">
                    <w:rPr>
                      <w:rFonts w:cs="Calibri"/>
                      <w:sz w:val="21"/>
                      <w:szCs w:val="21"/>
                    </w:rPr>
                    <w:t>.</w:t>
                  </w:r>
                  <w:r w:rsidR="005530FC" w:rsidRPr="005530FC">
                    <w:rPr>
                      <w:rFonts w:cs="Calibri"/>
                      <w:sz w:val="21"/>
                      <w:szCs w:val="21"/>
                    </w:rPr>
                    <w:t xml:space="preserve"> 1</w:t>
                  </w:r>
                  <w:proofErr w:type="gramStart"/>
                  <w:r w:rsidR="005530FC" w:rsidRPr="005530FC">
                    <w:rPr>
                      <w:rFonts w:cs="Calibri"/>
                      <w:sz w:val="21"/>
                      <w:szCs w:val="21"/>
                    </w:rPr>
                    <w:t>,50,000</w:t>
                  </w:r>
                  <w:proofErr w:type="gramEnd"/>
                  <w:r w:rsidR="005530FC" w:rsidRPr="005530FC">
                    <w:rPr>
                      <w:rFonts w:cs="Calibri"/>
                      <w:sz w:val="21"/>
                      <w:szCs w:val="21"/>
                    </w:rPr>
                    <w:t>/- but &lt;</w:t>
                  </w:r>
                  <w:r w:rsidRPr="005530FC">
                    <w:rPr>
                      <w:rFonts w:cs="Calibri"/>
                      <w:sz w:val="21"/>
                      <w:szCs w:val="21"/>
                    </w:rPr>
                    <w:t xml:space="preserve">  Tk</w:t>
                  </w:r>
                  <w:r w:rsidR="00FC0733">
                    <w:rPr>
                      <w:rFonts w:cs="Calibri"/>
                      <w:sz w:val="21"/>
                      <w:szCs w:val="21"/>
                    </w:rPr>
                    <w:t>.</w:t>
                  </w:r>
                  <w:r w:rsidRPr="005530FC">
                    <w:rPr>
                      <w:rFonts w:cs="Calibri"/>
                      <w:sz w:val="21"/>
                      <w:szCs w:val="21"/>
                    </w:rPr>
                    <w:t xml:space="preserve"> 2,00,000/-</w:t>
                  </w:r>
                  <w:r w:rsidR="005530FC" w:rsidRPr="005530FC">
                    <w:rPr>
                      <w:rFonts w:cs="Calibri"/>
                      <w:sz w:val="21"/>
                      <w:szCs w:val="21"/>
                    </w:rPr>
                    <w:t>;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1,000 as Bonus. </w:t>
                  </w:r>
                </w:p>
              </w:tc>
            </w:tr>
            <w:tr w:rsidR="00414929" w:rsidRPr="004B4B67" w:rsidTr="005530FC">
              <w:trPr>
                <w:trHeight w:val="320"/>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2.25 % for a collection of ≥Tk</w:t>
                  </w:r>
                  <w:r w:rsidR="00FC0733">
                    <w:rPr>
                      <w:rFonts w:cs="Calibri"/>
                      <w:sz w:val="21"/>
                      <w:szCs w:val="21"/>
                    </w:rPr>
                    <w:t>.</w:t>
                  </w:r>
                  <w:r w:rsidRPr="005530FC">
                    <w:rPr>
                      <w:rFonts w:cs="Calibri"/>
                      <w:sz w:val="21"/>
                      <w:szCs w:val="21"/>
                    </w:rPr>
                    <w:t xml:space="preserve"> 2</w:t>
                  </w:r>
                  <w:proofErr w:type="gramStart"/>
                  <w:r w:rsidRPr="005530FC">
                    <w:rPr>
                      <w:rFonts w:cs="Calibri"/>
                      <w:sz w:val="21"/>
                      <w:szCs w:val="21"/>
                    </w:rPr>
                    <w:t>,00,000</w:t>
                  </w:r>
                  <w:proofErr w:type="gramEnd"/>
                  <w:r w:rsidRPr="005530FC">
                    <w:rPr>
                      <w:rFonts w:cs="Calibri"/>
                      <w:sz w:val="21"/>
                      <w:szCs w:val="21"/>
                    </w:rPr>
                    <w:t xml:space="preserve">/- </w:t>
                  </w:r>
                  <w:r w:rsidR="005530FC" w:rsidRPr="005530FC">
                    <w:rPr>
                      <w:rFonts w:cs="Calibri"/>
                      <w:sz w:val="21"/>
                      <w:szCs w:val="21"/>
                    </w:rPr>
                    <w:t>but</w:t>
                  </w:r>
                  <w:r w:rsidRPr="005530FC">
                    <w:rPr>
                      <w:rFonts w:cs="Calibri"/>
                      <w:sz w:val="21"/>
                      <w:szCs w:val="21"/>
                    </w:rPr>
                    <w:t xml:space="preserve"> </w:t>
                  </w:r>
                  <w:r w:rsidR="005530FC" w:rsidRPr="005530FC">
                    <w:rPr>
                      <w:rFonts w:cs="Calibri"/>
                      <w:sz w:val="21"/>
                      <w:szCs w:val="21"/>
                    </w:rPr>
                    <w:t>&lt;</w:t>
                  </w:r>
                  <w:r w:rsidRPr="005530FC">
                    <w:rPr>
                      <w:rFonts w:cs="Calibri"/>
                      <w:sz w:val="21"/>
                      <w:szCs w:val="21"/>
                    </w:rPr>
                    <w:t xml:space="preserve">  Tk</w:t>
                  </w:r>
                  <w:r w:rsidR="00FC0733">
                    <w:rPr>
                      <w:rFonts w:cs="Calibri"/>
                      <w:sz w:val="21"/>
                      <w:szCs w:val="21"/>
                    </w:rPr>
                    <w:t>.</w:t>
                  </w:r>
                  <w:r w:rsidRPr="005530FC">
                    <w:rPr>
                      <w:rFonts w:cs="Calibri"/>
                      <w:sz w:val="21"/>
                      <w:szCs w:val="21"/>
                    </w:rPr>
                    <w:t xml:space="preserve"> 3,00,000/-</w:t>
                  </w:r>
                  <w:r w:rsidR="005530FC" w:rsidRPr="005530FC">
                    <w:rPr>
                      <w:rFonts w:cs="Calibri"/>
                      <w:sz w:val="21"/>
                      <w:szCs w:val="21"/>
                    </w:rPr>
                    <w:t>;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1,250 as Bonus. </w:t>
                  </w:r>
                </w:p>
              </w:tc>
            </w:tr>
            <w:tr w:rsidR="00414929" w:rsidRPr="004B4B67" w:rsidTr="005530FC">
              <w:trPr>
                <w:trHeight w:val="320"/>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2.50 % for a collection of ≥Tk</w:t>
                  </w:r>
                  <w:r w:rsidR="00FC0733">
                    <w:rPr>
                      <w:rFonts w:cs="Calibri"/>
                      <w:sz w:val="21"/>
                      <w:szCs w:val="21"/>
                    </w:rPr>
                    <w:t>.</w:t>
                  </w:r>
                  <w:r w:rsidRPr="005530FC">
                    <w:rPr>
                      <w:rFonts w:cs="Calibri"/>
                      <w:sz w:val="21"/>
                      <w:szCs w:val="21"/>
                    </w:rPr>
                    <w:t xml:space="preserve"> 3</w:t>
                  </w:r>
                  <w:proofErr w:type="gramStart"/>
                  <w:r w:rsidRPr="005530FC">
                    <w:rPr>
                      <w:rFonts w:cs="Calibri"/>
                      <w:sz w:val="21"/>
                      <w:szCs w:val="21"/>
                    </w:rPr>
                    <w:t>,00,000</w:t>
                  </w:r>
                  <w:proofErr w:type="gramEnd"/>
                  <w:r w:rsidRPr="005530FC">
                    <w:rPr>
                      <w:rFonts w:cs="Calibri"/>
                      <w:sz w:val="21"/>
                      <w:szCs w:val="21"/>
                    </w:rPr>
                    <w:t xml:space="preserve">/- </w:t>
                  </w:r>
                  <w:r w:rsidR="005530FC" w:rsidRPr="005530FC">
                    <w:rPr>
                      <w:rFonts w:cs="Calibri"/>
                      <w:sz w:val="21"/>
                      <w:szCs w:val="21"/>
                    </w:rPr>
                    <w:t>but</w:t>
                  </w:r>
                  <w:r w:rsidRPr="005530FC">
                    <w:rPr>
                      <w:rFonts w:cs="Calibri"/>
                      <w:sz w:val="21"/>
                      <w:szCs w:val="21"/>
                    </w:rPr>
                    <w:t xml:space="preserve"> </w:t>
                  </w:r>
                  <w:r w:rsidR="005530FC" w:rsidRPr="005530FC">
                    <w:rPr>
                      <w:rFonts w:cs="Calibri"/>
                      <w:sz w:val="21"/>
                      <w:szCs w:val="21"/>
                    </w:rPr>
                    <w:t>&lt;</w:t>
                  </w:r>
                  <w:r w:rsidRPr="005530FC">
                    <w:rPr>
                      <w:rFonts w:cs="Calibri"/>
                      <w:sz w:val="21"/>
                      <w:szCs w:val="21"/>
                    </w:rPr>
                    <w:t xml:space="preserve">  Tk</w:t>
                  </w:r>
                  <w:r w:rsidR="00FC0733">
                    <w:rPr>
                      <w:rFonts w:cs="Calibri"/>
                      <w:sz w:val="21"/>
                      <w:szCs w:val="21"/>
                    </w:rPr>
                    <w:t>.</w:t>
                  </w:r>
                  <w:r w:rsidRPr="005530FC">
                    <w:rPr>
                      <w:rFonts w:cs="Calibri"/>
                      <w:sz w:val="21"/>
                      <w:szCs w:val="21"/>
                    </w:rPr>
                    <w:t xml:space="preserve"> 4,00,000/-</w:t>
                  </w:r>
                  <w:r w:rsidR="005530FC" w:rsidRPr="005530FC">
                    <w:rPr>
                      <w:rFonts w:cs="Calibri"/>
                      <w:sz w:val="21"/>
                      <w:szCs w:val="21"/>
                    </w:rPr>
                    <w:t>;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1,500 as Bonus. </w:t>
                  </w:r>
                </w:p>
              </w:tc>
            </w:tr>
            <w:tr w:rsidR="00414929" w:rsidRPr="004B4B67" w:rsidTr="005530FC">
              <w:trPr>
                <w:trHeight w:val="320"/>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2.75 % for a collection of ≥Tk</w:t>
                  </w:r>
                  <w:r w:rsidR="00FC0733">
                    <w:rPr>
                      <w:rFonts w:cs="Calibri"/>
                      <w:sz w:val="21"/>
                      <w:szCs w:val="21"/>
                    </w:rPr>
                    <w:t>.</w:t>
                  </w:r>
                  <w:r w:rsidRPr="005530FC">
                    <w:rPr>
                      <w:rFonts w:cs="Calibri"/>
                      <w:sz w:val="21"/>
                      <w:szCs w:val="21"/>
                    </w:rPr>
                    <w:t xml:space="preserve"> 4</w:t>
                  </w:r>
                  <w:proofErr w:type="gramStart"/>
                  <w:r w:rsidRPr="005530FC">
                    <w:rPr>
                      <w:rFonts w:cs="Calibri"/>
                      <w:sz w:val="21"/>
                      <w:szCs w:val="21"/>
                    </w:rPr>
                    <w:t>,00,000</w:t>
                  </w:r>
                  <w:proofErr w:type="gramEnd"/>
                  <w:r w:rsidRPr="005530FC">
                    <w:rPr>
                      <w:rFonts w:cs="Calibri"/>
                      <w:sz w:val="21"/>
                      <w:szCs w:val="21"/>
                    </w:rPr>
                    <w:t xml:space="preserve">/- </w:t>
                  </w:r>
                  <w:r w:rsidR="005530FC" w:rsidRPr="005530FC">
                    <w:rPr>
                      <w:rFonts w:cs="Calibri"/>
                      <w:sz w:val="21"/>
                      <w:szCs w:val="21"/>
                    </w:rPr>
                    <w:t>but</w:t>
                  </w:r>
                  <w:r w:rsidRPr="005530FC">
                    <w:rPr>
                      <w:rFonts w:cs="Calibri"/>
                      <w:sz w:val="21"/>
                      <w:szCs w:val="21"/>
                    </w:rPr>
                    <w:t xml:space="preserve"> </w:t>
                  </w:r>
                  <w:r w:rsidR="005530FC" w:rsidRPr="005530FC">
                    <w:rPr>
                      <w:rFonts w:cs="Calibri"/>
                      <w:sz w:val="21"/>
                      <w:szCs w:val="21"/>
                    </w:rPr>
                    <w:t>&lt;</w:t>
                  </w:r>
                  <w:r w:rsidRPr="005530FC">
                    <w:rPr>
                      <w:rFonts w:cs="Calibri"/>
                      <w:sz w:val="21"/>
                      <w:szCs w:val="21"/>
                    </w:rPr>
                    <w:t xml:space="preserve">  Tk</w:t>
                  </w:r>
                  <w:r w:rsidR="00FC0733">
                    <w:rPr>
                      <w:rFonts w:cs="Calibri"/>
                      <w:sz w:val="21"/>
                      <w:szCs w:val="21"/>
                    </w:rPr>
                    <w:t>.</w:t>
                  </w:r>
                  <w:r w:rsidRPr="005530FC">
                    <w:rPr>
                      <w:rFonts w:cs="Calibri"/>
                      <w:sz w:val="21"/>
                      <w:szCs w:val="21"/>
                    </w:rPr>
                    <w:t xml:space="preserve"> 5,00,000/-</w:t>
                  </w:r>
                  <w:r w:rsidR="005530FC" w:rsidRPr="005530FC">
                    <w:rPr>
                      <w:rFonts w:cs="Calibri"/>
                      <w:sz w:val="21"/>
                      <w:szCs w:val="21"/>
                    </w:rPr>
                    <w:t>;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1,750 as Bonus. </w:t>
                  </w:r>
                </w:p>
              </w:tc>
            </w:tr>
            <w:tr w:rsidR="00414929" w:rsidRPr="004B4B67" w:rsidTr="005530FC">
              <w:trPr>
                <w:trHeight w:val="320"/>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3.00 % for a collection of ≥Tk</w:t>
                  </w:r>
                  <w:r w:rsidR="00FC0733">
                    <w:rPr>
                      <w:rFonts w:cs="Calibri"/>
                      <w:sz w:val="21"/>
                      <w:szCs w:val="21"/>
                    </w:rPr>
                    <w:t>.</w:t>
                  </w:r>
                  <w:r w:rsidRPr="005530FC">
                    <w:rPr>
                      <w:rFonts w:cs="Calibri"/>
                      <w:sz w:val="21"/>
                      <w:szCs w:val="21"/>
                    </w:rPr>
                    <w:t xml:space="preserve"> 5</w:t>
                  </w:r>
                  <w:proofErr w:type="gramStart"/>
                  <w:r w:rsidRPr="005530FC">
                    <w:rPr>
                      <w:rFonts w:cs="Calibri"/>
                      <w:sz w:val="21"/>
                      <w:szCs w:val="21"/>
                    </w:rPr>
                    <w:t>,00,000</w:t>
                  </w:r>
                  <w:proofErr w:type="gramEnd"/>
                  <w:r w:rsidRPr="005530FC">
                    <w:rPr>
                      <w:rFonts w:cs="Calibri"/>
                      <w:sz w:val="21"/>
                      <w:szCs w:val="21"/>
                    </w:rPr>
                    <w:t xml:space="preserve">/- </w:t>
                  </w:r>
                  <w:r w:rsidR="005530FC" w:rsidRPr="005530FC">
                    <w:rPr>
                      <w:rFonts w:cs="Calibri"/>
                      <w:sz w:val="21"/>
                      <w:szCs w:val="21"/>
                    </w:rPr>
                    <w:t>but</w:t>
                  </w:r>
                  <w:r w:rsidRPr="005530FC">
                    <w:rPr>
                      <w:rFonts w:cs="Calibri"/>
                      <w:sz w:val="21"/>
                      <w:szCs w:val="21"/>
                    </w:rPr>
                    <w:t xml:space="preserve"> </w:t>
                  </w:r>
                  <w:r w:rsidR="005530FC" w:rsidRPr="005530FC">
                    <w:rPr>
                      <w:rFonts w:cs="Calibri"/>
                      <w:sz w:val="21"/>
                      <w:szCs w:val="21"/>
                    </w:rPr>
                    <w:t>&lt;</w:t>
                  </w:r>
                  <w:r w:rsidRPr="005530FC">
                    <w:rPr>
                      <w:rFonts w:cs="Calibri"/>
                      <w:sz w:val="21"/>
                      <w:szCs w:val="21"/>
                    </w:rPr>
                    <w:t xml:space="preserve">  Tk</w:t>
                  </w:r>
                  <w:r w:rsidR="00FC0733">
                    <w:rPr>
                      <w:rFonts w:cs="Calibri"/>
                      <w:sz w:val="21"/>
                      <w:szCs w:val="21"/>
                    </w:rPr>
                    <w:t>.</w:t>
                  </w:r>
                  <w:r w:rsidRPr="005530FC">
                    <w:rPr>
                      <w:rFonts w:cs="Calibri"/>
                      <w:sz w:val="21"/>
                      <w:szCs w:val="21"/>
                    </w:rPr>
                    <w:t xml:space="preserve"> 7,00,000/-</w:t>
                  </w:r>
                  <w:r w:rsidR="005530FC" w:rsidRPr="005530FC">
                    <w:rPr>
                      <w:rFonts w:cs="Calibri"/>
                      <w:sz w:val="21"/>
                      <w:szCs w:val="21"/>
                    </w:rPr>
                    <w:t>;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2,000 as Bonus. </w:t>
                  </w:r>
                </w:p>
              </w:tc>
            </w:tr>
            <w:tr w:rsidR="00414929" w:rsidRPr="004B4B67" w:rsidTr="005530FC">
              <w:trPr>
                <w:trHeight w:val="320"/>
              </w:trPr>
              <w:tc>
                <w:tcPr>
                  <w:tcW w:w="12251" w:type="dxa"/>
                  <w:shd w:val="clear" w:color="000000" w:fill="FFFFFF"/>
                  <w:noWrap/>
                  <w:vAlign w:val="center"/>
                  <w:hideMark/>
                </w:tcPr>
                <w:p w:rsidR="00414929" w:rsidRPr="005530FC" w:rsidRDefault="00414929" w:rsidP="005530FC">
                  <w:pPr>
                    <w:pStyle w:val="ListParagraph"/>
                    <w:numPr>
                      <w:ilvl w:val="0"/>
                      <w:numId w:val="5"/>
                    </w:numPr>
                    <w:rPr>
                      <w:rFonts w:cs="Calibri"/>
                      <w:sz w:val="21"/>
                      <w:szCs w:val="21"/>
                    </w:rPr>
                  </w:pPr>
                  <w:r w:rsidRPr="005530FC">
                    <w:rPr>
                      <w:rFonts w:cs="Calibri"/>
                      <w:sz w:val="21"/>
                      <w:szCs w:val="21"/>
                    </w:rPr>
                    <w:t xml:space="preserve">3.25 % for a collection of </w:t>
                  </w:r>
                  <w:r w:rsidR="005530FC" w:rsidRPr="005530FC">
                    <w:rPr>
                      <w:rFonts w:cs="Calibri"/>
                      <w:sz w:val="21"/>
                      <w:szCs w:val="21"/>
                    </w:rPr>
                    <w:t>≥ Tk</w:t>
                  </w:r>
                  <w:r w:rsidR="00FC0733">
                    <w:rPr>
                      <w:rFonts w:cs="Calibri"/>
                      <w:sz w:val="21"/>
                      <w:szCs w:val="21"/>
                    </w:rPr>
                    <w:t>.</w:t>
                  </w:r>
                  <w:r w:rsidR="005530FC" w:rsidRPr="005530FC">
                    <w:rPr>
                      <w:rFonts w:cs="Calibri"/>
                      <w:sz w:val="21"/>
                      <w:szCs w:val="21"/>
                    </w:rPr>
                    <w:t xml:space="preserve"> 7,00,000/-; Additional</w:t>
                  </w:r>
                  <w:r w:rsidRPr="005530FC">
                    <w:rPr>
                      <w:rFonts w:cs="Calibri"/>
                      <w:sz w:val="21"/>
                      <w:szCs w:val="21"/>
                    </w:rPr>
                    <w:t xml:space="preserve"> Tk</w:t>
                  </w:r>
                  <w:r w:rsidR="00FC0733">
                    <w:rPr>
                      <w:rFonts w:cs="Calibri"/>
                      <w:sz w:val="21"/>
                      <w:szCs w:val="21"/>
                    </w:rPr>
                    <w:t>.</w:t>
                  </w:r>
                  <w:r w:rsidRPr="005530FC">
                    <w:rPr>
                      <w:rFonts w:cs="Calibri"/>
                      <w:sz w:val="21"/>
                      <w:szCs w:val="21"/>
                    </w:rPr>
                    <w:t xml:space="preserve"> 2,500 as Bonus </w:t>
                  </w:r>
                </w:p>
              </w:tc>
            </w:tr>
            <w:tr w:rsidR="00414929" w:rsidRPr="004B4B67" w:rsidTr="008504D0">
              <w:trPr>
                <w:trHeight w:val="530"/>
              </w:trPr>
              <w:tc>
                <w:tcPr>
                  <w:tcW w:w="12251" w:type="dxa"/>
                  <w:shd w:val="clear" w:color="000000" w:fill="FFFFFF"/>
                  <w:vAlign w:val="center"/>
                  <w:hideMark/>
                </w:tcPr>
                <w:p w:rsidR="00414929" w:rsidRPr="00FC0733" w:rsidRDefault="00414929" w:rsidP="00C77CD0">
                  <w:pPr>
                    <w:pStyle w:val="ListParagraph"/>
                    <w:numPr>
                      <w:ilvl w:val="0"/>
                      <w:numId w:val="5"/>
                    </w:numPr>
                    <w:jc w:val="both"/>
                    <w:rPr>
                      <w:rFonts w:cs="Calibri"/>
                      <w:sz w:val="21"/>
                      <w:szCs w:val="21"/>
                    </w:rPr>
                  </w:pPr>
                  <w:r w:rsidRPr="00FC0733">
                    <w:rPr>
                      <w:rFonts w:cs="Calibri"/>
                      <w:sz w:val="21"/>
                      <w:szCs w:val="21"/>
                    </w:rPr>
                    <w:t>Additional 1.75 % on collection in case of</w:t>
                  </w:r>
                  <w:r w:rsidR="00FC0733">
                    <w:rPr>
                      <w:rFonts w:cs="Calibri"/>
                      <w:sz w:val="21"/>
                      <w:szCs w:val="21"/>
                    </w:rPr>
                    <w:t xml:space="preserve"> 100% </w:t>
                  </w:r>
                  <w:r w:rsidR="00FC0733" w:rsidRPr="00FC0733">
                    <w:rPr>
                      <w:rFonts w:cs="Calibri"/>
                      <w:sz w:val="21"/>
                      <w:szCs w:val="21"/>
                    </w:rPr>
                    <w:t>achievement</w:t>
                  </w:r>
                  <w:r w:rsidR="00FC0733">
                    <w:rPr>
                      <w:rFonts w:cs="Calibri"/>
                      <w:sz w:val="21"/>
                      <w:szCs w:val="21"/>
                    </w:rPr>
                    <w:t xml:space="preserve"> of</w:t>
                  </w:r>
                  <w:r w:rsidRPr="00FC0733">
                    <w:rPr>
                      <w:rFonts w:cs="Calibri"/>
                      <w:sz w:val="21"/>
                      <w:szCs w:val="21"/>
                    </w:rPr>
                    <w:t xml:space="preserve"> monthly sales/collection budget. </w:t>
                  </w:r>
                  <w:r w:rsidR="000D17D6">
                    <w:rPr>
                      <w:rFonts w:cs="Calibri"/>
                      <w:sz w:val="21"/>
                      <w:szCs w:val="21"/>
                    </w:rPr>
                    <w:t xml:space="preserve">This </w:t>
                  </w:r>
                  <w:r w:rsidRPr="00FC0733">
                    <w:rPr>
                      <w:rFonts w:cs="Calibri"/>
                      <w:sz w:val="21"/>
                      <w:szCs w:val="21"/>
                    </w:rPr>
                    <w:t>commiss</w:t>
                  </w:r>
                  <w:r w:rsidR="000D17D6">
                    <w:rPr>
                      <w:rFonts w:cs="Calibri"/>
                      <w:sz w:val="21"/>
                      <w:szCs w:val="21"/>
                    </w:rPr>
                    <w:t xml:space="preserve">ion shall be rewarded in addition to the commission as mentioned above (from </w:t>
                  </w:r>
                  <w:proofErr w:type="gramStart"/>
                  <w:r w:rsidR="000D17D6">
                    <w:rPr>
                      <w:rFonts w:cs="Calibri"/>
                      <w:sz w:val="21"/>
                      <w:szCs w:val="21"/>
                    </w:rPr>
                    <w:t>a to</w:t>
                  </w:r>
                  <w:proofErr w:type="gramEnd"/>
                  <w:r w:rsidR="000D17D6">
                    <w:rPr>
                      <w:rFonts w:cs="Calibri"/>
                      <w:sz w:val="21"/>
                      <w:szCs w:val="21"/>
                    </w:rPr>
                    <w:t xml:space="preserve"> g)</w:t>
                  </w:r>
                  <w:r w:rsidRPr="00FC0733">
                    <w:rPr>
                      <w:rFonts w:cs="Calibri"/>
                      <w:sz w:val="21"/>
                      <w:szCs w:val="21"/>
                    </w:rPr>
                    <w:t>.</w:t>
                  </w:r>
                </w:p>
              </w:tc>
            </w:tr>
            <w:tr w:rsidR="00414929" w:rsidRPr="004B4B67" w:rsidTr="005530FC">
              <w:trPr>
                <w:trHeight w:val="338"/>
              </w:trPr>
              <w:tc>
                <w:tcPr>
                  <w:tcW w:w="12251" w:type="dxa"/>
                  <w:shd w:val="clear" w:color="000000" w:fill="FFFFFF"/>
                  <w:vAlign w:val="center"/>
                  <w:hideMark/>
                </w:tcPr>
                <w:p w:rsidR="00414929" w:rsidRPr="000D17D6" w:rsidRDefault="00414929" w:rsidP="00C77CD0">
                  <w:pPr>
                    <w:pStyle w:val="ListParagraph"/>
                    <w:numPr>
                      <w:ilvl w:val="0"/>
                      <w:numId w:val="5"/>
                    </w:numPr>
                    <w:jc w:val="both"/>
                    <w:rPr>
                      <w:rFonts w:cs="Calibri"/>
                      <w:sz w:val="21"/>
                      <w:szCs w:val="21"/>
                    </w:rPr>
                  </w:pPr>
                  <w:r w:rsidRPr="000D17D6">
                    <w:rPr>
                      <w:rFonts w:cs="Calibri"/>
                      <w:sz w:val="21"/>
                      <w:szCs w:val="21"/>
                    </w:rPr>
                    <w:t>For</w:t>
                  </w:r>
                  <w:r w:rsidR="000D17D6">
                    <w:rPr>
                      <w:rFonts w:cs="Calibri"/>
                      <w:sz w:val="21"/>
                      <w:szCs w:val="21"/>
                    </w:rPr>
                    <w:t xml:space="preserve"> 100% achievement of</w:t>
                  </w:r>
                  <w:r w:rsidRPr="000D17D6">
                    <w:rPr>
                      <w:rFonts w:cs="Calibri"/>
                      <w:sz w:val="21"/>
                      <w:szCs w:val="21"/>
                    </w:rPr>
                    <w:t xml:space="preserve"> yearly sales &amp; collection </w:t>
                  </w:r>
                  <w:r w:rsidR="000D17D6">
                    <w:rPr>
                      <w:rFonts w:cs="Calibri"/>
                      <w:sz w:val="21"/>
                      <w:szCs w:val="21"/>
                    </w:rPr>
                    <w:t>target</w:t>
                  </w:r>
                  <w:r w:rsidRPr="000D17D6">
                    <w:rPr>
                      <w:rFonts w:cs="Calibri"/>
                      <w:sz w:val="21"/>
                      <w:szCs w:val="21"/>
                    </w:rPr>
                    <w:t xml:space="preserve">, individuals will be awarded </w:t>
                  </w:r>
                  <w:r w:rsidR="000D17D6">
                    <w:rPr>
                      <w:rFonts w:cs="Calibri"/>
                      <w:sz w:val="21"/>
                      <w:szCs w:val="21"/>
                    </w:rPr>
                    <w:t xml:space="preserve">an additional amount of </w:t>
                  </w:r>
                  <w:r w:rsidRPr="000D17D6">
                    <w:rPr>
                      <w:rFonts w:cs="Calibri"/>
                      <w:sz w:val="21"/>
                      <w:szCs w:val="21"/>
                    </w:rPr>
                    <w:t>Tk</w:t>
                  </w:r>
                  <w:r w:rsidR="000D17D6">
                    <w:rPr>
                      <w:rFonts w:cs="Calibri"/>
                      <w:sz w:val="21"/>
                      <w:szCs w:val="21"/>
                    </w:rPr>
                    <w:t>.</w:t>
                  </w:r>
                  <w:r w:rsidRPr="000D17D6">
                    <w:rPr>
                      <w:rFonts w:cs="Calibri"/>
                      <w:sz w:val="21"/>
                      <w:szCs w:val="21"/>
                    </w:rPr>
                    <w:t xml:space="preserve"> 25,000 </w:t>
                  </w:r>
                  <w:r w:rsidR="000D17D6">
                    <w:rPr>
                      <w:rFonts w:cs="Calibri"/>
                      <w:sz w:val="21"/>
                      <w:szCs w:val="21"/>
                    </w:rPr>
                    <w:t>at the end of the fiscal year</w:t>
                  </w:r>
                  <w:r w:rsidRPr="000D17D6">
                    <w:rPr>
                      <w:rFonts w:cs="Calibri"/>
                      <w:sz w:val="21"/>
                      <w:szCs w:val="21"/>
                    </w:rPr>
                    <w:t xml:space="preserve">. </w:t>
                  </w:r>
                </w:p>
              </w:tc>
            </w:tr>
            <w:tr w:rsidR="00414929" w:rsidRPr="004B4B67" w:rsidTr="005530FC">
              <w:trPr>
                <w:trHeight w:val="338"/>
              </w:trPr>
              <w:tc>
                <w:tcPr>
                  <w:tcW w:w="12251" w:type="dxa"/>
                  <w:shd w:val="clear" w:color="000000" w:fill="FFFFFF"/>
                  <w:vAlign w:val="center"/>
                  <w:hideMark/>
                </w:tcPr>
                <w:p w:rsidR="00414929" w:rsidRDefault="00414929" w:rsidP="00C77CD0">
                  <w:pPr>
                    <w:pStyle w:val="ListParagraph"/>
                    <w:numPr>
                      <w:ilvl w:val="0"/>
                      <w:numId w:val="5"/>
                    </w:numPr>
                    <w:jc w:val="both"/>
                    <w:rPr>
                      <w:rFonts w:cs="Calibri"/>
                      <w:sz w:val="21"/>
                      <w:szCs w:val="21"/>
                    </w:rPr>
                  </w:pPr>
                  <w:r w:rsidRPr="000D17D6">
                    <w:rPr>
                      <w:rFonts w:cs="Calibri"/>
                      <w:sz w:val="21"/>
                      <w:szCs w:val="21"/>
                    </w:rPr>
                    <w:t xml:space="preserve">Commission on sales / collection shall be decided by the respective supervisors based on ASE's ownership on the sales and overall profitability. </w:t>
                  </w:r>
                </w:p>
                <w:p w:rsidR="00DC09DE" w:rsidRDefault="000D17D6" w:rsidP="00643027">
                  <w:pPr>
                    <w:pStyle w:val="ListParagraph"/>
                    <w:ind w:left="405"/>
                    <w:jc w:val="both"/>
                    <w:rPr>
                      <w:rFonts w:cs="Calibri"/>
                      <w:sz w:val="21"/>
                      <w:szCs w:val="21"/>
                    </w:rPr>
                  </w:pPr>
                  <w:r w:rsidRPr="00DC09DE">
                    <w:rPr>
                      <w:rFonts w:cs="Calibri"/>
                      <w:sz w:val="21"/>
                      <w:szCs w:val="21"/>
                      <w:highlight w:val="yellow"/>
                    </w:rPr>
                    <w:t xml:space="preserve">IA: </w:t>
                  </w:r>
                  <w:r w:rsidR="00B928A5" w:rsidRPr="00DC09DE">
                    <w:rPr>
                      <w:rFonts w:cs="Calibri"/>
                      <w:sz w:val="21"/>
                      <w:szCs w:val="21"/>
                      <w:highlight w:val="yellow"/>
                    </w:rPr>
                    <w:t xml:space="preserve">I think we need to be very specific and the commission should be governed by the structure as mentioned above. Further, </w:t>
                  </w:r>
                  <w:r w:rsidR="00DC09DE" w:rsidRPr="00DC09DE">
                    <w:rPr>
                      <w:rFonts w:cs="Calibri"/>
                      <w:sz w:val="21"/>
                      <w:szCs w:val="21"/>
                      <w:highlight w:val="yellow"/>
                    </w:rPr>
                    <w:t xml:space="preserve">ASEs </w:t>
                  </w:r>
                  <w:r w:rsidR="00FD6963">
                    <w:rPr>
                      <w:rFonts w:cs="Calibri"/>
                      <w:sz w:val="21"/>
                      <w:szCs w:val="21"/>
                      <w:highlight w:val="yellow"/>
                    </w:rPr>
                    <w:t xml:space="preserve">should not have any </w:t>
                  </w:r>
                  <w:r w:rsidR="00DC09DE" w:rsidRPr="00DC09DE">
                    <w:rPr>
                      <w:rFonts w:cs="Calibri"/>
                      <w:sz w:val="21"/>
                      <w:szCs w:val="21"/>
                      <w:highlight w:val="yellow"/>
                    </w:rPr>
                    <w:t>control over profitability</w:t>
                  </w:r>
                  <w:r w:rsidR="00FD6963">
                    <w:rPr>
                      <w:rFonts w:cs="Calibri"/>
                      <w:sz w:val="21"/>
                      <w:szCs w:val="21"/>
                      <w:highlight w:val="yellow"/>
                    </w:rPr>
                    <w:t xml:space="preserve"> rather line managers should be responsible for ensuring the expected </w:t>
                  </w:r>
                  <w:r w:rsidR="009B6974">
                    <w:rPr>
                      <w:rFonts w:cs="Calibri"/>
                      <w:sz w:val="21"/>
                      <w:szCs w:val="21"/>
                      <w:highlight w:val="yellow"/>
                    </w:rPr>
                    <w:t>profitability</w:t>
                  </w:r>
                  <w:r w:rsidR="00DC09DE" w:rsidRPr="00DC09DE">
                    <w:rPr>
                      <w:rFonts w:cs="Calibri"/>
                      <w:sz w:val="21"/>
                      <w:szCs w:val="21"/>
                      <w:highlight w:val="yellow"/>
                    </w:rPr>
                    <w:t>. Therefore, we would recommend to exclude this point.</w:t>
                  </w:r>
                  <w:r w:rsidR="008504D0">
                    <w:rPr>
                      <w:rFonts w:cs="Calibri"/>
                      <w:sz w:val="21"/>
                      <w:szCs w:val="21"/>
                    </w:rPr>
                    <w:t xml:space="preserve"> </w:t>
                  </w:r>
                  <w:r w:rsidR="00643027">
                    <w:rPr>
                      <w:rFonts w:cs="Calibri"/>
                      <w:sz w:val="21"/>
                      <w:szCs w:val="21"/>
                      <w:highlight w:val="green"/>
                    </w:rPr>
                    <w:t>Disagreed as</w:t>
                  </w:r>
                  <w:r w:rsidR="008504D0" w:rsidRPr="008504D0">
                    <w:rPr>
                      <w:rFonts w:cs="Calibri"/>
                      <w:sz w:val="21"/>
                      <w:szCs w:val="21"/>
                      <w:highlight w:val="green"/>
                    </w:rPr>
                    <w:t xml:space="preserve"> we need to keep this clause. In some cases, we need to be very aggressive with special discount and payment terms in order to secure the business from competition. Obviously the profitability in those cases are very less and cannot be considered for ASE commission. The supervisor through his line head/ HOD can have the profitability information prior deciding on ASE commission.</w:t>
                  </w:r>
                  <w:r w:rsidR="008504D0">
                    <w:rPr>
                      <w:rFonts w:cs="Calibri"/>
                      <w:sz w:val="21"/>
                      <w:szCs w:val="21"/>
                    </w:rPr>
                    <w:t xml:space="preserve"> </w:t>
                  </w:r>
                </w:p>
                <w:p w:rsidR="00B719B9" w:rsidRDefault="00B719B9" w:rsidP="001D351B">
                  <w:pPr>
                    <w:pStyle w:val="ListParagraph"/>
                    <w:shd w:val="clear" w:color="auto" w:fill="9CC2E5" w:themeFill="accent1" w:themeFillTint="99"/>
                    <w:ind w:left="405"/>
                    <w:jc w:val="both"/>
                    <w:rPr>
                      <w:rFonts w:cs="Calibri"/>
                      <w:sz w:val="21"/>
                      <w:szCs w:val="21"/>
                    </w:rPr>
                  </w:pPr>
                  <w:r>
                    <w:rPr>
                      <w:rFonts w:cs="Calibri"/>
                      <w:sz w:val="21"/>
                      <w:szCs w:val="21"/>
                    </w:rPr>
                    <w:t>IA (June 09, 2021): I got the point. C</w:t>
                  </w:r>
                  <w:r w:rsidR="002E4CC8">
                    <w:rPr>
                      <w:rFonts w:cs="Calibri"/>
                      <w:sz w:val="21"/>
                      <w:szCs w:val="21"/>
                    </w:rPr>
                    <w:t>an we rephrase this clause as follows</w:t>
                  </w:r>
                  <w:r w:rsidR="009B6974">
                    <w:rPr>
                      <w:rFonts w:cs="Calibri"/>
                      <w:sz w:val="21"/>
                      <w:szCs w:val="21"/>
                    </w:rPr>
                    <w:t>?</w:t>
                  </w:r>
                </w:p>
                <w:p w:rsidR="009B6974" w:rsidRPr="00DC09DE" w:rsidRDefault="001D351B" w:rsidP="001D351B">
                  <w:pPr>
                    <w:pStyle w:val="ListParagraph"/>
                    <w:shd w:val="clear" w:color="auto" w:fill="9CC2E5" w:themeFill="accent1" w:themeFillTint="99"/>
                    <w:ind w:left="405"/>
                    <w:jc w:val="both"/>
                    <w:rPr>
                      <w:rFonts w:cs="Calibri"/>
                      <w:sz w:val="21"/>
                      <w:szCs w:val="21"/>
                    </w:rPr>
                  </w:pPr>
                  <w:r>
                    <w:rPr>
                      <w:rFonts w:cs="Calibri"/>
                      <w:sz w:val="21"/>
                      <w:szCs w:val="21"/>
                    </w:rPr>
                    <w:t>‘</w:t>
                  </w:r>
                  <w:r w:rsidR="009B6974">
                    <w:rPr>
                      <w:rFonts w:cs="Calibri"/>
                      <w:sz w:val="21"/>
                      <w:szCs w:val="21"/>
                    </w:rPr>
                    <w:t xml:space="preserve">Commission for ASE’s on sales / collection shall be determined </w:t>
                  </w:r>
                  <w:r w:rsidR="00E33BAD">
                    <w:rPr>
                      <w:rFonts w:cs="Calibri"/>
                      <w:sz w:val="21"/>
                      <w:szCs w:val="21"/>
                    </w:rPr>
                    <w:t xml:space="preserve">on case to case basis depending </w:t>
                  </w:r>
                  <w:r w:rsidR="009B6974">
                    <w:rPr>
                      <w:rFonts w:cs="Calibri"/>
                      <w:sz w:val="21"/>
                      <w:szCs w:val="21"/>
                    </w:rPr>
                    <w:t>on overall pro</w:t>
                  </w:r>
                  <w:r w:rsidR="00E33BAD">
                    <w:rPr>
                      <w:rFonts w:cs="Calibri"/>
                      <w:sz w:val="21"/>
                      <w:szCs w:val="21"/>
                    </w:rPr>
                    <w:t xml:space="preserve">fitability, payment terms and contribution of the respective ASE </w:t>
                  </w:r>
                  <w:r>
                    <w:rPr>
                      <w:rFonts w:cs="Calibri"/>
                      <w:sz w:val="21"/>
                      <w:szCs w:val="21"/>
                    </w:rPr>
                    <w:t>for that particular sales.’</w:t>
                  </w:r>
                </w:p>
              </w:tc>
            </w:tr>
            <w:tr w:rsidR="00414929" w:rsidRPr="004B4B67" w:rsidTr="005530FC">
              <w:trPr>
                <w:trHeight w:val="526"/>
              </w:trPr>
              <w:tc>
                <w:tcPr>
                  <w:tcW w:w="12251" w:type="dxa"/>
                  <w:shd w:val="clear" w:color="000000" w:fill="FFFFFF"/>
                  <w:vAlign w:val="center"/>
                  <w:hideMark/>
                </w:tcPr>
                <w:p w:rsidR="00414929" w:rsidRPr="00DC09DE" w:rsidRDefault="00414929" w:rsidP="00C77CD0">
                  <w:pPr>
                    <w:pStyle w:val="ListParagraph"/>
                    <w:numPr>
                      <w:ilvl w:val="0"/>
                      <w:numId w:val="5"/>
                    </w:numPr>
                    <w:jc w:val="both"/>
                    <w:rPr>
                      <w:rFonts w:cs="Calibri"/>
                      <w:sz w:val="21"/>
                      <w:szCs w:val="21"/>
                    </w:rPr>
                  </w:pPr>
                  <w:r w:rsidRPr="00DC09DE">
                    <w:rPr>
                      <w:rFonts w:cs="Calibri"/>
                      <w:sz w:val="21"/>
                      <w:szCs w:val="21"/>
                    </w:rPr>
                    <w:t>Above commissions are not applicable for Lube Oil sales. For lube oil, ASE</w:t>
                  </w:r>
                  <w:r w:rsidR="00DC09DE">
                    <w:rPr>
                      <w:rFonts w:cs="Calibri"/>
                      <w:sz w:val="21"/>
                      <w:szCs w:val="21"/>
                    </w:rPr>
                    <w:t>s</w:t>
                  </w:r>
                  <w:r w:rsidRPr="00DC09DE">
                    <w:rPr>
                      <w:rFonts w:cs="Calibri"/>
                      <w:sz w:val="21"/>
                      <w:szCs w:val="21"/>
                    </w:rPr>
                    <w:t xml:space="preserve"> will get Tk. 5 / Liter (ex</w:t>
                  </w:r>
                  <w:r w:rsidR="000E00A8">
                    <w:rPr>
                      <w:rFonts w:cs="Calibri"/>
                      <w:sz w:val="21"/>
                      <w:szCs w:val="21"/>
                    </w:rPr>
                    <w:t>cept Gas Lube Oil for which commission is not applicable</w:t>
                  </w:r>
                  <w:r w:rsidRPr="00DC09DE">
                    <w:rPr>
                      <w:rFonts w:cs="Calibri"/>
                      <w:sz w:val="21"/>
                      <w:szCs w:val="21"/>
                    </w:rPr>
                    <w:t xml:space="preserve">). Other lubricants like coolant, grease etc. shall follow </w:t>
                  </w:r>
                  <w:r w:rsidR="000E00A8">
                    <w:rPr>
                      <w:rFonts w:cs="Calibri"/>
                      <w:sz w:val="21"/>
                      <w:szCs w:val="21"/>
                    </w:rPr>
                    <w:t>the commission structure as stated above</w:t>
                  </w:r>
                  <w:r w:rsidRPr="00DC09DE">
                    <w:rPr>
                      <w:rFonts w:cs="Calibri"/>
                      <w:sz w:val="21"/>
                      <w:szCs w:val="21"/>
                    </w:rPr>
                    <w:t xml:space="preserve">. </w:t>
                  </w:r>
                </w:p>
              </w:tc>
            </w:tr>
            <w:tr w:rsidR="00414929" w:rsidRPr="004B4B67" w:rsidTr="000E00A8">
              <w:trPr>
                <w:trHeight w:val="1520"/>
              </w:trPr>
              <w:tc>
                <w:tcPr>
                  <w:tcW w:w="12251" w:type="dxa"/>
                  <w:shd w:val="clear" w:color="000000" w:fill="FFFFFF"/>
                  <w:vAlign w:val="center"/>
                  <w:hideMark/>
                </w:tcPr>
                <w:p w:rsidR="000E00A8" w:rsidRDefault="00414929" w:rsidP="00DC09DE">
                  <w:pPr>
                    <w:pStyle w:val="ListParagraph"/>
                    <w:numPr>
                      <w:ilvl w:val="0"/>
                      <w:numId w:val="5"/>
                    </w:numPr>
                    <w:rPr>
                      <w:rFonts w:cs="Calibri"/>
                      <w:sz w:val="21"/>
                      <w:szCs w:val="21"/>
                    </w:rPr>
                  </w:pPr>
                  <w:r w:rsidRPr="00DC09DE">
                    <w:rPr>
                      <w:rFonts w:cs="Calibri"/>
                      <w:sz w:val="21"/>
                      <w:szCs w:val="21"/>
                    </w:rPr>
                    <w:lastRenderedPageBreak/>
                    <w:t xml:space="preserve">No commission shall be provided if </w:t>
                  </w:r>
                  <w:r w:rsidR="000E00A8">
                    <w:rPr>
                      <w:rFonts w:cs="Calibri"/>
                      <w:sz w:val="21"/>
                      <w:szCs w:val="21"/>
                    </w:rPr>
                    <w:t>–</w:t>
                  </w:r>
                  <w:r w:rsidRPr="00DC09DE">
                    <w:rPr>
                      <w:rFonts w:cs="Calibri"/>
                      <w:sz w:val="21"/>
                      <w:szCs w:val="21"/>
                    </w:rPr>
                    <w:t xml:space="preserve"> </w:t>
                  </w:r>
                </w:p>
                <w:p w:rsidR="000E00A8" w:rsidRDefault="00414929" w:rsidP="000E00A8">
                  <w:pPr>
                    <w:pStyle w:val="ListParagraph"/>
                    <w:ind w:left="405"/>
                    <w:rPr>
                      <w:rFonts w:cs="Calibri"/>
                      <w:sz w:val="21"/>
                      <w:szCs w:val="21"/>
                    </w:rPr>
                  </w:pPr>
                  <w:r w:rsidRPr="00DC09DE">
                    <w:rPr>
                      <w:rFonts w:cs="Calibri"/>
                      <w:sz w:val="21"/>
                      <w:szCs w:val="21"/>
                    </w:rPr>
                    <w:t xml:space="preserve">1. Collection </w:t>
                  </w:r>
                  <w:r w:rsidR="00DC09DE">
                    <w:rPr>
                      <w:rFonts w:cs="Calibri"/>
                      <w:sz w:val="21"/>
                      <w:szCs w:val="21"/>
                    </w:rPr>
                    <w:t xml:space="preserve">is </w:t>
                  </w:r>
                  <w:r w:rsidR="000E00A8">
                    <w:rPr>
                      <w:rFonts w:cs="Calibri"/>
                      <w:sz w:val="21"/>
                      <w:szCs w:val="21"/>
                    </w:rPr>
                    <w:t>not made within</w:t>
                  </w:r>
                  <w:r w:rsidRPr="00DC09DE">
                    <w:rPr>
                      <w:rFonts w:cs="Calibri"/>
                      <w:sz w:val="21"/>
                      <w:szCs w:val="21"/>
                    </w:rPr>
                    <w:t xml:space="preserve"> 30 days</w:t>
                  </w:r>
                  <w:r w:rsidR="000E00A8">
                    <w:rPr>
                      <w:rFonts w:cs="Calibri"/>
                      <w:sz w:val="21"/>
                      <w:szCs w:val="21"/>
                    </w:rPr>
                    <w:t>. However, it may be</w:t>
                  </w:r>
                  <w:r w:rsidRPr="00DC09DE">
                    <w:rPr>
                      <w:rFonts w:cs="Calibri"/>
                      <w:sz w:val="21"/>
                      <w:szCs w:val="21"/>
                    </w:rPr>
                    <w:t xml:space="preserve"> extended</w:t>
                  </w:r>
                  <w:r w:rsidR="000E00A8">
                    <w:rPr>
                      <w:rFonts w:cs="Calibri"/>
                      <w:sz w:val="21"/>
                      <w:szCs w:val="21"/>
                    </w:rPr>
                    <w:t xml:space="preserve"> maximum up to </w:t>
                  </w:r>
                  <w:r w:rsidRPr="00DC09DE">
                    <w:rPr>
                      <w:rFonts w:cs="Calibri"/>
                      <w:sz w:val="21"/>
                      <w:szCs w:val="21"/>
                    </w:rPr>
                    <w:t>45 days</w:t>
                  </w:r>
                  <w:r w:rsidR="000E00A8">
                    <w:rPr>
                      <w:rFonts w:cs="Calibri"/>
                      <w:sz w:val="21"/>
                      <w:szCs w:val="21"/>
                    </w:rPr>
                    <w:t xml:space="preserve"> upon discretion of </w:t>
                  </w:r>
                  <w:proofErr w:type="spellStart"/>
                  <w:r w:rsidR="000E00A8">
                    <w:rPr>
                      <w:rFonts w:cs="Calibri"/>
                      <w:sz w:val="21"/>
                      <w:szCs w:val="21"/>
                    </w:rPr>
                    <w:t>HoD</w:t>
                  </w:r>
                  <w:proofErr w:type="spellEnd"/>
                </w:p>
                <w:p w:rsidR="000E00A8" w:rsidRDefault="000E00A8" w:rsidP="000E00A8">
                  <w:pPr>
                    <w:pStyle w:val="ListParagraph"/>
                    <w:ind w:left="405"/>
                    <w:rPr>
                      <w:rFonts w:cs="Calibri"/>
                      <w:sz w:val="21"/>
                      <w:szCs w:val="21"/>
                    </w:rPr>
                  </w:pPr>
                  <w:r>
                    <w:rPr>
                      <w:rFonts w:cs="Calibri"/>
                      <w:sz w:val="21"/>
                      <w:szCs w:val="21"/>
                    </w:rPr>
                    <w:t>2. P</w:t>
                  </w:r>
                  <w:r w:rsidR="00414929" w:rsidRPr="00DC09DE">
                    <w:rPr>
                      <w:rFonts w:cs="Calibri"/>
                      <w:sz w:val="21"/>
                      <w:szCs w:val="21"/>
                    </w:rPr>
                    <w:t>ayment received</w:t>
                  </w:r>
                  <w:r>
                    <w:rPr>
                      <w:rFonts w:cs="Calibri"/>
                      <w:sz w:val="21"/>
                      <w:szCs w:val="21"/>
                    </w:rPr>
                    <w:t xml:space="preserve"> partially</w:t>
                  </w:r>
                </w:p>
                <w:p w:rsidR="000E00A8" w:rsidRDefault="00414929" w:rsidP="000E00A8">
                  <w:pPr>
                    <w:pStyle w:val="ListParagraph"/>
                    <w:ind w:left="405"/>
                    <w:rPr>
                      <w:rFonts w:cs="Calibri"/>
                      <w:sz w:val="21"/>
                      <w:szCs w:val="21"/>
                    </w:rPr>
                  </w:pPr>
                  <w:r w:rsidRPr="00DC09DE">
                    <w:rPr>
                      <w:rFonts w:cs="Calibri"/>
                      <w:sz w:val="21"/>
                      <w:szCs w:val="21"/>
                    </w:rPr>
                    <w:t>3. Pr</w:t>
                  </w:r>
                  <w:r w:rsidR="000E00A8">
                    <w:rPr>
                      <w:rFonts w:cs="Calibri"/>
                      <w:sz w:val="21"/>
                      <w:szCs w:val="21"/>
                    </w:rPr>
                    <w:t xml:space="preserve">ofit &lt; </w:t>
                  </w:r>
                  <w:proofErr w:type="spellStart"/>
                  <w:r w:rsidR="000E00A8">
                    <w:rPr>
                      <w:rFonts w:cs="Calibri"/>
                      <w:sz w:val="21"/>
                      <w:szCs w:val="21"/>
                    </w:rPr>
                    <w:t>SnS</w:t>
                  </w:r>
                  <w:proofErr w:type="spellEnd"/>
                  <w:r w:rsidR="000E00A8">
                    <w:rPr>
                      <w:rFonts w:cs="Calibri"/>
                      <w:sz w:val="21"/>
                      <w:szCs w:val="21"/>
                    </w:rPr>
                    <w:t xml:space="preserve"> Product Wise Budget</w:t>
                  </w:r>
                </w:p>
                <w:p w:rsidR="00414929" w:rsidRPr="00DC09DE" w:rsidRDefault="00414929" w:rsidP="000E00A8">
                  <w:pPr>
                    <w:pStyle w:val="ListParagraph"/>
                    <w:ind w:left="405"/>
                    <w:rPr>
                      <w:rFonts w:cs="Calibri"/>
                      <w:sz w:val="21"/>
                      <w:szCs w:val="21"/>
                    </w:rPr>
                  </w:pPr>
                  <w:r w:rsidRPr="00DC09DE">
                    <w:rPr>
                      <w:rFonts w:cs="Calibri"/>
                      <w:sz w:val="21"/>
                      <w:szCs w:val="21"/>
                    </w:rPr>
                    <w:t>4. Monthly sales/collection budget Ach</w:t>
                  </w:r>
                  <w:r w:rsidR="000E00A8">
                    <w:rPr>
                      <w:rFonts w:cs="Calibri"/>
                      <w:sz w:val="21"/>
                      <w:szCs w:val="21"/>
                    </w:rPr>
                    <w:t>ievement &lt; 50%</w:t>
                  </w:r>
                </w:p>
              </w:tc>
            </w:tr>
          </w:tbl>
          <w:p w:rsidR="00414929" w:rsidRPr="00B22360" w:rsidRDefault="00414929" w:rsidP="00414929">
            <w:pPr>
              <w:pStyle w:val="NoSpacing"/>
              <w:spacing w:line="276" w:lineRule="auto"/>
              <w:ind w:left="1080"/>
              <w:jc w:val="both"/>
              <w:rPr>
                <w:b/>
              </w:rPr>
            </w:pPr>
          </w:p>
          <w:p w:rsidR="00414929" w:rsidRPr="004B4B67" w:rsidRDefault="00414929" w:rsidP="006916DE">
            <w:pPr>
              <w:pStyle w:val="NoSpacing"/>
              <w:numPr>
                <w:ilvl w:val="0"/>
                <w:numId w:val="3"/>
              </w:numPr>
              <w:spacing w:line="276" w:lineRule="auto"/>
              <w:ind w:left="196" w:hanging="270"/>
              <w:rPr>
                <w:b/>
              </w:rPr>
            </w:pPr>
            <w:r>
              <w:rPr>
                <w:rFonts w:ascii="Calibri" w:eastAsia="Times New Roman" w:hAnsi="Calibri" w:cs="Calibri"/>
                <w:b/>
                <w:bCs/>
                <w:sz w:val="21"/>
                <w:szCs w:val="21"/>
              </w:rPr>
              <w:t xml:space="preserve">Commission Based on </w:t>
            </w:r>
            <w:r w:rsidRPr="004B4B67">
              <w:rPr>
                <w:rFonts w:ascii="Calibri" w:eastAsia="Times New Roman" w:hAnsi="Calibri" w:cs="Calibri"/>
                <w:b/>
                <w:bCs/>
                <w:sz w:val="21"/>
                <w:szCs w:val="21"/>
              </w:rPr>
              <w:t>Service Payment Collection &amp;</w:t>
            </w:r>
            <w:r>
              <w:rPr>
                <w:rFonts w:ascii="Calibri" w:eastAsia="Times New Roman" w:hAnsi="Calibri" w:cs="Calibri"/>
                <w:b/>
                <w:bCs/>
                <w:sz w:val="21"/>
                <w:szCs w:val="21"/>
              </w:rPr>
              <w:t xml:space="preserve"> any kind of TDS/VDS Collection</w:t>
            </w:r>
          </w:p>
          <w:tbl>
            <w:tblPr>
              <w:tblW w:w="12152"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2"/>
            </w:tblGrid>
            <w:tr w:rsidR="00414929" w:rsidRPr="004B4B67" w:rsidTr="006916DE">
              <w:trPr>
                <w:trHeight w:val="268"/>
              </w:trPr>
              <w:tc>
                <w:tcPr>
                  <w:tcW w:w="12152" w:type="dxa"/>
                  <w:shd w:val="clear" w:color="000000" w:fill="FFFFFF"/>
                  <w:noWrap/>
                  <w:vAlign w:val="center"/>
                  <w:hideMark/>
                </w:tcPr>
                <w:p w:rsidR="00414929" w:rsidRDefault="001D351B" w:rsidP="00414929">
                  <w:pPr>
                    <w:rPr>
                      <w:rFonts w:ascii="Calibri" w:eastAsia="Times New Roman" w:hAnsi="Calibri" w:cs="Calibri"/>
                      <w:sz w:val="20"/>
                      <w:szCs w:val="20"/>
                    </w:rPr>
                  </w:pPr>
                  <w:r>
                    <w:rPr>
                      <w:rFonts w:ascii="Calibri" w:eastAsia="Times New Roman" w:hAnsi="Calibri" w:cs="Calibri"/>
                      <w:sz w:val="20"/>
                      <w:szCs w:val="20"/>
                    </w:rPr>
                    <w:t xml:space="preserve">a) </w:t>
                  </w:r>
                  <w:r w:rsidRPr="001D351B">
                    <w:rPr>
                      <w:rFonts w:ascii="Calibri" w:eastAsia="Times New Roman" w:hAnsi="Calibri" w:cs="Calibri"/>
                      <w:sz w:val="20"/>
                      <w:szCs w:val="20"/>
                      <w:shd w:val="clear" w:color="auto" w:fill="9CC2E5" w:themeFill="accent1" w:themeFillTint="99"/>
                    </w:rPr>
                    <w:t>@TK 15</w:t>
                  </w:r>
                  <w:r w:rsidR="00414929" w:rsidRPr="001D351B">
                    <w:rPr>
                      <w:rFonts w:ascii="Calibri" w:eastAsia="Times New Roman" w:hAnsi="Calibri" w:cs="Calibri"/>
                      <w:sz w:val="20"/>
                      <w:szCs w:val="20"/>
                      <w:shd w:val="clear" w:color="auto" w:fill="9CC2E5" w:themeFill="accent1" w:themeFillTint="99"/>
                    </w:rPr>
                    <w:t>0/-</w:t>
                  </w:r>
                  <w:r w:rsidR="00414929" w:rsidRPr="006916DE">
                    <w:rPr>
                      <w:rFonts w:ascii="Calibri" w:eastAsia="Times New Roman" w:hAnsi="Calibri" w:cs="Calibri"/>
                      <w:sz w:val="20"/>
                      <w:szCs w:val="20"/>
                    </w:rPr>
                    <w:t xml:space="preserve"> for each service sales payment collection &amp; Cumulative TDS/VDS collection (any of Spares &amp; Service) of  &gt; </w:t>
                  </w:r>
                  <w:proofErr w:type="spellStart"/>
                  <w:r w:rsidR="00414929" w:rsidRPr="006916DE">
                    <w:rPr>
                      <w:rFonts w:ascii="Calibri" w:eastAsia="Times New Roman" w:hAnsi="Calibri" w:cs="Calibri"/>
                      <w:sz w:val="20"/>
                      <w:szCs w:val="20"/>
                    </w:rPr>
                    <w:t>Tk</w:t>
                  </w:r>
                  <w:proofErr w:type="spellEnd"/>
                  <w:r w:rsidR="00414929" w:rsidRPr="006916DE">
                    <w:rPr>
                      <w:rFonts w:ascii="Calibri" w:eastAsia="Times New Roman" w:hAnsi="Calibri" w:cs="Calibri"/>
                      <w:sz w:val="20"/>
                      <w:szCs w:val="20"/>
                    </w:rPr>
                    <w:t xml:space="preserve"> 1,000/- and ≤ </w:t>
                  </w:r>
                  <w:proofErr w:type="spellStart"/>
                  <w:r w:rsidR="00414929" w:rsidRPr="006916DE">
                    <w:rPr>
                      <w:rFonts w:ascii="Calibri" w:eastAsia="Times New Roman" w:hAnsi="Calibri" w:cs="Calibri"/>
                      <w:sz w:val="20"/>
                      <w:szCs w:val="20"/>
                    </w:rPr>
                    <w:t>Tk</w:t>
                  </w:r>
                  <w:proofErr w:type="spellEnd"/>
                  <w:r w:rsidR="00414929" w:rsidRPr="006916DE">
                    <w:rPr>
                      <w:rFonts w:ascii="Calibri" w:eastAsia="Times New Roman" w:hAnsi="Calibri" w:cs="Calibri"/>
                      <w:sz w:val="20"/>
                      <w:szCs w:val="20"/>
                    </w:rPr>
                    <w:t xml:space="preserve"> 3,000/-</w:t>
                  </w:r>
                </w:p>
                <w:p w:rsidR="006916DE" w:rsidRPr="006916DE" w:rsidRDefault="006916DE" w:rsidP="00643027">
                  <w:pPr>
                    <w:rPr>
                      <w:rFonts w:ascii="Calibri" w:eastAsia="Times New Roman" w:hAnsi="Calibri" w:cs="Calibri"/>
                      <w:sz w:val="20"/>
                      <w:szCs w:val="20"/>
                    </w:rPr>
                  </w:pPr>
                  <w:r w:rsidRPr="006916DE">
                    <w:rPr>
                      <w:rFonts w:ascii="Calibri" w:eastAsia="Times New Roman" w:hAnsi="Calibri" w:cs="Calibri"/>
                      <w:sz w:val="20"/>
                      <w:szCs w:val="20"/>
                      <w:highlight w:val="yellow"/>
                    </w:rPr>
                    <w:t xml:space="preserve">IA: We need </w:t>
                  </w:r>
                  <w:r w:rsidR="00C77CD0">
                    <w:rPr>
                      <w:rFonts w:ascii="Calibri" w:eastAsia="Times New Roman" w:hAnsi="Calibri" w:cs="Calibri"/>
                      <w:sz w:val="20"/>
                      <w:szCs w:val="20"/>
                      <w:highlight w:val="yellow"/>
                    </w:rPr>
                    <w:t xml:space="preserve">your remarks on this as </w:t>
                  </w:r>
                  <w:r w:rsidRPr="006916DE">
                    <w:rPr>
                      <w:rFonts w:ascii="Calibri" w:eastAsia="Times New Roman" w:hAnsi="Calibri" w:cs="Calibri"/>
                      <w:sz w:val="20"/>
                      <w:szCs w:val="20"/>
                      <w:highlight w:val="yellow"/>
                    </w:rPr>
                    <w:t>the commission amounting almost 20% appears to be very high</w:t>
                  </w:r>
                  <w:r>
                    <w:rPr>
                      <w:rFonts w:ascii="Calibri" w:eastAsia="Times New Roman" w:hAnsi="Calibri" w:cs="Calibri"/>
                      <w:sz w:val="20"/>
                      <w:szCs w:val="20"/>
                    </w:rPr>
                    <w:t>.</w:t>
                  </w:r>
                  <w:r w:rsidR="008504D0">
                    <w:rPr>
                      <w:rFonts w:ascii="Calibri" w:eastAsia="Times New Roman" w:hAnsi="Calibri" w:cs="Calibri"/>
                      <w:sz w:val="20"/>
                      <w:szCs w:val="20"/>
                    </w:rPr>
                    <w:t xml:space="preserve"> </w:t>
                  </w:r>
                  <w:r w:rsidR="008504D0" w:rsidRPr="008504D0">
                    <w:rPr>
                      <w:rFonts w:ascii="Calibri" w:eastAsia="Times New Roman" w:hAnsi="Calibri" w:cs="Calibri"/>
                      <w:sz w:val="20"/>
                      <w:szCs w:val="20"/>
                      <w:highlight w:val="green"/>
                    </w:rPr>
                    <w:t xml:space="preserve">Yes, we want to have this commission for collecting such small amount of payment/ TDS/VDS. This is one area where we have seen the ASE’s </w:t>
                  </w:r>
                  <w:r w:rsidR="00643027">
                    <w:rPr>
                      <w:rFonts w:ascii="Calibri" w:eastAsia="Times New Roman" w:hAnsi="Calibri" w:cs="Calibri"/>
                      <w:sz w:val="20"/>
                      <w:szCs w:val="20"/>
                      <w:highlight w:val="green"/>
                    </w:rPr>
                    <w:t>are</w:t>
                  </w:r>
                  <w:r w:rsidR="008504D0" w:rsidRPr="008504D0">
                    <w:rPr>
                      <w:rFonts w:ascii="Calibri" w:eastAsia="Times New Roman" w:hAnsi="Calibri" w:cs="Calibri"/>
                      <w:sz w:val="20"/>
                      <w:szCs w:val="20"/>
                      <w:highlight w:val="green"/>
                    </w:rPr>
                    <w:t xml:space="preserve"> reluctant as their commission amount is less than their cost of follow up/collection. So let’s keep it</w:t>
                  </w:r>
                  <w:r w:rsidR="00B417AE">
                    <w:rPr>
                      <w:rFonts w:ascii="Calibri" w:eastAsia="Times New Roman" w:hAnsi="Calibri" w:cs="Calibri"/>
                      <w:sz w:val="20"/>
                      <w:szCs w:val="20"/>
                      <w:highlight w:val="green"/>
                    </w:rPr>
                    <w:t xml:space="preserve"> to motivate them about small amount </w:t>
                  </w:r>
                  <w:r w:rsidR="00643027">
                    <w:rPr>
                      <w:rFonts w:ascii="Calibri" w:eastAsia="Times New Roman" w:hAnsi="Calibri" w:cs="Calibri"/>
                      <w:sz w:val="20"/>
                      <w:szCs w:val="20"/>
                      <w:highlight w:val="green"/>
                    </w:rPr>
                    <w:t xml:space="preserve">of </w:t>
                  </w:r>
                  <w:r w:rsidR="00B417AE">
                    <w:rPr>
                      <w:rFonts w:ascii="Calibri" w:eastAsia="Times New Roman" w:hAnsi="Calibri" w:cs="Calibri"/>
                      <w:sz w:val="20"/>
                      <w:szCs w:val="20"/>
                      <w:highlight w:val="green"/>
                    </w:rPr>
                    <w:t>collection</w:t>
                  </w:r>
                  <w:r w:rsidR="008504D0" w:rsidRPr="008504D0">
                    <w:rPr>
                      <w:rFonts w:ascii="Calibri" w:eastAsia="Times New Roman" w:hAnsi="Calibri" w:cs="Calibri"/>
                      <w:sz w:val="20"/>
                      <w:szCs w:val="20"/>
                      <w:highlight w:val="green"/>
                    </w:rPr>
                    <w:t>.</w:t>
                  </w:r>
                  <w:r w:rsidR="00643027">
                    <w:rPr>
                      <w:rFonts w:ascii="Calibri" w:eastAsia="Times New Roman" w:hAnsi="Calibri" w:cs="Calibri"/>
                      <w:sz w:val="20"/>
                      <w:szCs w:val="20"/>
                    </w:rPr>
                    <w:t xml:space="preserve"> </w:t>
                  </w:r>
                  <w:r w:rsidR="00643027" w:rsidRPr="00643027">
                    <w:rPr>
                      <w:rFonts w:ascii="Calibri" w:eastAsia="Times New Roman" w:hAnsi="Calibri" w:cs="Calibri"/>
                      <w:sz w:val="20"/>
                      <w:szCs w:val="20"/>
                      <w:highlight w:val="green"/>
                    </w:rPr>
                    <w:t>We can review it to Tk. 150.00.</w:t>
                  </w:r>
                </w:p>
              </w:tc>
            </w:tr>
            <w:tr w:rsidR="00414929" w:rsidRPr="004B4B67" w:rsidTr="006916DE">
              <w:trPr>
                <w:trHeight w:val="268"/>
              </w:trPr>
              <w:tc>
                <w:tcPr>
                  <w:tcW w:w="12152" w:type="dxa"/>
                  <w:shd w:val="clear" w:color="000000" w:fill="FFFFFF"/>
                  <w:noWrap/>
                  <w:vAlign w:val="center"/>
                  <w:hideMark/>
                </w:tcPr>
                <w:p w:rsidR="00414929" w:rsidRPr="006916DE" w:rsidRDefault="00414929" w:rsidP="00414929">
                  <w:pPr>
                    <w:rPr>
                      <w:rFonts w:ascii="Calibri" w:eastAsia="Times New Roman" w:hAnsi="Calibri" w:cs="Calibri"/>
                      <w:sz w:val="20"/>
                      <w:szCs w:val="20"/>
                    </w:rPr>
                  </w:pPr>
                  <w:r w:rsidRPr="006916DE">
                    <w:rPr>
                      <w:rFonts w:ascii="Calibri" w:eastAsia="Times New Roman" w:hAnsi="Calibri" w:cs="Calibri"/>
                      <w:sz w:val="20"/>
                      <w:szCs w:val="20"/>
                    </w:rPr>
                    <w:t>b)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300/- for each service sales payment collection &amp; Cumulative TDS/VDS collection (any of Spares &amp; Service) of &gt;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3,000/- and ≤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6,000/- </w:t>
                  </w:r>
                </w:p>
              </w:tc>
            </w:tr>
            <w:tr w:rsidR="00414929" w:rsidRPr="004B4B67" w:rsidTr="006916DE">
              <w:trPr>
                <w:trHeight w:val="315"/>
              </w:trPr>
              <w:tc>
                <w:tcPr>
                  <w:tcW w:w="12152" w:type="dxa"/>
                  <w:shd w:val="clear" w:color="000000" w:fill="FFFFFF"/>
                  <w:noWrap/>
                  <w:vAlign w:val="center"/>
                  <w:hideMark/>
                </w:tcPr>
                <w:p w:rsidR="00414929" w:rsidRPr="006916DE" w:rsidRDefault="00414929" w:rsidP="00414929">
                  <w:pPr>
                    <w:rPr>
                      <w:rFonts w:ascii="Calibri" w:eastAsia="Times New Roman" w:hAnsi="Calibri" w:cs="Calibri"/>
                      <w:sz w:val="20"/>
                      <w:szCs w:val="20"/>
                    </w:rPr>
                  </w:pPr>
                  <w:r w:rsidRPr="006916DE">
                    <w:rPr>
                      <w:rFonts w:ascii="Calibri" w:eastAsia="Times New Roman" w:hAnsi="Calibri" w:cs="Calibri"/>
                      <w:sz w:val="20"/>
                      <w:szCs w:val="20"/>
                    </w:rPr>
                    <w:t>c)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400/- for each service sales payment collection &amp; Cumulative TDS/VDS collection (any of Spares &amp; Service) of &gt;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6,000/- and ≤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15,000/-</w:t>
                  </w:r>
                </w:p>
              </w:tc>
            </w:tr>
            <w:tr w:rsidR="00414929" w:rsidRPr="004B4B67" w:rsidTr="006916DE">
              <w:trPr>
                <w:trHeight w:val="299"/>
              </w:trPr>
              <w:tc>
                <w:tcPr>
                  <w:tcW w:w="12152" w:type="dxa"/>
                  <w:shd w:val="clear" w:color="000000" w:fill="FFFFFF"/>
                  <w:noWrap/>
                  <w:vAlign w:val="center"/>
                  <w:hideMark/>
                </w:tcPr>
                <w:p w:rsidR="00414929" w:rsidRPr="006916DE" w:rsidRDefault="00414929" w:rsidP="00414929">
                  <w:pPr>
                    <w:rPr>
                      <w:rFonts w:ascii="Calibri" w:eastAsia="Times New Roman" w:hAnsi="Calibri" w:cs="Calibri"/>
                      <w:sz w:val="20"/>
                      <w:szCs w:val="20"/>
                    </w:rPr>
                  </w:pPr>
                  <w:r w:rsidRPr="006916DE">
                    <w:rPr>
                      <w:rFonts w:ascii="Calibri" w:eastAsia="Times New Roman" w:hAnsi="Calibri" w:cs="Calibri"/>
                      <w:sz w:val="20"/>
                      <w:szCs w:val="20"/>
                    </w:rPr>
                    <w:t>d)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500/- for each service sales payment collection &amp; Cumulative TDS/VDS collection (any of Spares &amp; Service) of &gt; </w:t>
                  </w:r>
                  <w:proofErr w:type="spellStart"/>
                  <w:r w:rsidRPr="006916DE">
                    <w:rPr>
                      <w:rFonts w:ascii="Calibri" w:eastAsia="Times New Roman" w:hAnsi="Calibri" w:cs="Calibri"/>
                      <w:sz w:val="20"/>
                      <w:szCs w:val="20"/>
                    </w:rPr>
                    <w:t>Tk</w:t>
                  </w:r>
                  <w:proofErr w:type="spellEnd"/>
                  <w:r w:rsidRPr="006916DE">
                    <w:rPr>
                      <w:rFonts w:ascii="Calibri" w:eastAsia="Times New Roman" w:hAnsi="Calibri" w:cs="Calibri"/>
                      <w:sz w:val="20"/>
                      <w:szCs w:val="20"/>
                    </w:rPr>
                    <w:t xml:space="preserve"> 15,000/-</w:t>
                  </w:r>
                </w:p>
              </w:tc>
            </w:tr>
          </w:tbl>
          <w:p w:rsidR="00414929" w:rsidRDefault="00414929" w:rsidP="00414929">
            <w:pPr>
              <w:pStyle w:val="NoSpacing"/>
              <w:spacing w:line="276" w:lineRule="auto"/>
              <w:rPr>
                <w:b/>
              </w:rPr>
            </w:pPr>
          </w:p>
          <w:p w:rsidR="00414929" w:rsidRDefault="00414929" w:rsidP="006916DE">
            <w:pPr>
              <w:pStyle w:val="NoSpacing"/>
              <w:numPr>
                <w:ilvl w:val="0"/>
                <w:numId w:val="3"/>
              </w:numPr>
              <w:spacing w:line="276" w:lineRule="auto"/>
              <w:ind w:left="196" w:hanging="270"/>
              <w:rPr>
                <w:b/>
              </w:rPr>
            </w:pPr>
            <w:r>
              <w:rPr>
                <w:b/>
              </w:rPr>
              <w:t xml:space="preserve">Commission based on </w:t>
            </w:r>
            <w:r w:rsidRPr="001646CB">
              <w:rPr>
                <w:b/>
              </w:rPr>
              <w:t xml:space="preserve">Service and Maintenance Contract </w:t>
            </w:r>
            <w:r>
              <w:rPr>
                <w:b/>
              </w:rPr>
              <w:t>(CSA/</w:t>
            </w:r>
            <w:proofErr w:type="spellStart"/>
            <w:r>
              <w:rPr>
                <w:b/>
              </w:rPr>
              <w:t>SnM</w:t>
            </w:r>
            <w:proofErr w:type="spellEnd"/>
            <w:r>
              <w:rPr>
                <w:b/>
              </w:rPr>
              <w:t>/</w:t>
            </w:r>
            <w:proofErr w:type="spellStart"/>
            <w:r>
              <w:rPr>
                <w:b/>
              </w:rPr>
              <w:t>OnM</w:t>
            </w:r>
            <w:proofErr w:type="spellEnd"/>
            <w:r>
              <w:rPr>
                <w:b/>
              </w:rPr>
              <w:t xml:space="preserve">) </w:t>
            </w:r>
            <w:r w:rsidRPr="001646CB">
              <w:rPr>
                <w:b/>
              </w:rPr>
              <w:t>/ Renewal:</w:t>
            </w:r>
          </w:p>
          <w:tbl>
            <w:tblPr>
              <w:tblW w:w="3510"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tblGrid>
            <w:tr w:rsidR="00414929" w:rsidRPr="001646CB" w:rsidTr="006916DE">
              <w:trPr>
                <w:trHeight w:val="360"/>
              </w:trPr>
              <w:tc>
                <w:tcPr>
                  <w:tcW w:w="3510" w:type="dxa"/>
                  <w:shd w:val="clear" w:color="000000" w:fill="FFFFFF"/>
                  <w:vAlign w:val="center"/>
                  <w:hideMark/>
                </w:tcPr>
                <w:p w:rsidR="00414929" w:rsidRPr="001646CB" w:rsidRDefault="00414929" w:rsidP="00414929">
                  <w:pPr>
                    <w:rPr>
                      <w:rFonts w:ascii="Calibri" w:eastAsia="Times New Roman" w:hAnsi="Calibri" w:cs="Calibri"/>
                      <w:sz w:val="21"/>
                      <w:szCs w:val="21"/>
                    </w:rPr>
                  </w:pPr>
                  <w:r w:rsidRPr="001646CB">
                    <w:rPr>
                      <w:rFonts w:ascii="Calibri" w:eastAsia="Times New Roman" w:hAnsi="Calibri" w:cs="Calibri"/>
                      <w:sz w:val="21"/>
                      <w:szCs w:val="21"/>
                    </w:rPr>
                    <w:t>a. BDT 500 / Per Contract Renewal</w:t>
                  </w:r>
                </w:p>
              </w:tc>
            </w:tr>
            <w:tr w:rsidR="00414929" w:rsidRPr="001646CB" w:rsidTr="006916DE">
              <w:trPr>
                <w:trHeight w:val="360"/>
              </w:trPr>
              <w:tc>
                <w:tcPr>
                  <w:tcW w:w="3510" w:type="dxa"/>
                  <w:shd w:val="clear" w:color="000000" w:fill="FFFFFF"/>
                  <w:vAlign w:val="center"/>
                  <w:hideMark/>
                </w:tcPr>
                <w:p w:rsidR="00414929" w:rsidRPr="001646CB" w:rsidRDefault="006916DE" w:rsidP="006916DE">
                  <w:pPr>
                    <w:rPr>
                      <w:rFonts w:ascii="Calibri" w:eastAsia="Times New Roman" w:hAnsi="Calibri" w:cs="Calibri"/>
                      <w:sz w:val="21"/>
                      <w:szCs w:val="21"/>
                    </w:rPr>
                  </w:pPr>
                  <w:r>
                    <w:rPr>
                      <w:rFonts w:ascii="Calibri" w:eastAsia="Times New Roman" w:hAnsi="Calibri" w:cs="Calibri"/>
                      <w:sz w:val="21"/>
                      <w:szCs w:val="21"/>
                    </w:rPr>
                    <w:t>b. BDT 1,000 / Per N</w:t>
                  </w:r>
                  <w:r w:rsidR="00414929" w:rsidRPr="001646CB">
                    <w:rPr>
                      <w:rFonts w:ascii="Calibri" w:eastAsia="Times New Roman" w:hAnsi="Calibri" w:cs="Calibri"/>
                      <w:sz w:val="21"/>
                      <w:szCs w:val="21"/>
                    </w:rPr>
                    <w:t xml:space="preserve">ew </w:t>
                  </w:r>
                  <w:r>
                    <w:rPr>
                      <w:rFonts w:ascii="Calibri" w:eastAsia="Times New Roman" w:hAnsi="Calibri" w:cs="Calibri"/>
                      <w:sz w:val="21"/>
                      <w:szCs w:val="21"/>
                    </w:rPr>
                    <w:t>F</w:t>
                  </w:r>
                  <w:r w:rsidR="00414929" w:rsidRPr="001646CB">
                    <w:rPr>
                      <w:rFonts w:ascii="Calibri" w:eastAsia="Times New Roman" w:hAnsi="Calibri" w:cs="Calibri"/>
                      <w:sz w:val="21"/>
                      <w:szCs w:val="21"/>
                    </w:rPr>
                    <w:t>resh Contract</w:t>
                  </w:r>
                </w:p>
              </w:tc>
            </w:tr>
          </w:tbl>
          <w:p w:rsidR="00864D55" w:rsidRPr="00F61BB0" w:rsidRDefault="00864D55" w:rsidP="00864D55">
            <w:pPr>
              <w:spacing w:line="259" w:lineRule="auto"/>
              <w:rPr>
                <w:i/>
                <w:iCs/>
              </w:rPr>
            </w:pPr>
          </w:p>
        </w:tc>
      </w:tr>
      <w:tr w:rsidR="00D669DD" w:rsidTr="00414929">
        <w:tc>
          <w:tcPr>
            <w:tcW w:w="1306" w:type="dxa"/>
            <w:tcBorders>
              <w:right w:val="nil"/>
            </w:tcBorders>
          </w:tcPr>
          <w:p w:rsidR="00D669DD" w:rsidRPr="00D669DD" w:rsidRDefault="00D669DD" w:rsidP="00864D55">
            <w:pPr>
              <w:rPr>
                <w:rFonts w:cstheme="minorHAnsi"/>
                <w:sz w:val="21"/>
                <w:szCs w:val="21"/>
              </w:rPr>
            </w:pPr>
            <w:r w:rsidRPr="00D669DD">
              <w:rPr>
                <w:rFonts w:cstheme="minorHAnsi"/>
                <w:sz w:val="21"/>
                <w:szCs w:val="21"/>
              </w:rPr>
              <w:lastRenderedPageBreak/>
              <w:t>Basic Principles:</w:t>
            </w:r>
          </w:p>
        </w:tc>
        <w:tc>
          <w:tcPr>
            <w:tcW w:w="275" w:type="dxa"/>
            <w:tcBorders>
              <w:left w:val="nil"/>
            </w:tcBorders>
          </w:tcPr>
          <w:p w:rsidR="00D669DD" w:rsidRPr="00D669DD" w:rsidRDefault="00D669DD" w:rsidP="00864D55">
            <w:pPr>
              <w:rPr>
                <w:rFonts w:cstheme="minorHAnsi"/>
                <w:sz w:val="21"/>
                <w:szCs w:val="21"/>
              </w:rPr>
            </w:pPr>
          </w:p>
        </w:tc>
        <w:tc>
          <w:tcPr>
            <w:tcW w:w="12634" w:type="dxa"/>
          </w:tcPr>
          <w:p w:rsidR="00D669DD" w:rsidRDefault="00335ECC" w:rsidP="00D669DD">
            <w:pPr>
              <w:pStyle w:val="ListParagraph"/>
              <w:numPr>
                <w:ilvl w:val="0"/>
                <w:numId w:val="6"/>
              </w:numPr>
              <w:spacing w:after="0" w:line="240" w:lineRule="auto"/>
              <w:ind w:left="196" w:hanging="196"/>
              <w:jc w:val="both"/>
              <w:rPr>
                <w:rFonts w:cstheme="minorHAnsi"/>
                <w:iCs/>
                <w:sz w:val="21"/>
                <w:szCs w:val="21"/>
              </w:rPr>
            </w:pPr>
            <w:r>
              <w:rPr>
                <w:rFonts w:cstheme="minorHAnsi"/>
                <w:iCs/>
                <w:sz w:val="21"/>
                <w:szCs w:val="21"/>
              </w:rPr>
              <w:t xml:space="preserve">Income Tax </w:t>
            </w:r>
            <w:r w:rsidR="002C7394">
              <w:rPr>
                <w:rFonts w:cstheme="minorHAnsi"/>
                <w:iCs/>
                <w:sz w:val="21"/>
                <w:szCs w:val="21"/>
              </w:rPr>
              <w:t xml:space="preserve">on ASE’s salary and commission </w:t>
            </w:r>
            <w:bookmarkStart w:id="0" w:name="_GoBack"/>
            <w:bookmarkEnd w:id="0"/>
            <w:r w:rsidR="00D669DD" w:rsidRPr="00D669DD">
              <w:rPr>
                <w:rFonts w:cstheme="minorHAnsi"/>
                <w:iCs/>
                <w:sz w:val="21"/>
                <w:szCs w:val="21"/>
              </w:rPr>
              <w:t>will be applicable as per law and to be borne by EPGL.</w:t>
            </w:r>
            <w:r w:rsidR="00C432C4">
              <w:rPr>
                <w:rFonts w:cstheme="minorHAnsi"/>
                <w:iCs/>
                <w:sz w:val="21"/>
                <w:szCs w:val="21"/>
              </w:rPr>
              <w:t xml:space="preserve"> </w:t>
            </w:r>
          </w:p>
          <w:p w:rsidR="00C432C4" w:rsidRDefault="00006E6B" w:rsidP="00C432C4">
            <w:pPr>
              <w:pStyle w:val="ListParagraph"/>
              <w:spacing w:after="0" w:line="240" w:lineRule="auto"/>
              <w:ind w:left="196"/>
              <w:jc w:val="both"/>
              <w:rPr>
                <w:rFonts w:cstheme="minorHAnsi"/>
                <w:iCs/>
                <w:sz w:val="21"/>
                <w:szCs w:val="21"/>
                <w:highlight w:val="green"/>
              </w:rPr>
            </w:pPr>
            <w:r w:rsidRPr="00790416">
              <w:rPr>
                <w:rFonts w:cstheme="minorHAnsi"/>
                <w:iCs/>
                <w:sz w:val="21"/>
                <w:szCs w:val="21"/>
                <w:highlight w:val="green"/>
              </w:rPr>
              <w:t>S&amp;S</w:t>
            </w:r>
            <w:r w:rsidR="00C432C4" w:rsidRPr="00790416">
              <w:rPr>
                <w:rFonts w:cstheme="minorHAnsi"/>
                <w:iCs/>
                <w:sz w:val="21"/>
                <w:szCs w:val="21"/>
                <w:highlight w:val="green"/>
              </w:rPr>
              <w:t xml:space="preserve">: Does that mean EPGL shall pay the 100% taxes? Or will there be any deduction from their income? Need clarification. Currently EPGL is deducting 10.5% from ASE earnings, but in return ASE’s do not get any </w:t>
            </w:r>
            <w:proofErr w:type="spellStart"/>
            <w:r w:rsidR="00C432C4" w:rsidRPr="00790416">
              <w:rPr>
                <w:rFonts w:cstheme="minorHAnsi"/>
                <w:iCs/>
                <w:sz w:val="21"/>
                <w:szCs w:val="21"/>
                <w:highlight w:val="green"/>
              </w:rPr>
              <w:t>Challan</w:t>
            </w:r>
            <w:proofErr w:type="spellEnd"/>
            <w:r w:rsidR="00C432C4" w:rsidRPr="00790416">
              <w:rPr>
                <w:rFonts w:cstheme="minorHAnsi"/>
                <w:iCs/>
                <w:sz w:val="21"/>
                <w:szCs w:val="21"/>
                <w:highlight w:val="green"/>
              </w:rPr>
              <w:t xml:space="preserve"> from Finance. This has been the case for the last many years and even with involvement of the HOD, the F&amp;A did not provide any clarification </w:t>
            </w:r>
          </w:p>
          <w:p w:rsidR="001D351B" w:rsidRPr="00790416" w:rsidRDefault="001D351B" w:rsidP="001D351B">
            <w:pPr>
              <w:pStyle w:val="ListParagraph"/>
              <w:shd w:val="clear" w:color="auto" w:fill="9CC2E5" w:themeFill="accent1" w:themeFillTint="99"/>
              <w:spacing w:after="0" w:line="240" w:lineRule="auto"/>
              <w:ind w:left="196"/>
              <w:jc w:val="both"/>
              <w:rPr>
                <w:rFonts w:cstheme="minorHAnsi"/>
                <w:iCs/>
                <w:sz w:val="21"/>
                <w:szCs w:val="21"/>
                <w:highlight w:val="green"/>
              </w:rPr>
            </w:pPr>
            <w:r>
              <w:rPr>
                <w:rFonts w:cs="Calibri"/>
                <w:sz w:val="21"/>
                <w:szCs w:val="21"/>
              </w:rPr>
              <w:t>IA (June 09, 2021):</w:t>
            </w:r>
            <w:r>
              <w:rPr>
                <w:rFonts w:cs="Calibri"/>
                <w:sz w:val="21"/>
                <w:szCs w:val="21"/>
              </w:rPr>
              <w:t xml:space="preserve"> Yes, it means income tax on ASE’s salary and commission will be borne by EPGL and there will be no deduction from their take home.</w:t>
            </w:r>
          </w:p>
          <w:p w:rsidR="00D669DD" w:rsidRPr="00D669DD" w:rsidRDefault="00D669DD" w:rsidP="00D669DD">
            <w:pPr>
              <w:pStyle w:val="ListParagraph"/>
              <w:numPr>
                <w:ilvl w:val="0"/>
                <w:numId w:val="6"/>
              </w:numPr>
              <w:autoSpaceDE w:val="0"/>
              <w:autoSpaceDN w:val="0"/>
              <w:adjustRightInd w:val="0"/>
              <w:spacing w:after="0" w:line="240" w:lineRule="auto"/>
              <w:ind w:left="196" w:hanging="196"/>
              <w:jc w:val="both"/>
              <w:rPr>
                <w:rFonts w:cstheme="minorHAnsi"/>
                <w:sz w:val="21"/>
                <w:szCs w:val="21"/>
              </w:rPr>
            </w:pPr>
            <w:r w:rsidRPr="00D669DD">
              <w:rPr>
                <w:rFonts w:cstheme="minorHAnsi"/>
                <w:sz w:val="21"/>
                <w:szCs w:val="21"/>
              </w:rPr>
              <w:t xml:space="preserve">This policy </w:t>
            </w:r>
            <w:r w:rsidR="00335ECC">
              <w:rPr>
                <w:rFonts w:cstheme="minorHAnsi"/>
                <w:sz w:val="21"/>
                <w:szCs w:val="21"/>
              </w:rPr>
              <w:t xml:space="preserve">will come into </w:t>
            </w:r>
            <w:r w:rsidRPr="00D669DD">
              <w:rPr>
                <w:rFonts w:cstheme="minorHAnsi"/>
                <w:sz w:val="21"/>
                <w:szCs w:val="21"/>
              </w:rPr>
              <w:t>effect</w:t>
            </w:r>
            <w:r w:rsidR="00335ECC">
              <w:rPr>
                <w:rFonts w:cstheme="minorHAnsi"/>
                <w:sz w:val="21"/>
                <w:szCs w:val="21"/>
              </w:rPr>
              <w:t xml:space="preserve"> from July 01, 2021</w:t>
            </w:r>
            <w:r w:rsidRPr="00D669DD">
              <w:rPr>
                <w:rFonts w:cstheme="minorHAnsi"/>
                <w:sz w:val="21"/>
                <w:szCs w:val="21"/>
              </w:rPr>
              <w:t xml:space="preserve"> and will remain valid until further notification from</w:t>
            </w:r>
            <w:r>
              <w:rPr>
                <w:rFonts w:cstheme="minorHAnsi"/>
                <w:sz w:val="21"/>
                <w:szCs w:val="21"/>
              </w:rPr>
              <w:t xml:space="preserve"> </w:t>
            </w:r>
            <w:r w:rsidRPr="00D669DD">
              <w:rPr>
                <w:rFonts w:cstheme="minorHAnsi"/>
                <w:sz w:val="21"/>
                <w:szCs w:val="21"/>
              </w:rPr>
              <w:t>Management.</w:t>
            </w:r>
          </w:p>
          <w:p w:rsidR="00D669DD" w:rsidRPr="00D669DD" w:rsidRDefault="00D669DD" w:rsidP="00D669DD">
            <w:pPr>
              <w:pStyle w:val="ListParagraph"/>
              <w:numPr>
                <w:ilvl w:val="0"/>
                <w:numId w:val="6"/>
              </w:numPr>
              <w:autoSpaceDE w:val="0"/>
              <w:autoSpaceDN w:val="0"/>
              <w:adjustRightInd w:val="0"/>
              <w:spacing w:after="0" w:line="240" w:lineRule="auto"/>
              <w:ind w:left="196" w:hanging="196"/>
              <w:jc w:val="both"/>
              <w:rPr>
                <w:rFonts w:cstheme="minorHAnsi"/>
                <w:b/>
                <w:sz w:val="21"/>
                <w:szCs w:val="21"/>
              </w:rPr>
            </w:pPr>
            <w:r w:rsidRPr="00D669DD">
              <w:rPr>
                <w:rFonts w:cstheme="minorHAnsi"/>
                <w:sz w:val="21"/>
                <w:szCs w:val="21"/>
              </w:rPr>
              <w:t>The employer reserves the right to amend, withheld or discontinue these benefits partially / fully at any time without showing any reason whatsoever.</w:t>
            </w:r>
          </w:p>
        </w:tc>
      </w:tr>
    </w:tbl>
    <w:p w:rsidR="006072C1" w:rsidRPr="00730ACD" w:rsidRDefault="006072C1">
      <w:pPr>
        <w:rPr>
          <w:sz w:val="16"/>
          <w:szCs w:val="16"/>
        </w:rPr>
      </w:pPr>
    </w:p>
    <w:tbl>
      <w:tblPr>
        <w:tblStyle w:val="TableGrid"/>
        <w:tblW w:w="14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7830"/>
        <w:gridCol w:w="2790"/>
      </w:tblGrid>
      <w:tr w:rsidR="00D2376B" w:rsidRPr="003275BE" w:rsidTr="00D2376B">
        <w:trPr>
          <w:trHeight w:val="166"/>
        </w:trPr>
        <w:tc>
          <w:tcPr>
            <w:tcW w:w="3600" w:type="dxa"/>
          </w:tcPr>
          <w:p w:rsidR="00335ECC" w:rsidRDefault="00D2376B" w:rsidP="00D2376B">
            <w:pPr>
              <w:pStyle w:val="ListParagraph"/>
              <w:tabs>
                <w:tab w:val="left" w:pos="720"/>
              </w:tabs>
              <w:ind w:left="0"/>
              <w:jc w:val="center"/>
              <w:rPr>
                <w:rFonts w:cstheme="minorHAnsi"/>
                <w:i/>
              </w:rPr>
            </w:pPr>
            <w:r w:rsidRPr="003275BE">
              <w:rPr>
                <w:rFonts w:cstheme="minorHAnsi"/>
                <w:i/>
              </w:rPr>
              <w:t>Recommended by</w:t>
            </w:r>
          </w:p>
          <w:p w:rsidR="00D2376B" w:rsidRDefault="00D2376B" w:rsidP="00335ECC">
            <w:pPr>
              <w:jc w:val="center"/>
            </w:pPr>
          </w:p>
          <w:p w:rsidR="00335ECC" w:rsidRPr="00335ECC" w:rsidRDefault="00335ECC" w:rsidP="00335ECC">
            <w:pPr>
              <w:jc w:val="center"/>
            </w:pPr>
          </w:p>
        </w:tc>
        <w:tc>
          <w:tcPr>
            <w:tcW w:w="7830" w:type="dxa"/>
          </w:tcPr>
          <w:p w:rsidR="00D2376B" w:rsidRDefault="00906EB5" w:rsidP="00906EB5">
            <w:pPr>
              <w:pStyle w:val="ListParagraph"/>
              <w:tabs>
                <w:tab w:val="left" w:pos="4395"/>
              </w:tabs>
              <w:ind w:left="0"/>
              <w:rPr>
                <w:rFonts w:cstheme="minorHAnsi"/>
                <w:i/>
              </w:rPr>
            </w:pPr>
            <w:r>
              <w:rPr>
                <w:rFonts w:cstheme="minorHAnsi"/>
                <w:i/>
              </w:rPr>
              <w:lastRenderedPageBreak/>
              <w:tab/>
            </w:r>
          </w:p>
          <w:p w:rsidR="00D2376B" w:rsidRPr="003275BE" w:rsidRDefault="00D2376B" w:rsidP="00730ACD">
            <w:pPr>
              <w:pStyle w:val="ListParagraph"/>
              <w:tabs>
                <w:tab w:val="left" w:pos="720"/>
              </w:tabs>
              <w:ind w:left="0"/>
              <w:rPr>
                <w:rFonts w:cstheme="minorHAnsi"/>
                <w:i/>
              </w:rPr>
            </w:pPr>
          </w:p>
        </w:tc>
        <w:tc>
          <w:tcPr>
            <w:tcW w:w="2790" w:type="dxa"/>
          </w:tcPr>
          <w:p w:rsidR="00D2376B" w:rsidRPr="003275BE" w:rsidRDefault="00D2376B" w:rsidP="0089010A">
            <w:pPr>
              <w:pStyle w:val="ListParagraph"/>
              <w:tabs>
                <w:tab w:val="left" w:pos="720"/>
              </w:tabs>
              <w:ind w:left="0"/>
              <w:jc w:val="center"/>
              <w:rPr>
                <w:rFonts w:cstheme="minorHAnsi"/>
                <w:i/>
              </w:rPr>
            </w:pPr>
            <w:r w:rsidRPr="003275BE">
              <w:rPr>
                <w:rFonts w:cstheme="minorHAnsi"/>
                <w:i/>
              </w:rPr>
              <w:t>Endorsed by</w:t>
            </w:r>
          </w:p>
        </w:tc>
      </w:tr>
      <w:tr w:rsidR="001F187D" w:rsidRPr="003275BE" w:rsidTr="00D2376B">
        <w:trPr>
          <w:trHeight w:val="894"/>
        </w:trPr>
        <w:tc>
          <w:tcPr>
            <w:tcW w:w="3600" w:type="dxa"/>
          </w:tcPr>
          <w:p w:rsidR="001F187D" w:rsidRPr="003275BE" w:rsidRDefault="001F187D" w:rsidP="0089010A">
            <w:pPr>
              <w:pStyle w:val="ListParagraph"/>
              <w:tabs>
                <w:tab w:val="left" w:pos="720"/>
              </w:tabs>
              <w:spacing w:after="0" w:line="240" w:lineRule="atLeast"/>
              <w:ind w:left="0"/>
              <w:jc w:val="center"/>
              <w:rPr>
                <w:rFonts w:cstheme="minorHAnsi"/>
                <w:b/>
              </w:rPr>
            </w:pPr>
            <w:r w:rsidRPr="003275BE">
              <w:rPr>
                <w:rFonts w:cstheme="minorHAnsi"/>
                <w:b/>
              </w:rPr>
              <w:lastRenderedPageBreak/>
              <w:t>________________</w:t>
            </w:r>
            <w:r w:rsidR="00730ACD">
              <w:rPr>
                <w:rFonts w:cstheme="minorHAnsi"/>
                <w:b/>
              </w:rPr>
              <w:t>_______</w:t>
            </w:r>
          </w:p>
          <w:p w:rsidR="00A80DB6" w:rsidRPr="00730ACD" w:rsidRDefault="00A80DB6" w:rsidP="00A80DB6">
            <w:pPr>
              <w:jc w:val="center"/>
              <w:rPr>
                <w:b/>
                <w:bCs/>
              </w:rPr>
            </w:pPr>
            <w:r w:rsidRPr="00730ACD">
              <w:rPr>
                <w:b/>
                <w:bCs/>
              </w:rPr>
              <w:t xml:space="preserve">Mohammad </w:t>
            </w:r>
            <w:proofErr w:type="spellStart"/>
            <w:r w:rsidRPr="00730ACD">
              <w:rPr>
                <w:b/>
                <w:bCs/>
              </w:rPr>
              <w:t>Masum</w:t>
            </w:r>
            <w:proofErr w:type="spellEnd"/>
            <w:r w:rsidRPr="00730ACD">
              <w:rPr>
                <w:b/>
                <w:bCs/>
              </w:rPr>
              <w:t xml:space="preserve"> </w:t>
            </w:r>
            <w:proofErr w:type="spellStart"/>
            <w:r w:rsidRPr="00730ACD">
              <w:rPr>
                <w:b/>
                <w:bCs/>
              </w:rPr>
              <w:t>Parvez</w:t>
            </w:r>
            <w:proofErr w:type="spellEnd"/>
          </w:p>
          <w:p w:rsidR="001F187D" w:rsidRPr="00730ACD" w:rsidRDefault="00730ACD" w:rsidP="00A80DB6">
            <w:pPr>
              <w:pStyle w:val="ListParagraph"/>
              <w:tabs>
                <w:tab w:val="left" w:pos="720"/>
              </w:tabs>
              <w:spacing w:after="0" w:line="240" w:lineRule="atLeast"/>
              <w:ind w:left="0"/>
              <w:jc w:val="center"/>
              <w:rPr>
                <w:rFonts w:cstheme="minorHAnsi"/>
              </w:rPr>
            </w:pPr>
            <w:r w:rsidRPr="00730ACD">
              <w:rPr>
                <w:bCs/>
              </w:rPr>
              <w:t>Head of PED</w:t>
            </w:r>
          </w:p>
        </w:tc>
        <w:tc>
          <w:tcPr>
            <w:tcW w:w="7830" w:type="dxa"/>
          </w:tcPr>
          <w:p w:rsidR="001F187D" w:rsidRPr="00E50F46" w:rsidRDefault="001F187D" w:rsidP="0089010A">
            <w:pPr>
              <w:tabs>
                <w:tab w:val="left" w:pos="1083"/>
              </w:tabs>
              <w:spacing w:line="240" w:lineRule="atLeast"/>
              <w:jc w:val="center"/>
            </w:pPr>
          </w:p>
        </w:tc>
        <w:tc>
          <w:tcPr>
            <w:tcW w:w="2790" w:type="dxa"/>
          </w:tcPr>
          <w:p w:rsidR="001F187D" w:rsidRPr="003275BE" w:rsidRDefault="00730ACD" w:rsidP="0089010A">
            <w:pPr>
              <w:pStyle w:val="ListParagraph"/>
              <w:tabs>
                <w:tab w:val="left" w:pos="720"/>
              </w:tabs>
              <w:spacing w:after="0" w:line="240" w:lineRule="atLeast"/>
              <w:ind w:left="0"/>
              <w:jc w:val="center"/>
              <w:rPr>
                <w:rFonts w:cstheme="minorHAnsi"/>
                <w:b/>
              </w:rPr>
            </w:pPr>
            <w:r>
              <w:rPr>
                <w:rFonts w:cstheme="minorHAnsi"/>
                <w:b/>
              </w:rPr>
              <w:t>_____________________</w:t>
            </w:r>
          </w:p>
          <w:p w:rsidR="001F187D" w:rsidRPr="003275BE" w:rsidRDefault="001F187D" w:rsidP="0089010A">
            <w:pPr>
              <w:pStyle w:val="ListParagraph"/>
              <w:tabs>
                <w:tab w:val="left" w:pos="720"/>
              </w:tabs>
              <w:spacing w:after="0" w:line="240" w:lineRule="atLeast"/>
              <w:ind w:left="0"/>
              <w:jc w:val="center"/>
              <w:rPr>
                <w:rFonts w:cstheme="minorHAnsi"/>
                <w:b/>
              </w:rPr>
            </w:pPr>
            <w:proofErr w:type="spellStart"/>
            <w:r w:rsidRPr="003275BE">
              <w:rPr>
                <w:rFonts w:cstheme="minorHAnsi"/>
                <w:b/>
              </w:rPr>
              <w:t>Enamul</w:t>
            </w:r>
            <w:proofErr w:type="spellEnd"/>
            <w:r w:rsidRPr="003275BE">
              <w:rPr>
                <w:rFonts w:cstheme="minorHAnsi"/>
                <w:b/>
              </w:rPr>
              <w:t xml:space="preserve"> </w:t>
            </w:r>
            <w:proofErr w:type="spellStart"/>
            <w:r w:rsidRPr="003275BE">
              <w:rPr>
                <w:rFonts w:cstheme="minorHAnsi"/>
                <w:b/>
              </w:rPr>
              <w:t>Haque</w:t>
            </w:r>
            <w:proofErr w:type="spellEnd"/>
            <w:r w:rsidRPr="003275BE">
              <w:rPr>
                <w:rFonts w:cstheme="minorHAnsi"/>
                <w:b/>
              </w:rPr>
              <w:t xml:space="preserve"> </w:t>
            </w:r>
            <w:proofErr w:type="spellStart"/>
            <w:r w:rsidRPr="003275BE">
              <w:rPr>
                <w:rFonts w:cstheme="minorHAnsi"/>
                <w:b/>
              </w:rPr>
              <w:t>Khandker</w:t>
            </w:r>
            <w:proofErr w:type="spellEnd"/>
          </w:p>
          <w:p w:rsidR="001F187D" w:rsidRPr="003275BE" w:rsidRDefault="001F187D" w:rsidP="0089010A">
            <w:pPr>
              <w:pStyle w:val="ListParagraph"/>
              <w:tabs>
                <w:tab w:val="left" w:pos="720"/>
              </w:tabs>
              <w:spacing w:after="0" w:line="240" w:lineRule="atLeast"/>
              <w:ind w:left="0"/>
              <w:jc w:val="center"/>
              <w:rPr>
                <w:rFonts w:cstheme="minorHAnsi"/>
              </w:rPr>
            </w:pPr>
            <w:r w:rsidRPr="003275BE">
              <w:rPr>
                <w:rFonts w:cstheme="minorHAnsi"/>
              </w:rPr>
              <w:t>Human Resources Advisor</w:t>
            </w:r>
          </w:p>
        </w:tc>
      </w:tr>
      <w:tr w:rsidR="001F187D" w:rsidRPr="003275BE" w:rsidTr="00D2376B">
        <w:trPr>
          <w:trHeight w:val="856"/>
        </w:trPr>
        <w:tc>
          <w:tcPr>
            <w:tcW w:w="3600" w:type="dxa"/>
          </w:tcPr>
          <w:p w:rsidR="001F187D" w:rsidRPr="003275BE" w:rsidRDefault="001F187D" w:rsidP="0089010A">
            <w:pPr>
              <w:pStyle w:val="ListParagraph"/>
              <w:tabs>
                <w:tab w:val="left" w:pos="720"/>
              </w:tabs>
              <w:ind w:left="0"/>
              <w:jc w:val="center"/>
              <w:rPr>
                <w:rFonts w:cstheme="minorHAnsi"/>
                <w:b/>
              </w:rPr>
            </w:pPr>
          </w:p>
        </w:tc>
        <w:tc>
          <w:tcPr>
            <w:tcW w:w="7830" w:type="dxa"/>
          </w:tcPr>
          <w:p w:rsidR="00730ACD" w:rsidRPr="00D2376B" w:rsidRDefault="00D2376B" w:rsidP="0089010A">
            <w:pPr>
              <w:pStyle w:val="ListParagraph"/>
              <w:tabs>
                <w:tab w:val="left" w:pos="720"/>
              </w:tabs>
              <w:spacing w:after="0" w:line="240" w:lineRule="atLeast"/>
              <w:ind w:left="0"/>
              <w:jc w:val="center"/>
              <w:rPr>
                <w:rFonts w:cstheme="minorHAnsi"/>
                <w:i/>
              </w:rPr>
            </w:pPr>
            <w:r w:rsidRPr="00D2376B">
              <w:rPr>
                <w:rFonts w:cstheme="minorHAnsi"/>
                <w:i/>
              </w:rPr>
              <w:t>Approved by</w:t>
            </w:r>
          </w:p>
          <w:p w:rsidR="00D2376B" w:rsidRDefault="00D2376B" w:rsidP="0089010A">
            <w:pPr>
              <w:pStyle w:val="ListParagraph"/>
              <w:tabs>
                <w:tab w:val="left" w:pos="720"/>
              </w:tabs>
              <w:spacing w:after="0" w:line="240" w:lineRule="atLeast"/>
              <w:ind w:left="0"/>
              <w:jc w:val="center"/>
              <w:rPr>
                <w:rFonts w:cstheme="minorHAnsi"/>
                <w:b/>
              </w:rPr>
            </w:pPr>
          </w:p>
          <w:p w:rsidR="00335ECC" w:rsidRDefault="00335ECC" w:rsidP="0089010A">
            <w:pPr>
              <w:pStyle w:val="ListParagraph"/>
              <w:tabs>
                <w:tab w:val="left" w:pos="720"/>
              </w:tabs>
              <w:spacing w:after="0" w:line="240" w:lineRule="atLeast"/>
              <w:ind w:left="0"/>
              <w:jc w:val="center"/>
              <w:rPr>
                <w:rFonts w:cstheme="minorHAnsi"/>
                <w:b/>
              </w:rPr>
            </w:pPr>
          </w:p>
          <w:p w:rsidR="00335ECC" w:rsidRDefault="00335ECC" w:rsidP="0089010A">
            <w:pPr>
              <w:pStyle w:val="ListParagraph"/>
              <w:tabs>
                <w:tab w:val="left" w:pos="720"/>
              </w:tabs>
              <w:spacing w:after="0" w:line="240" w:lineRule="atLeast"/>
              <w:ind w:left="0"/>
              <w:jc w:val="center"/>
              <w:rPr>
                <w:rFonts w:cstheme="minorHAnsi"/>
                <w:b/>
              </w:rPr>
            </w:pPr>
          </w:p>
          <w:p w:rsidR="001F187D" w:rsidRPr="003275BE" w:rsidRDefault="001F187D" w:rsidP="0089010A">
            <w:pPr>
              <w:pStyle w:val="ListParagraph"/>
              <w:tabs>
                <w:tab w:val="left" w:pos="720"/>
              </w:tabs>
              <w:spacing w:after="0" w:line="240" w:lineRule="atLeast"/>
              <w:ind w:left="0"/>
              <w:jc w:val="center"/>
              <w:rPr>
                <w:rFonts w:cstheme="minorHAnsi"/>
                <w:b/>
              </w:rPr>
            </w:pPr>
            <w:r w:rsidRPr="003275BE">
              <w:rPr>
                <w:rFonts w:cstheme="minorHAnsi"/>
                <w:b/>
              </w:rPr>
              <w:t>_____________________</w:t>
            </w:r>
          </w:p>
          <w:p w:rsidR="001F187D" w:rsidRPr="003275BE" w:rsidRDefault="001F187D" w:rsidP="0089010A">
            <w:pPr>
              <w:pStyle w:val="ListParagraph"/>
              <w:tabs>
                <w:tab w:val="left" w:pos="720"/>
              </w:tabs>
              <w:spacing w:after="0" w:line="240" w:lineRule="atLeast"/>
              <w:ind w:left="0"/>
              <w:jc w:val="center"/>
              <w:rPr>
                <w:rFonts w:cstheme="minorHAnsi"/>
                <w:b/>
              </w:rPr>
            </w:pPr>
            <w:proofErr w:type="spellStart"/>
            <w:r w:rsidRPr="003275BE">
              <w:rPr>
                <w:rFonts w:cstheme="minorHAnsi"/>
                <w:b/>
              </w:rPr>
              <w:t>Humayun</w:t>
            </w:r>
            <w:proofErr w:type="spellEnd"/>
            <w:r w:rsidRPr="003275BE">
              <w:rPr>
                <w:rFonts w:cstheme="minorHAnsi"/>
                <w:b/>
              </w:rPr>
              <w:t xml:space="preserve"> Rashid</w:t>
            </w:r>
          </w:p>
          <w:p w:rsidR="001F187D" w:rsidRPr="00E50F46" w:rsidRDefault="001F187D" w:rsidP="0089010A">
            <w:pPr>
              <w:pStyle w:val="ListParagraph"/>
              <w:tabs>
                <w:tab w:val="left" w:pos="720"/>
              </w:tabs>
              <w:spacing w:after="0" w:line="240" w:lineRule="atLeast"/>
              <w:ind w:left="0"/>
              <w:jc w:val="center"/>
              <w:rPr>
                <w:rFonts w:cstheme="minorHAnsi"/>
                <w:b/>
              </w:rPr>
            </w:pPr>
            <w:r w:rsidRPr="003275BE">
              <w:rPr>
                <w:rFonts w:cstheme="minorHAnsi"/>
              </w:rPr>
              <w:t>Managing Director &amp; CEO</w:t>
            </w:r>
          </w:p>
        </w:tc>
        <w:tc>
          <w:tcPr>
            <w:tcW w:w="2790" w:type="dxa"/>
          </w:tcPr>
          <w:p w:rsidR="001F187D" w:rsidRPr="003275BE" w:rsidRDefault="001F187D" w:rsidP="0089010A">
            <w:pPr>
              <w:pStyle w:val="ListParagraph"/>
              <w:tabs>
                <w:tab w:val="left" w:pos="720"/>
              </w:tabs>
              <w:ind w:left="0"/>
              <w:jc w:val="center"/>
              <w:rPr>
                <w:rFonts w:cstheme="minorHAnsi"/>
                <w:b/>
              </w:rPr>
            </w:pPr>
          </w:p>
        </w:tc>
      </w:tr>
    </w:tbl>
    <w:p w:rsidR="001F187D" w:rsidRDefault="001F187D" w:rsidP="00D2376B"/>
    <w:sectPr w:rsidR="001F187D" w:rsidSect="00D2376B">
      <w:headerReference w:type="even" r:id="rId7"/>
      <w:headerReference w:type="default" r:id="rId8"/>
      <w:footerReference w:type="default" r:id="rId9"/>
      <w:headerReference w:type="first" r:id="rId10"/>
      <w:pgSz w:w="15840" w:h="12240" w:orient="landscape" w:code="1"/>
      <w:pgMar w:top="1152"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34C" w:rsidRDefault="004A234C" w:rsidP="00280D45">
      <w:pPr>
        <w:spacing w:after="0" w:line="240" w:lineRule="auto"/>
      </w:pPr>
      <w:r>
        <w:separator/>
      </w:r>
    </w:p>
  </w:endnote>
  <w:endnote w:type="continuationSeparator" w:id="0">
    <w:p w:rsidR="004A234C" w:rsidRDefault="004A234C" w:rsidP="0028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716875"/>
      <w:docPartObj>
        <w:docPartGallery w:val="Page Numbers (Bottom of Page)"/>
        <w:docPartUnique/>
      </w:docPartObj>
    </w:sdtPr>
    <w:sdtEndPr/>
    <w:sdtContent>
      <w:sdt>
        <w:sdtPr>
          <w:id w:val="1728636285"/>
          <w:docPartObj>
            <w:docPartGallery w:val="Page Numbers (Top of Page)"/>
            <w:docPartUnique/>
          </w:docPartObj>
        </w:sdtPr>
        <w:sdtEndPr/>
        <w:sdtContent>
          <w:p w:rsidR="00280D45" w:rsidRDefault="00280D4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C7394">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C7394">
              <w:rPr>
                <w:b/>
                <w:bCs/>
                <w:noProof/>
              </w:rPr>
              <w:t>4</w:t>
            </w:r>
            <w:r>
              <w:rPr>
                <w:b/>
                <w:bCs/>
                <w:szCs w:val="24"/>
              </w:rPr>
              <w:fldChar w:fldCharType="end"/>
            </w:r>
          </w:p>
        </w:sdtContent>
      </w:sdt>
    </w:sdtContent>
  </w:sdt>
  <w:p w:rsidR="00280D45" w:rsidRDefault="00280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34C" w:rsidRDefault="004A234C" w:rsidP="00280D45">
      <w:pPr>
        <w:spacing w:after="0" w:line="240" w:lineRule="auto"/>
      </w:pPr>
      <w:r>
        <w:separator/>
      </w:r>
    </w:p>
  </w:footnote>
  <w:footnote w:type="continuationSeparator" w:id="0">
    <w:p w:rsidR="004A234C" w:rsidRDefault="004A234C" w:rsidP="00280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67D" w:rsidRDefault="004A23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326141" o:spid="_x0000_s2050" type="#_x0000_t136" style="position:absolute;margin-left:0;margin-top:0;width:456.8pt;height:274.0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67D" w:rsidRDefault="004A23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326142" o:spid="_x0000_s2051" type="#_x0000_t136" style="position:absolute;margin-left:0;margin-top:0;width:456.8pt;height:274.0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67D" w:rsidRDefault="004A23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326140" o:spid="_x0000_s2049" type="#_x0000_t136" style="position:absolute;margin-left:0;margin-top:0;width:456.8pt;height:274.0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04A41"/>
    <w:multiLevelType w:val="hybridMultilevel"/>
    <w:tmpl w:val="E460E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F66AE"/>
    <w:multiLevelType w:val="hybridMultilevel"/>
    <w:tmpl w:val="C392349C"/>
    <w:lvl w:ilvl="0" w:tplc="F71A514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E929DB"/>
    <w:multiLevelType w:val="hybridMultilevel"/>
    <w:tmpl w:val="283AA5D8"/>
    <w:lvl w:ilvl="0" w:tplc="A6E8A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76392"/>
    <w:multiLevelType w:val="hybridMultilevel"/>
    <w:tmpl w:val="F2FAFE66"/>
    <w:lvl w:ilvl="0" w:tplc="2D546F6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A6D9A"/>
    <w:multiLevelType w:val="hybridMultilevel"/>
    <w:tmpl w:val="07C43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D211E"/>
    <w:multiLevelType w:val="hybridMultilevel"/>
    <w:tmpl w:val="A636DA8A"/>
    <w:lvl w:ilvl="0" w:tplc="408CA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80"/>
    <w:rsid w:val="00006E6B"/>
    <w:rsid w:val="000D17D6"/>
    <w:rsid w:val="000E00A8"/>
    <w:rsid w:val="000E4680"/>
    <w:rsid w:val="000F7C91"/>
    <w:rsid w:val="00140E0A"/>
    <w:rsid w:val="00142F77"/>
    <w:rsid w:val="001D351B"/>
    <w:rsid w:val="001F187D"/>
    <w:rsid w:val="0020662D"/>
    <w:rsid w:val="00260BB1"/>
    <w:rsid w:val="00280D45"/>
    <w:rsid w:val="002C7394"/>
    <w:rsid w:val="002E4CC8"/>
    <w:rsid w:val="00335ECC"/>
    <w:rsid w:val="00395F2A"/>
    <w:rsid w:val="00414929"/>
    <w:rsid w:val="00440468"/>
    <w:rsid w:val="004A234C"/>
    <w:rsid w:val="005530FC"/>
    <w:rsid w:val="006072C1"/>
    <w:rsid w:val="00643027"/>
    <w:rsid w:val="00643C2B"/>
    <w:rsid w:val="006916DE"/>
    <w:rsid w:val="006D1D76"/>
    <w:rsid w:val="00730ACD"/>
    <w:rsid w:val="00790416"/>
    <w:rsid w:val="007A748A"/>
    <w:rsid w:val="007E13BA"/>
    <w:rsid w:val="008504D0"/>
    <w:rsid w:val="00864D55"/>
    <w:rsid w:val="00906EB5"/>
    <w:rsid w:val="009B6974"/>
    <w:rsid w:val="00A80DB6"/>
    <w:rsid w:val="00B417AE"/>
    <w:rsid w:val="00B719B9"/>
    <w:rsid w:val="00B928A5"/>
    <w:rsid w:val="00BB4956"/>
    <w:rsid w:val="00C432C4"/>
    <w:rsid w:val="00C77CD0"/>
    <w:rsid w:val="00CA099C"/>
    <w:rsid w:val="00D2376B"/>
    <w:rsid w:val="00D669DD"/>
    <w:rsid w:val="00DC09DE"/>
    <w:rsid w:val="00DD167D"/>
    <w:rsid w:val="00E33BAD"/>
    <w:rsid w:val="00F24895"/>
    <w:rsid w:val="00F613A7"/>
    <w:rsid w:val="00FC0733"/>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3ABD728-9F7C-478A-BD93-0043F366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87D"/>
    <w:pPr>
      <w:keepNext/>
      <w:keepLines/>
      <w:spacing w:before="240" w:after="0" w:line="360" w:lineRule="auto"/>
      <w:outlineLvl w:val="0"/>
    </w:pPr>
    <w:rPr>
      <w:rFonts w:ascii="Calibri" w:eastAsiaTheme="majorEastAsia" w:hAnsi="Calibri" w:cstheme="majorBidi"/>
      <w:b/>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7D"/>
    <w:rPr>
      <w:rFonts w:ascii="Calibri" w:eastAsiaTheme="majorEastAsia" w:hAnsi="Calibri" w:cstheme="majorBidi"/>
      <w:b/>
      <w:color w:val="2E74B5" w:themeColor="accent1" w:themeShade="BF"/>
      <w:sz w:val="32"/>
      <w:szCs w:val="32"/>
      <w:u w:val="single"/>
    </w:rPr>
  </w:style>
  <w:style w:type="table" w:styleId="TableGrid">
    <w:name w:val="Table Grid"/>
    <w:basedOn w:val="TableNormal"/>
    <w:uiPriority w:val="59"/>
    <w:rsid w:val="001F1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187D"/>
    <w:pPr>
      <w:spacing w:after="200" w:line="276" w:lineRule="auto"/>
      <w:ind w:left="720"/>
      <w:contextualSpacing/>
    </w:pPr>
    <w:rPr>
      <w:rFonts w:ascii="Calibri" w:eastAsia="Times New Roman" w:hAnsi="Calibri" w:cs="Times New Roman"/>
    </w:rPr>
  </w:style>
  <w:style w:type="paragraph" w:styleId="Footer">
    <w:name w:val="footer"/>
    <w:basedOn w:val="Normal"/>
    <w:link w:val="FooterChar"/>
    <w:uiPriority w:val="99"/>
    <w:unhideWhenUsed/>
    <w:rsid w:val="00A80DB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A80DB6"/>
    <w:rPr>
      <w:sz w:val="24"/>
    </w:rPr>
  </w:style>
  <w:style w:type="paragraph" w:styleId="NoSpacing">
    <w:name w:val="No Spacing"/>
    <w:uiPriority w:val="1"/>
    <w:qFormat/>
    <w:rsid w:val="00414929"/>
    <w:pPr>
      <w:spacing w:after="0" w:line="240" w:lineRule="auto"/>
    </w:pPr>
  </w:style>
  <w:style w:type="paragraph" w:styleId="Header">
    <w:name w:val="header"/>
    <w:basedOn w:val="Normal"/>
    <w:link w:val="HeaderChar"/>
    <w:uiPriority w:val="99"/>
    <w:unhideWhenUsed/>
    <w:rsid w:val="0028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2021-06-09T03:19:00Z</dcterms:created>
  <dcterms:modified xsi:type="dcterms:W3CDTF">2021-06-09T04:56:00Z</dcterms:modified>
</cp:coreProperties>
</file>