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56"/>
          <w:szCs w:val="56"/>
        </w:rPr>
        <w:t xml:space="preserve">Data Audit Report</w:t>
      </w:r>
    </w:p>
    <w:p>
      <w:pPr>
        <w:spacing w:after="120"/>
        <w:jc w:val="center"/>
      </w:pPr>
      <w:r>
        <w:rPr>
          <w:color w:val="1F3A5F"/>
          <w:sz w:val="32"/>
          <w:szCs w:val="32"/>
        </w:rPr>
        <w:t xml:space="preserve">US Equity Long-Short Strategy: Onboarding Materials</w:t>
      </w:r>
    </w:p>
    <w:p>
      <w:pPr>
        <w:spacing w:after="800"/>
        <w:jc w:val="center"/>
      </w:pPr>
      <w:r>
        <w:rPr>
          <w:i/>
          <w:iCs/>
          <w:sz w:val="24"/>
          <w:szCs w:val="24"/>
        </w:rPr>
        <w:t xml:space="preserve">Coverage: 2016-03-01 through 2025-12-31</w:t>
      </w:r>
    </w:p>
    <w:p>
      <w:pPr>
        <w:spacing w:after="60"/>
        <w:jc w:val="center"/>
      </w:pPr>
      <w:r>
        <w:rPr>
          <w:sz w:val="22"/>
          <w:szCs w:val="22"/>
        </w:rPr>
        <w:t xml:space="preserve">Prepared for: New quantitative researcher</w:t>
      </w:r>
    </w:p>
    <w:p>
      <w:pPr>
        <w:spacing w:after="60"/>
        <w:jc w:val="center"/>
      </w:pPr>
      <w:r>
        <w:rPr>
          <w:sz w:val="22"/>
          <w:szCs w:val="22"/>
        </w:rPr>
        <w:t xml:space="preserve">Author: Senior Research</w:t>
      </w:r>
    </w:p>
    <w:p>
      <w:pPr>
        <w:spacing w:after="60"/>
        <w:jc w:val="center"/>
      </w:pPr>
      <w:r>
        <w:rPr>
          <w:sz w:val="22"/>
          <w:szCs w:val="22"/>
        </w:rPr>
        <w:t xml:space="preserve">Date: June 8, 2026</w:t>
      </w:r>
    </w:p>
    <w:p>
      <w:r>
        <w:br w:type="page"/>
      </w:r>
    </w:p>
    <w:p>
      <w:pPr>
        <w:pStyle w:val="Heading1"/>
      </w:pPr>
      <w:r>
        <w:t xml:space="preserve">0. Executive Summary</w:t>
      </w:r>
    </w:p>
    <w:p>
      <w:pPr>
        <w:spacing w:after="100"/>
      </w:pPr>
      <w:r>
        <w:t xml:space="preserve">This document is a complete audit of the four datasets that will feed the long-short equity stack: the S&amp;P 400, 500, and 600 point-in-time (PIT) constituent files, and an OHLCV file covering 14 broad and sector ETFs. The objective here is not to design a strategy. It is to make sure you (a) know exactly what each column means, (b) understand how the PIT structure encodes membership, (c) know which biases are mitigated and which are still latent, and (d) know the empirical gotchas that will silently corrupt a backtest if ignored.</w:t>
      </w:r>
    </w:p>
    <w:p>
      <w:pPr>
        <w:spacing w:after="100"/>
      </w:pPr>
      <w:r>
        <w:t xml:space="preserve">Bottom line up front: the PIT data is high quality and structurally sound — monthly membership snapshots with daily intra-month observations, delisted IDs preserved, GICS taxonomy attached. The largest hidden risks are (1) prices, shares outstanding, and volume are back-adjusted for splits to a current-share-class basis, so absolute price levels and raw share counts do not match historical exchange tape; (2) PIT Price is split-adjusted but not dividend-adjusted, while the ETF Adj_Close is total-return adjusted — an asymmetry that will bias any direct comparison; (3) GICS sectors are stable through each name's life, which is good for stability but means the September 2018 Telecom→Communication Services reclassification is not visible; (4) membership is revealed only at month-end, so any trading rule using same-month membership has lookahead unless lagged appropriately.</w:t>
      </w:r>
    </w:p>
    <w:p>
      <w:pPr>
        <w:pStyle w:val="Heading1"/>
      </w:pPr>
      <w:r>
        <w:t xml:space="preserve">1. Dataset Inventory</w:t>
      </w:r>
    </w:p>
    <w:p>
      <w:pPr>
        <w:spacing w:after="100"/>
      </w:pPr>
      <w:r>
        <w:t xml:space="preserve">Four files, all delivered as CSV, all covering 2016-03-01 through 2025-12-31.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File</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Rows</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Cols</w:t>
            </w:r>
          </w:p>
        </w:tc>
        <w:tc>
          <w:tcPr>
            <w:tcW w:type="dxa" w:w="41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etf_ohlcv_20160301_20251231.csv</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34,070</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9</w:t>
            </w:r>
          </w:p>
        </w:tc>
        <w:tc>
          <w:tcPr>
            <w:tcW w:type="dxa" w:w="41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Daily OHLCV for 14 ETFs: SPY, QQQ, RSP (broad) and the 11 GICS sector SPDRs.</w:t>
            </w:r>
          </w:p>
        </w:tc>
      </w:tr>
      <w:tr>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sp400_pit_20160301_20251231.csv</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1,438,662</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15</w:t>
            </w:r>
          </w:p>
        </w:tc>
        <w:tc>
          <w:tcPr>
            <w:tcW w:type="dxa" w:w="41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Daily PIT panel for S&amp;P 400 (mid-cap). 887 unique IDs across 118 monthly snapshots.</w:t>
            </w:r>
          </w:p>
        </w:tc>
      </w:tr>
      <w:tr>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sp500_pit_20160301_20251231.csv</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1,811,936</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15</w:t>
            </w:r>
          </w:p>
        </w:tc>
        <w:tc>
          <w:tcPr>
            <w:tcW w:type="dxa" w:w="41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Daily PIT panel for S&amp;P 500 (large-cap). 742 unique IDs across 118 monthly snapshots.</w:t>
            </w:r>
          </w:p>
        </w:tc>
      </w:tr>
      <w:tr>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sp600_pit_20160301_20251231.csv</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2,160,277</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15</w:t>
            </w:r>
          </w:p>
        </w:tc>
        <w:tc>
          <w:tcPr>
            <w:tcW w:type="dxa" w:w="41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Daily PIT panel for S&amp;P 600 (small-cap). 1,305 unique IDs across 118 monthly snapshots.</w:t>
            </w:r>
          </w:p>
        </w:tc>
      </w:tr>
    </w:tbl>
    <w:p>
      <w:pPr>
        <w:spacing w:after="100"/>
      </w:pPr>
      <w:r>
        <w:t xml:space="preserve"/>
      </w:r>
    </w:p>
    <w:p>
      <w:pPr>
        <w:spacing w:after="100"/>
      </w:pPr>
      <w:r>
        <w:t xml:space="preserve">The PIT row counts look large because each row is a (ticker, calendar-day) pair, and weekends/holidays are present with NaN financials — see the PIT Structure section. ETF rows are business-day only (no weekend rows).</w:t>
      </w:r>
    </w:p>
    <w:p>
      <w:pPr>
        <w:pStyle w:val="Heading1"/>
      </w:pPr>
      <w:r>
        <w:t xml:space="preserve">2. Column Glossary</w:t>
      </w:r>
    </w:p>
    <w:p>
      <w:pPr>
        <w:pStyle w:val="Heading2"/>
      </w:pPr>
      <w:r>
        <w:t xml:space="preserve">2.1 PIT files (SP400 / SP500 / SP600) — 15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Column</w:t>
            </w:r>
          </w:p>
        </w:tc>
        <w:tc>
          <w:tcPr>
            <w:tcW w:type="dxa" w:w="18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Type</w:t>
            </w:r>
          </w:p>
        </w:tc>
        <w:tc>
          <w:tcPr>
            <w:tcW w:type="dxa" w:w="53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Meaning and gotchas</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ID</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Bloomberg ticker: "AAPL UW Equity". Suffix tokens: UN=NYSE, UW=Nasdaq Global Select, UQ=Nasdaq Global Market, US=composite. A numeric prefix followed by "D" (e.g. "1558783D US Equity") flags an explicitly delisted security — Bloomberg's convention. ~30-60 such IDs per index file.</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Calendar date in the observation window. The panel is on a CALENDAR-DAY grid, not a business-day grid. Weekend rows exist with NaN price/volume; holidays are weekday rows with NaN price/volume.</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CURRENCY</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USD throughout. No FX adjustment needed.</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ID_DATE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Month-end snapshot date that the row's membership belongs to. Every DATE in the row falls within the calendar month ending at ID_DATE (verified: 100% of rows). 118 distinct values: 2016-03-31 through 2025-12-31.</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Price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Close price in USD, SPLIT-ADJUSTED to current share class. NOT dividend-adjusted. Asymmetric with ETF Adj_Close (which is total-return). Use Price.pct_change() for price returns; total returns require adding dividend yield from another source.</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Volume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Shares traded, back-adjusted consistent with Price/Shares_Out (verified against NVDA 10:1 in 2024-06 and AAPL 4:1 in 2020-08). This is NOT the tape volume — it is the equivalent volume in the current-share-class basis. Dollar volume = Price × Volume is consistent across time, but absolute share counts are not.</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Market_Cap</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Equal to Price × Shares_Out. Invariant under back-adjustment, so the time series is correct in USD. Use this — not Price alone — for size-based filters.</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Shares_Out</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Shares outstanding, back-adjusted (e.g., NVDA shows ~21.5B shares throughout 2016 because the 2021 4:1 and 2024 10:1 splits are rolled backward). The implied float doubles/quadruples retrospectively at split events in the unadjusted world.</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GICS_Sector</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Level 1 GICS classification, 11 sectors. Stable per ID over its life (verified: 0 IDs in SP500 change sector). This means the September 2018 Telecom→Communication Services reclassification is NOT visible in the data; XLC's underlying constituent moves are masked.</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GICS_Ind_Group</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Level 2 GICS (24 groups). Stable per ID.</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GICS_Industry</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Level 3 GICS (74 industries).</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GICS_Sub_Industry</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Level 4 GICS (~163 sub-industries). Finest granularity.</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Index</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Constant per file: "S&amp;P 400", "S&amp;P 500", "S&amp;P 600".</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Index_Ticker</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Constant per file: "MID Index", "SPX Index", "SML Index" (Bloomberg ticker for the index).</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PIT_Member_Date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REDUNDANT with ID_DATE — identical in 100% of rows. Drop one in your loader.</w:t>
            </w:r>
          </w:p>
        </w:tc>
      </w:tr>
    </w:tbl>
    <w:p>
      <w:pPr>
        <w:spacing w:after="100"/>
      </w:pPr>
      <w:r>
        <w:t xml:space="preserve"/>
      </w:r>
    </w:p>
    <w:p>
      <w:pPr>
        <w:pStyle w:val="Heading2"/>
      </w:pPr>
      <w:r>
        <w:t xml:space="preserve">2.2 ETF OHLCV file — 9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Column</w:t>
            </w:r>
          </w:p>
        </w:tc>
        <w:tc>
          <w:tcPr>
            <w:tcW w:type="dxa" w:w="18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Type</w:t>
            </w:r>
          </w:p>
        </w:tc>
        <w:tc>
          <w:tcPr>
            <w:tcW w:type="dxa" w:w="53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Meaning</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Ticker</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Standard exchange ticker (no Bloomberg suffix). 14 tickers.</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ETF_Group</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string</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Two values: "Broad ETF" (SPY, QQQ, RSP) and "Sector ETF" (XLB, XLC, XLE, XLF, XLI, XLK, XLP, XLRE, XLU, XLV, XLY).</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Business day only. 2,475 days for each ticker except XLC (1,895 days, starts 2018-06-19 — XLC inception).</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Open / High / Low / Close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Unadjusted OHLC in USD. OHLC sanity check passed (0 violations: High ≥ max(O,C), Low ≤ min(O,C), High ≥ Low).</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Adj_Close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Total-return adjusted close. Includes both splits and dividends (verified: XLE shows ~50-130bp negative jumps on Mar/Jun/Sep/Dec quarter-end dividend ex-dates that pull Adj_Close above Close-implied path). Use Adj_Close.pct_change() for total return; Close.pct_change() for price return.</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Volume</w:t>
            </w:r>
          </w:p>
        </w:tc>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float</w:t>
            </w:r>
          </w:p>
        </w:tc>
        <w:tc>
          <w:tcPr>
            <w:tcW w:type="dxa" w:w="53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Shares traded — no Adj_Volume column. Treat as raw shares for the ETF case.</w:t>
            </w:r>
          </w:p>
        </w:tc>
      </w:tr>
    </w:tbl>
    <w:p>
      <w:r>
        <w:br w:type="page"/>
      </w:r>
    </w:p>
    <w:p>
      <w:pPr>
        <w:pStyle w:val="Heading1"/>
      </w:pPr>
      <w:r>
        <w:t xml:space="preserve">3. The PIT Structure</w:t>
      </w:r>
    </w:p>
    <w:p>
      <w:pPr>
        <w:spacing w:after="100"/>
      </w:pPr>
      <w:r>
        <w:t xml:space="preserve">"Point-in-time" here means three things working together: (a) you have a frozen membership list for each month, (b) every daily observation is tagged with the membership window it belongs to, and (c) the membership lists were assembled using only information available as of ID_DATE.</w:t>
      </w:r>
    </w:p>
    <w:p>
      <w:pPr>
        <w:pStyle w:val="Heading2"/>
      </w:pPr>
      <w:r>
        <w:t xml:space="preserve">3.1 The encoding</w:t>
      </w:r>
    </w:p>
    <w:p>
      <w:pPr>
        <w:pStyle w:val="ListParagraph"/>
        <w:numPr>
          <w:ilvl w:val="0"/>
          <w:numId w:val="2"/>
        </w:numPr>
        <w:spacing w:after="60"/>
      </w:pPr>
      <w:r>
        <w:t xml:space="preserve">Each PIT file is a long-format panel keyed by (ID, DATE).</w:t>
      </w:r>
    </w:p>
    <w:p>
      <w:pPr>
        <w:pStyle w:val="ListParagraph"/>
        <w:numPr>
          <w:ilvl w:val="0"/>
          <w:numId w:val="2"/>
        </w:numPr>
        <w:spacing w:after="60"/>
      </w:pPr>
      <w:r>
        <w:t xml:space="preserve">ID_DATE is the membership snapshot date — always a calendar month-end. There are 118 such snapshots (2016-03-31 through 2025-12-31).</w:t>
      </w:r>
    </w:p>
    <w:p>
      <w:pPr>
        <w:pStyle w:val="ListParagraph"/>
        <w:numPr>
          <w:ilvl w:val="0"/>
          <w:numId w:val="2"/>
        </w:numPr>
        <w:spacing w:after="60"/>
      </w:pPr>
      <w:r>
        <w:t xml:space="preserve">For each (ID, ID_DATE) pair, the file contains one row per calendar day of that month — every day, weekends and holidays included. Weekends and US market holidays have NaN Price/Volume/Market_Cap/Shares_Out.</w:t>
      </w:r>
    </w:p>
    <w:p>
      <w:pPr>
        <w:pStyle w:val="ListParagraph"/>
        <w:numPr>
          <w:ilvl w:val="0"/>
          <w:numId w:val="2"/>
        </w:numPr>
        <w:spacing w:after="60"/>
      </w:pPr>
      <w:r>
        <w:t xml:space="preserve">PIT_Member_Date duplicates ID_DATE; treat as a single field.</w:t>
      </w:r>
    </w:p>
    <w:p>
      <w:pPr>
        <w:pStyle w:val="ListParagraph"/>
        <w:numPr>
          <w:ilvl w:val="0"/>
          <w:numId w:val="2"/>
        </w:numPr>
        <w:spacing w:after="60"/>
      </w:pPr>
      <w:r>
        <w:t xml:space="preserve">If a stock joins or leaves the index mid-month, it still gets a full month of calendar-day rows under its membership ID_DATE, with NaN financials on dates the security was not actively trading (pre-listing or post-delisting). About 9% of weekday rows are NaN-priced for this reason; only 237 of 741 SP500 IDs have a first-traded date strictly after 2016-03-01 (i.e., real mid-period additions).</w:t>
      </w:r>
    </w:p>
    <w:p>
      <w:pPr>
        <w:pStyle w:val="Heading2"/>
      </w:pPr>
      <w:r>
        <w:t xml:space="preserve">3.2 Membership counts and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Index</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Min/snap</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Median</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Max/snap</w:t>
            </w:r>
          </w:p>
        </w:tc>
        <w:tc>
          <w:tcPr>
            <w:tcW w:type="dxa" w:w="29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Why a count != name-count</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S&amp;P 400 (MID)</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400</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400</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401</w:t>
            </w:r>
          </w:p>
        </w:tc>
        <w:tc>
          <w:tcPr>
            <w:tcW w:type="dxa" w:w="2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Dual-class shares (e.g., NWSA/NWS).</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S&amp;P 500 (SPX)</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503</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505</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506</w:t>
            </w:r>
          </w:p>
        </w:tc>
        <w:tc>
          <w:tcPr>
            <w:tcW w:type="dxa" w:w="2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Dual-class shares (GOOG/GOOGL, FOX/FOXA, NWSA/NWS, etc.).</w:t>
            </w:r>
          </w:p>
        </w:tc>
      </w:tr>
      <w:tr>
        <w:tc>
          <w:tcPr>
            <w:tcW w:type="dxa" w:w="2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S&amp;P 600 (SML)</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601</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601</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603</w:t>
            </w:r>
          </w:p>
        </w:tc>
        <w:tc>
          <w:tcPr>
            <w:tcW w:type="dxa" w:w="2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Dual-class shares.</w:t>
            </w:r>
          </w:p>
        </w:tc>
      </w:tr>
    </w:tbl>
    <w:p>
      <w:pPr>
        <w:pStyle w:val="Heading2"/>
      </w:pPr>
      <w:r>
        <w:t xml:space="preserve">3.3 How to use this correctly in research</w:t>
      </w:r>
    </w:p>
    <w:p>
      <w:pPr>
        <w:pStyle w:val="ListParagraph"/>
        <w:numPr>
          <w:ilvl w:val="0"/>
          <w:numId w:val="2"/>
        </w:numPr>
        <w:spacing w:after="60"/>
      </w:pPr>
      <w:r>
        <w:t xml:space="preserve">To get the universe for a trade date D, take all IDs from the snapshot whose ID_DATE is the LATEST month-end strictly less than D. Using the ID_DATE = month-end-of-D snapshot to trade earlier in that month is lookahead (you wouldn't have known the constituent change yet).</w:t>
      </w:r>
    </w:p>
    <w:p>
      <w:pPr>
        <w:pStyle w:val="ListParagraph"/>
        <w:numPr>
          <w:ilvl w:val="0"/>
          <w:numId w:val="2"/>
        </w:numPr>
        <w:spacing w:after="60"/>
      </w:pPr>
      <w:r>
        <w:t xml:space="preserve">Drop weekend rows and NaN-price rows at the loader stage; do not impute them. NaN prices are real signals of non-trading status (pre-IPO, post-delisting, suspended) and forward-filling them will leak.</w:t>
      </w:r>
    </w:p>
    <w:p>
      <w:pPr>
        <w:pStyle w:val="ListParagraph"/>
        <w:numPr>
          <w:ilvl w:val="0"/>
          <w:numId w:val="2"/>
        </w:numPr>
        <w:spacing w:after="60"/>
      </w:pPr>
      <w:r>
        <w:t xml:space="preserve">To build daily returns, group by ID and use Price.pct_change() on the business-day filtered series. Returns require the security to be in the index in BOTH t-1 and t — handle entry/exit explicitly.</w:t>
      </w:r>
    </w:p>
    <w:p>
      <w:pPr>
        <w:pStyle w:val="ListParagraph"/>
        <w:numPr>
          <w:ilvl w:val="0"/>
          <w:numId w:val="2"/>
        </w:numPr>
        <w:spacing w:after="60"/>
      </w:pPr>
      <w:r>
        <w:t xml:space="preserve">Use Market_Cap, not Price, for size buckets. Price is back-adjusted and not a reliable absolute level over multi-year horizons.</w:t>
      </w:r>
    </w:p>
    <w:p>
      <w:pPr>
        <w:pStyle w:val="Heading1"/>
      </w:pPr>
      <w:r>
        <w:t xml:space="preserve">4. How SP400, SP500, and SP600 Relate</w:t>
      </w:r>
    </w:p>
    <w:p>
      <w:pPr>
        <w:spacing w:after="100"/>
      </w:pPr>
      <w:r>
        <w:t xml:space="preserve">S&amp;P designed the 1500 family to be mutually exclusive and collectively exhaustive across US large/mid/small cap (with float and profitability constraints). At any point in time, a security should sit in at most one of the three. Across time, names migrate as they grow or shrink — the same identifier appears in multiple files at different snapshots.</w:t>
      </w:r>
    </w:p>
    <w:p>
      <w:pPr>
        <w:pStyle w:val="Heading2"/>
      </w:pPr>
      <w:r>
        <w:t xml:space="preserve">4.1 Cross-history overlap (one or more snapshots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Membership trajectory across 2016-2025</w:t>
            </w:r>
          </w:p>
        </w:tc>
        <w:tc>
          <w:tcPr>
            <w:tcW w:type="dxa" w:w="16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IDs</w:t>
            </w:r>
          </w:p>
        </w:tc>
        <w:tc>
          <w:tcPr>
            <w:tcW w:type="dxa" w:w="45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Interpretation</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SP400 only</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423</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Mid-cap throughout.</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SP500 only</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547</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Large-cap throughout.</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SP600 only</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942</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Small-cap throughout — largest pool, highest churn.</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SP400 ∩ SP500 (both at some point)</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174</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Mid → large promotion (or large → mid demotion).</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SP400 ∩ SP600</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342</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Small → mid promotion (or reverse).</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SP500 ∩ SP600</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73</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Direct large↔small transitions; rare.</w:t>
            </w:r>
          </w:p>
        </w:tc>
      </w:tr>
      <w:tr>
        <w:tc>
          <w:tcPr>
            <w:tcW w:type="dxa" w:w="3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All three</w:t>
            </w:r>
          </w:p>
        </w:tc>
        <w:tc>
          <w:tcPr>
            <w:tcW w:type="dxa" w:w="16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52</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Full trajectory through the small/mid/large pipeline over the decade.</w:t>
            </w:r>
          </w:p>
        </w:tc>
      </w:tr>
    </w:tbl>
    <w:p>
      <w:pPr>
        <w:pStyle w:val="Heading2"/>
      </w:pPr>
      <w:r>
        <w:t xml:space="preserve">4.2 Annual churn</w:t>
      </w:r>
    </w:p>
    <w:p>
      <w:pPr>
        <w:pStyle w:val="ListParagraph"/>
        <w:numPr>
          <w:ilvl w:val="0"/>
          <w:numId w:val="2"/>
        </w:numPr>
        <w:spacing w:after="60"/>
      </w:pPr>
      <w:r>
        <w:t xml:space="preserve">S&amp;P 500: ~24 additions and ~25 deletions per year.</w:t>
      </w:r>
    </w:p>
    <w:p>
      <w:pPr>
        <w:pStyle w:val="ListParagraph"/>
        <w:numPr>
          <w:ilvl w:val="0"/>
          <w:numId w:val="2"/>
        </w:numPr>
        <w:spacing w:after="60"/>
      </w:pPr>
      <w:r>
        <w:t xml:space="preserve">S&amp;P 400: ~51 / ~51.</w:t>
      </w:r>
    </w:p>
    <w:p>
      <w:pPr>
        <w:pStyle w:val="ListParagraph"/>
        <w:numPr>
          <w:ilvl w:val="0"/>
          <w:numId w:val="2"/>
        </w:numPr>
        <w:spacing w:after="60"/>
      </w:pPr>
      <w:r>
        <w:t xml:space="preserve">S&amp;P 600: ~74 / ~74.</w:t>
      </w:r>
    </w:p>
    <w:p>
      <w:pPr>
        <w:spacing w:after="100"/>
      </w:pPr>
      <w:r>
        <w:t xml:space="preserve">These match S&amp;P's published turnover rates and confirm the membership lists track real index reconstitutions.</w:t>
      </w:r>
    </w:p>
    <w:p>
      <w:pPr>
        <w:pStyle w:val="Heading2"/>
      </w:pPr>
      <w:r>
        <w:t xml:space="preserve">4.3 Simultaneous-membership integrity</w:t>
      </w:r>
    </w:p>
    <w:p>
      <w:pPr>
        <w:spacing w:after="100"/>
      </w:pPr>
      <w:r>
        <w:t xml:space="preserve">Verified: across all 118 snapshots, no (ID, ID_DATE) pair appears in both the SP500 and SP400 files, and zero in SP400 ∩ SP600. There is exactly one (ID, ID_DATE) appearing in both SP500 and SP600 — AMTM (Amentum, ticker AMTM UN Equity) in the 2025-05-31 snapshot. This coincides with the post-spinoff classification window around Amentum's separation from Jacobs Solutions. Treat as a known edge case; do not rely on the indices being strictly disjoint for that month.</w:t>
      </w:r>
    </w:p>
    <w:p>
      <w:pPr>
        <w:pStyle w:val="Heading2"/>
      </w:pPr>
      <w:r>
        <w:t xml:space="preserve">4.4 Building a unified universe</w:t>
      </w:r>
    </w:p>
    <w:p>
      <w:pPr>
        <w:pStyle w:val="ListParagraph"/>
        <w:numPr>
          <w:ilvl w:val="0"/>
          <w:numId w:val="2"/>
        </w:numPr>
        <w:spacing w:after="60"/>
      </w:pPr>
      <w:r>
        <w:t xml:space="preserve">To get the combined S&amp;P 1500 universe at a given snapshot, union the three files on ID_DATE.</w:t>
      </w:r>
    </w:p>
    <w:p>
      <w:pPr>
        <w:pStyle w:val="ListParagraph"/>
        <w:numPr>
          <w:ilvl w:val="0"/>
          <w:numId w:val="2"/>
        </w:numPr>
        <w:spacing w:after="60"/>
      </w:pPr>
      <w:r>
        <w:t xml:space="preserve">To track a single name's full history, query all three files on ID — that is the only way to capture promotion/demotion paths without gaps.</w:t>
      </w:r>
    </w:p>
    <w:p>
      <w:pPr>
        <w:pStyle w:val="ListParagraph"/>
        <w:numPr>
          <w:ilvl w:val="0"/>
          <w:numId w:val="2"/>
        </w:numPr>
        <w:spacing w:after="60"/>
      </w:pPr>
      <w:r>
        <w:t xml:space="preserve">If you trade by index file separately (e.g., a small-cap-only sleeve), be aware that a stock leaving the SP600 universe due to promotion to SP400 is functionally a survivorship event for the small-cap strategy: its remaining returns happen elsewhere. Decide whether to follow names into their new index or terminate them at the boundary, and document the choice.</w:t>
      </w:r>
    </w:p>
    <w:p>
      <w:r>
        <w:br w:type="page"/>
      </w:r>
    </w:p>
    <w:p>
      <w:pPr>
        <w:pStyle w:val="Heading1"/>
      </w:pPr>
      <w:r>
        <w:t xml:space="preserve">5. Survivorship Bias</w:t>
      </w:r>
    </w:p>
    <w:p>
      <w:pPr>
        <w:spacing w:after="100"/>
      </w:pPr>
      <w:r>
        <w:t xml:space="preserve">Survivorship bias here is the risk that the dataset over-represents securities that succeeded enough to stay in the index, and under-represents those that disappeared (merged, acquired, delisted, demoted, bankrupted). A backtest run on a survivor-only universe overstates expected return and understates tail risk.</w:t>
      </w:r>
    </w:p>
    <w:p>
      <w:pPr>
        <w:pStyle w:val="Heading2"/>
      </w:pPr>
      <w:r>
        <w:t xml:space="preserve">5.1 What is well handled</w:t>
      </w:r>
    </w:p>
    <w:p>
      <w:pPr>
        <w:pStyle w:val="ListParagraph"/>
        <w:numPr>
          <w:ilvl w:val="0"/>
          <w:numId w:val="2"/>
        </w:numPr>
        <w:spacing w:after="60"/>
      </w:pPr>
      <w:r>
        <w:t xml:space="preserve">Delisted IDs are retained: each PIT file carries explicit "D" Bloomberg IDs (45 in SP400, 29 in SP500, 57 in SP600). These are names whose CUSIPs no longer exist — they appear in their final months of membership and then drop out.</w:t>
      </w:r>
    </w:p>
    <w:p>
      <w:pPr>
        <w:pStyle w:val="ListParagraph"/>
        <w:numPr>
          <w:ilvl w:val="0"/>
          <w:numId w:val="2"/>
        </w:numPr>
        <w:spacing w:after="60"/>
      </w:pPr>
      <w:r>
        <w:t xml:space="preserve">Ever-vs-current names confirms genuine PIT semantics: </w:t>
      </w:r>
      <w:r>
        <w:rPr>
          <w:i/>
          <w:iCs/>
        </w:rPr>
        <w:t xml:space="preserve">SP500 has 742 ever-members and 503 current, so 239 names were removed across the decade (~32% of ever-members); SP400 has 887 ever / 401 current (486 removed, ~55%); SP600 has 1,305 ever / 603 current (702 removed, ~54%).</w:t>
      </w:r>
    </w:p>
    <w:p>
      <w:pPr>
        <w:pStyle w:val="ListParagraph"/>
        <w:numPr>
          <w:ilvl w:val="0"/>
          <w:numId w:val="2"/>
        </w:numPr>
        <w:spacing w:after="60"/>
      </w:pPr>
      <w:r>
        <w:t xml:space="preserve">Churn rates of 24 (SP500) / 51 (SP400) / 74 (SP600) per year are consistent with S&amp;P's documented index turnover — no signs of selectively keeping only winners.</w:t>
      </w:r>
    </w:p>
    <w:p>
      <w:pPr>
        <w:pStyle w:val="Heading2"/>
      </w:pPr>
      <w:r>
        <w:t xml:space="preserve">5.2 What is NOT handled — known residual risk</w:t>
      </w:r>
    </w:p>
    <w:p>
      <w:pPr>
        <w:pStyle w:val="ListParagraph"/>
        <w:numPr>
          <w:ilvl w:val="0"/>
          <w:numId w:val="2"/>
        </w:numPr>
        <w:spacing w:after="60"/>
      </w:pPr>
      <w:r>
        <w:t xml:space="preserve">Acquisitions: when a name is bought for cash, the acquired entity's price series ends but the dataset does not encode the deal terms. Backtests that hold the name through deal close will incorrectly mark-to-market against the last observable price, missing the take-out premium captured at close and the cash terminal payout.</w:t>
      </w:r>
    </w:p>
    <w:p>
      <w:pPr>
        <w:pStyle w:val="ListParagraph"/>
        <w:numPr>
          <w:ilvl w:val="0"/>
          <w:numId w:val="2"/>
        </w:numPr>
        <w:spacing w:after="60"/>
      </w:pPr>
      <w:r>
        <w:t xml:space="preserve">Spinoffs: parent-child pricing on spinoff dates can show artificial gaps. AMTM (Amentum) appearing in both SP500 and SP600 in 2025-05 is a corporate-action edge case, not random data corruption.</w:t>
      </w:r>
    </w:p>
    <w:p>
      <w:pPr>
        <w:pStyle w:val="ListParagraph"/>
        <w:numPr>
          <w:ilvl w:val="0"/>
          <w:numId w:val="2"/>
        </w:numPr>
        <w:spacing w:after="60"/>
      </w:pPr>
      <w:r>
        <w:t xml:space="preserve">Soft-delisting: an OTC-pink stock dropped from the index but still trading shows NaN in this dataset after removal. If your model wants the trailing distress return path, it isn't here.</w:t>
      </w:r>
    </w:p>
    <w:p>
      <w:pPr>
        <w:pStyle w:val="ListParagraph"/>
        <w:numPr>
          <w:ilvl w:val="0"/>
          <w:numId w:val="2"/>
        </w:numPr>
        <w:spacing w:after="60"/>
      </w:pPr>
      <w:r>
        <w:t xml:space="preserve">ETF survivorship: XLC didn't exist before 2018-06-19, so anything anchored on Communication Services as a sector before then is necessarily incomplete. The pre-2018 XLK constituency hid the old Communication-Services names that were later carved into XLC.</w:t>
      </w:r>
    </w:p>
    <w:p>
      <w:pPr>
        <w:pStyle w:val="ListParagraph"/>
        <w:numPr>
          <w:ilvl w:val="0"/>
          <w:numId w:val="2"/>
        </w:numPr>
        <w:spacing w:after="60"/>
      </w:pPr>
      <w:r>
        <w:t xml:space="preserve">GICS reclassifications: sector codes are stable per ID through life. This is convenient for stability but masks the September 2018 Telecom→Communication Services reclassification. Pre-2018 GICS labels in this dataset reflect TODAY's taxonomy, not what was reported in real time.</w:t>
      </w:r>
    </w:p>
    <w:p>
      <w:pPr>
        <w:pStyle w:val="Heading1"/>
      </w:pPr>
      <w:r>
        <w:t xml:space="preserve">6. Lookahead Bias</w:t>
      </w:r>
    </w:p>
    <w:p>
      <w:pPr>
        <w:spacing w:after="100"/>
      </w:pPr>
      <w:r>
        <w:t xml:space="preserve">Lookahead is the easier bias to introduce by accident: any time a row's value reflects information that wouldn't have been knowable as of that row's DATE. The PIT framing protects against some sources but introduces others.</w:t>
      </w:r>
    </w:p>
    <w:p>
      <w:pPr>
        <w:pStyle w:val="Heading2"/>
      </w:pPr>
      <w:r>
        <w:t xml:space="preserve">6.1 Membership lookahead</w:t>
      </w:r>
    </w:p>
    <w:p>
      <w:pPr>
        <w:pStyle w:val="ListParagraph"/>
        <w:numPr>
          <w:ilvl w:val="0"/>
          <w:numId w:val="2"/>
        </w:numPr>
        <w:spacing w:after="60"/>
      </w:pPr>
      <w:r>
        <w:t xml:space="preserve">Membership is revealed at month-end. If you build a portfolio on 2024-03-10 using "the names whose ID_DATE = 2024-03-31", you are using knowledge from 21 days in the future. Use the prior snapshot (ID_DATE = 2024-02-29) for any decision made before month-end.</w:t>
      </w:r>
    </w:p>
    <w:p>
      <w:pPr>
        <w:pStyle w:val="ListParagraph"/>
        <w:numPr>
          <w:ilvl w:val="0"/>
          <w:numId w:val="2"/>
        </w:numPr>
        <w:spacing w:after="60"/>
      </w:pPr>
      <w:r>
        <w:t xml:space="preserve">S&amp;P actually pre-announces additions/deletions a few business days before the effective date. Real-world execution can be a few days earlier than the next snapshot — but in this dataset you don't see the announcement, so the safest treatment is one-snapshot lag throughout.</w:t>
      </w:r>
    </w:p>
    <w:p>
      <w:pPr>
        <w:pStyle w:val="Heading2"/>
      </w:pPr>
      <w:r>
        <w:t xml:space="preserve">6.2 Adjusted-price lookahead</w:t>
      </w:r>
    </w:p>
    <w:p>
      <w:pPr>
        <w:pStyle w:val="ListParagraph"/>
        <w:numPr>
          <w:ilvl w:val="0"/>
          <w:numId w:val="2"/>
        </w:numPr>
        <w:spacing w:after="60"/>
      </w:pPr>
      <w:r>
        <w:t xml:space="preserve">Price, Volume, and Shares_Out are back-adjusted for splits. A stock that did a 10-for-1 split in 2024 has its 2016-2024 prices divided by 10 in this dataset. The price you see on 2017-01-03 is NOT the price you would have observed on 2017-01-03 — it embeds the 2024 split decision.</w:t>
      </w:r>
    </w:p>
    <w:p>
      <w:pPr>
        <w:pStyle w:val="ListParagraph"/>
        <w:numPr>
          <w:ilvl w:val="0"/>
          <w:numId w:val="2"/>
        </w:numPr>
        <w:spacing w:after="60"/>
      </w:pPr>
      <w:r>
        <w:t xml:space="preserve">Implication 1: any rule using absolute price levels (e.g., "buy only stocks trading &gt; $5", tick-size or spread proxies, dollar-rounding effects, minimum-share-lot logic) suffers a subtle lookahead because the back-adjusted level was chosen with hindsight.</w:t>
      </w:r>
    </w:p>
    <w:p>
      <w:pPr>
        <w:pStyle w:val="ListParagraph"/>
        <w:numPr>
          <w:ilvl w:val="0"/>
          <w:numId w:val="2"/>
        </w:numPr>
        <w:spacing w:after="60"/>
      </w:pPr>
      <w:r>
        <w:t xml:space="preserve">Implication 2: liquidity filters based on share volume (e.g., "top 80% by ADV in shares") are valid in relative terms but understate raw historical liquidity in the periods before subsequent splits.</w:t>
      </w:r>
    </w:p>
    <w:p>
      <w:pPr>
        <w:pStyle w:val="ListParagraph"/>
        <w:numPr>
          <w:ilvl w:val="0"/>
          <w:numId w:val="2"/>
        </w:numPr>
        <w:spacing w:after="60"/>
      </w:pPr>
      <w:r>
        <w:t xml:space="preserve">Mitigation: build size and liquidity filters on Market_Cap (invariant) and on dollar-volume (Price × Volume — invariant in shape, only scaled). Avoid level-dependent rules.</w:t>
      </w:r>
    </w:p>
    <w:p>
      <w:pPr>
        <w:pStyle w:val="Heading2"/>
      </w:pPr>
      <w:r>
        <w:t xml:space="preserve">6.3 GICS lookahead</w:t>
      </w:r>
    </w:p>
    <w:p>
      <w:pPr>
        <w:pStyle w:val="ListParagraph"/>
        <w:numPr>
          <w:ilvl w:val="0"/>
          <w:numId w:val="2"/>
        </w:numPr>
        <w:spacing w:after="60"/>
      </w:pPr>
      <w:r>
        <w:t xml:space="preserve">Sectors don't change over a name's life in this file. If a name was reclassified by S&amp;P/MSCI during 2016-2025 (most prominently the 2018 Telecom → Communication Services event), the file shows TODAY's classification on pre-2018 rows. Strategies that rely on sector labels for pre-2018 dates inherit a small forward bias.</w:t>
      </w:r>
    </w:p>
    <w:p>
      <w:pPr>
        <w:pStyle w:val="ListParagraph"/>
        <w:numPr>
          <w:ilvl w:val="0"/>
          <w:numId w:val="2"/>
        </w:numPr>
        <w:spacing w:after="60"/>
      </w:pPr>
      <w:r>
        <w:t xml:space="preserve">If your strategy is sector-neutralized using these labels, the magnitude of the bias is small (single-name-level), but flag it.</w:t>
      </w:r>
    </w:p>
    <w:p>
      <w:pPr>
        <w:pStyle w:val="Heading2"/>
      </w:pPr>
      <w:r>
        <w:t xml:space="preserve">6.4 Other lookahead surfaces</w:t>
      </w:r>
    </w:p>
    <w:p>
      <w:pPr>
        <w:pStyle w:val="ListParagraph"/>
        <w:numPr>
          <w:ilvl w:val="0"/>
          <w:numId w:val="2"/>
        </w:numPr>
        <w:spacing w:after="60"/>
      </w:pPr>
      <w:r>
        <w:t xml:space="preserve">No earnings dates, no analyst estimates, no fundamentals here. Nothing to leak from this dataset on those channels, but any strategy needing them must source PIT versions externally and join with the same care.</w:t>
      </w:r>
    </w:p>
    <w:p>
      <w:pPr>
        <w:pStyle w:val="ListParagraph"/>
        <w:numPr>
          <w:ilvl w:val="0"/>
          <w:numId w:val="2"/>
        </w:numPr>
        <w:spacing w:after="60"/>
      </w:pPr>
      <w:r>
        <w:t xml:space="preserve">Index constituent changes (the actual moves of names in/out of each file) can themselves be predictive — but using "who joined SP500 in month M" before month M's announcement is lookahead. Treat additions/deletions as visible only at the snapshot date.</w:t>
      </w:r>
    </w:p>
    <w:p>
      <w:r>
        <w:br w:type="page"/>
      </w:r>
    </w:p>
    <w:p>
      <w:pPr>
        <w:pStyle w:val="Heading1"/>
      </w:pPr>
      <w:r>
        <w:t xml:space="preserve">7. Data Quality Issues</w:t>
      </w:r>
    </w:p>
    <w:p>
      <w:pPr>
        <w:spacing w:after="100"/>
      </w:pPr>
      <w:r>
        <w:t xml:space="preserve">Quality is generally high. The audit below summarizes what passed cleanly, what needs handling, and what is suspicious enough to investigate before relying on.</w:t>
      </w:r>
    </w:p>
    <w:p>
      <w:pPr>
        <w:pStyle w:val="Heading2"/>
      </w:pPr>
      <w:r>
        <w:t xml:space="preserve">7.1 Passes (sanity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Check</w:t>
            </w:r>
          </w:p>
        </w:tc>
        <w:tc>
          <w:tcPr>
            <w:tcW w:type="dxa" w:w="45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Result</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(ID, DATE) duplicates — all three PIT files</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0</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Non-positive Price (SP500)</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0</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ETF OHLC sanity (High ≥ max(O,C), Low ≤ min(O,C), High ≥ Low)</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0 violations</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DATE always within ID_DATE's month (SP500)</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100% of rows</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ID_DATE == PIT_Member_Date</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100% of rows, all files</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Same-month overlap across SP400/SP500/SP600</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 row total (AMTM 2025-05-31)</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GICS_Sector changes within a single ID's life (SP500)</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0 IDs</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Weekday rows with Price present but Volume = 0</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0</w:t>
            </w:r>
          </w:p>
        </w:tc>
      </w:tr>
      <w:tr>
        <w:tc>
          <w:tcPr>
            <w:tcW w:type="dxa" w:w="4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US business-day calendar match (SPY vs pandas business-day grid)</w:t>
            </w:r>
          </w:p>
        </w:tc>
        <w:tc>
          <w:tcPr>
            <w:tcW w:type="dxa" w:w="45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2,475 / 2,567 — the 92 missing are US market holidays</w:t>
            </w:r>
          </w:p>
        </w:tc>
      </w:tr>
    </w:tbl>
    <w:p>
      <w:pPr>
        <w:pStyle w:val="Heading2"/>
      </w:pPr>
      <w:r>
        <w:t xml:space="preserve">7.2 Known patterns to handle</w:t>
      </w:r>
    </w:p>
    <w:p>
      <w:pPr>
        <w:pStyle w:val="ListParagraph"/>
        <w:numPr>
          <w:ilvl w:val="0"/>
          <w:numId w:val="2"/>
        </w:numPr>
        <w:spacing w:after="60"/>
      </w:pPr>
      <w:r>
        <w:t xml:space="preserve">Calendar-day grid: ~28% of PIT rows are weekend, all with NaN financials. Filter at load.</w:t>
      </w:r>
    </w:p>
    <w:p>
      <w:pPr>
        <w:pStyle w:val="ListParagraph"/>
        <w:numPr>
          <w:ilvl w:val="0"/>
          <w:numId w:val="2"/>
        </w:numPr>
        <w:spacing w:after="60"/>
      </w:pPr>
      <w:r>
        <w:t xml:space="preserve">Weekday Price NaN ~8-9%: driven by intra-month entries/exits, US market holidays, and tickers that were members of the snapshot but did not trade on a given day (suspensions, halts, pre-listing, post-delisting). Do not forward-fill — treat NaN as "no observation," not "price unchanged."</w:t>
      </w:r>
    </w:p>
    <w:p>
      <w:pPr>
        <w:pStyle w:val="ListParagraph"/>
        <w:numPr>
          <w:ilvl w:val="0"/>
          <w:numId w:val="2"/>
        </w:numPr>
        <w:spacing w:after="60"/>
      </w:pPr>
      <w:r>
        <w:t xml:space="preserve">GICS NaN cluster: very small — ~1-3 IDs/year in early SP500 snapshots, growing to ~17 IDs total across SP600 (typically REIT-format or hard-to-classify newcomers). Two options: drop, or assign a "Misc" sector with explicit awareness of the bias.</w:t>
      </w:r>
    </w:p>
    <w:p>
      <w:pPr>
        <w:pStyle w:val="ListParagraph"/>
        <w:numPr>
          <w:ilvl w:val="0"/>
          <w:numId w:val="2"/>
        </w:numPr>
        <w:spacing w:after="60"/>
      </w:pPr>
      <w:r>
        <w:t xml:space="preserve">Back-adjusted Volume and Shares_Out: when a name had a forward split in 2020-2024, its 2016-2019 Volume in this file is scaled down by the split ratio (and vice versa for reverse splits). Verified on NVDA (10:1, 2024-06) and AAPL (4:1, 2020-08). Dollar volume (Price × Volume) is internally consistent and is the right liquidity primitive.</w:t>
      </w:r>
    </w:p>
    <w:p>
      <w:pPr>
        <w:pStyle w:val="Heading2"/>
      </w:pPr>
      <w:r>
        <w:t xml:space="preserve">7.3 Outliers worth investigating before they hit production</w:t>
      </w:r>
    </w:p>
    <w:p>
      <w:pPr>
        <w:spacing w:after="100"/>
      </w:pPr>
      <w:r>
        <w:t xml:space="preserve">Six SP500 (ID, DATE) pairs show |daily return| &gt; 50% on a weekday between two consecutive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ID</w:t>
            </w:r>
          </w:p>
        </w:tc>
        <w:tc>
          <w:tcPr>
            <w:tcW w:type="dxa" w:w="14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DATE</w:t>
            </w:r>
          </w:p>
        </w:tc>
        <w:tc>
          <w:tcPr>
            <w:tcW w:type="dxa" w:w="120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Return</w:t>
            </w:r>
          </w:p>
        </w:tc>
        <w:tc>
          <w:tcPr>
            <w:tcW w:type="dxa" w:w="4960"/>
            <w:tcBorders>
              <w:top w:val="single" w:color="CCCCCC" w:sz="4"/>
              <w:left w:val="single" w:color="CCCCCC" w:sz="4"/>
              <w:bottom w:val="single" w:color="CCCCCC" w:sz="4"/>
              <w:right w:val="single" w:color="CCCCCC" w:sz="4"/>
            </w:tcBorders>
            <w:shd w:fill="1F3A5F" w:val="clear"/>
            <w:tcMar>
              <w:top w:type="dxa" w:w="90"/>
              <w:left w:type="dxa" w:w="130"/>
              <w:bottom w:type="dxa" w:w="90"/>
              <w:right w:type="dxa" w:w="130"/>
            </w:tcMar>
          </w:tcPr>
          <w:p>
            <w:pPr>
              <w:jc w:val="left"/>
            </w:pPr>
            <w:r>
              <w:rPr>
                <w:b/>
                <w:bCs/>
                <w:color w:val="FFFFFF"/>
                <w:sz w:val="20"/>
                <w:szCs w:val="20"/>
              </w:rPr>
              <w:t xml:space="preserve">Likely cause</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APA UN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2020-03-09</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-53.9%</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Oil price war / COVID crash — REAL.</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OXY UN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2020-03-09</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-53.4%</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Same — REAL.</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FRCB UN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2023-03-13</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-61.8%</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First Republic Bank during the SVB contagion — REAL.</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GL UN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2024-04-11</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-53.1%</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Globe Life / Fuzzy Panda short report — REAL.</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EQT UN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2022-10-03</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+125.8%</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SUSPECT. EQT had no split or major news on this date. Sits adjacent to two weekday NaN rows (2022-10-01 a Saturday, but 10-02 is Sunday — actual NaN gap is normal). Verify with an alternative price source.</w:t>
            </w:r>
          </w:p>
        </w:tc>
      </w:tr>
      <w:tr>
        <w:tc>
          <w:tcPr>
            <w:tcW w:type="dxa" w:w="18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FSLR UW Equity</w:t>
            </w:r>
          </w:p>
        </w:tc>
        <w:tc>
          <w:tcPr>
            <w:tcW w:type="dxa" w:w="14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2022-12-01</w:t>
            </w:r>
          </w:p>
        </w:tc>
        <w:tc>
          <w:tcPr>
            <w:tcW w:type="dxa" w:w="120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+365.7%</w:t>
            </w:r>
          </w:p>
        </w:tc>
        <w:tc>
          <w:tcPr>
            <w:tcW w:type="dxa" w:w="4960"/>
            <w:tcBorders>
              <w:top w:val="single" w:color="CCCCCC" w:sz="4"/>
              <w:left w:val="single" w:color="CCCCCC" w:sz="4"/>
              <w:bottom w:val="single" w:color="CCCCCC" w:sz="4"/>
              <w:right w:val="single" w:color="CCCCCC" w:sz="4"/>
            </w:tcBorders>
            <w:tcMar>
              <w:top w:type="dxa" w:w="90"/>
              <w:left w:type="dxa" w:w="130"/>
              <w:bottom w:type="dxa" w:w="90"/>
              <w:right w:type="dxa" w:w="130"/>
            </w:tcMar>
          </w:tcPr>
          <w:p>
            <w:pPr>
              <w:jc w:val="left"/>
            </w:pPr>
            <w:r>
              <w:rPr>
                <w:b w:val="false"/>
                <w:bCs w:val="false"/>
                <w:sz w:val="20"/>
                <w:szCs w:val="20"/>
              </w:rPr>
              <w:t xml:space="preserve">SUSPECT. First Solar's actual price moved &lt; 1% that day. Likely an index-entry stitching artifact: FSLR was added to SP500 in the 2022-12-31 snapshot, and its pre-entry price record in this file ($36.20 on the prior day) is inconsistent with the entry-day price ($168.54). Verify before using.</w:t>
            </w:r>
          </w:p>
        </w:tc>
      </w:tr>
    </w:tbl>
    <w:p>
      <w:pPr>
        <w:spacing w:after="100"/>
      </w:pPr>
      <w:r>
        <w:t xml:space="preserve">The two suspect rows should be flagged in any pre-processing pipeline. Both are legitimate index events (EQT was a continuous member, FSLR was a new entrant), but the as-published values don't reconcile with external sources and look like a vendor adjustment glitch. Recommendation: winsorize daily returns at a 50% absolute threshold and log the affected (ID, DATE) pairs to a quarantine table for manual review.</w:t>
      </w:r>
    </w:p>
    <w:p>
      <w:pPr>
        <w:pStyle w:val="Heading2"/>
      </w:pPr>
      <w:r>
        <w:t xml:space="preserve">7.4 Asymmetry between PIT and ETF return conventions</w:t>
      </w:r>
    </w:p>
    <w:p>
      <w:pPr>
        <w:spacing w:after="100"/>
      </w:pPr>
      <w:r>
        <w:t xml:space="preserve">PIT Price is split-adjusted but NOT dividend-adjusted. ETF Adj_Close IS dividend-adjusted (total return). Mixing them without normalization is wrong. For apples-to-apples returns: derive a stock's total return path by combining Price.pct_change() with an external dividend feed, or convert ETF Adj_Close into a price-return series via Close.pct_change(). Pick one convention up front and enforce it in the loader.</w:t>
      </w:r>
    </w:p>
    <w:p>
      <w:pPr>
        <w:pStyle w:val="Heading1"/>
      </w:pPr>
      <w:r>
        <w:t xml:space="preserve">8. Information Content</w:t>
      </w:r>
    </w:p>
    <w:p>
      <w:pPr>
        <w:spacing w:after="100"/>
      </w:pPr>
      <w:r>
        <w:t xml:space="preserve">What is actually in each channel, framed for the kind of signal extraction you'll be doing. This is descriptive — no strategies, just the inventory of what is in the data and what isn't.</w:t>
      </w:r>
    </w:p>
    <w:p>
      <w:pPr>
        <w:pStyle w:val="Heading2"/>
      </w:pPr>
      <w:r>
        <w:t xml:space="preserve">8.1 Prices</w:t>
      </w:r>
    </w:p>
    <w:p>
      <w:pPr>
        <w:pStyle w:val="ListParagraph"/>
        <w:numPr>
          <w:ilvl w:val="0"/>
          <w:numId w:val="2"/>
        </w:numPr>
        <w:spacing w:after="60"/>
      </w:pPr>
      <w:r>
        <w:t xml:space="preserve">Daily close, split-adjusted. Sufficient for: cross-sectional return series, factor exposures via regressions, momentum/reversal/volatility/correlation estimation, beta to ETFs.</w:t>
      </w:r>
    </w:p>
    <w:p>
      <w:pPr>
        <w:pStyle w:val="ListParagraph"/>
        <w:numPr>
          <w:ilvl w:val="0"/>
          <w:numId w:val="2"/>
        </w:numPr>
        <w:spacing w:after="60"/>
      </w:pPr>
      <w:r>
        <w:t xml:space="preserve">OHLC available on the ETF side only. PIT file gives close only — no intraday range, so no daily-range volatility (Parkinson, Garman-Klass), no overnight-vs-intraday decomposition for single names.</w:t>
      </w:r>
    </w:p>
    <w:p>
      <w:pPr>
        <w:pStyle w:val="ListParagraph"/>
        <w:numPr>
          <w:ilvl w:val="0"/>
          <w:numId w:val="2"/>
        </w:numPr>
        <w:spacing w:after="60"/>
      </w:pPr>
      <w:r>
        <w:t xml:space="preserve">Total return missing on single names — dividends not represented. Any signal that depends on total-return (e.g., dividend-yield strategies, total-return momentum at horizons where yield matters) requires an external feed.</w:t>
      </w:r>
    </w:p>
    <w:p>
      <w:pPr>
        <w:pStyle w:val="ListParagraph"/>
        <w:numPr>
          <w:ilvl w:val="0"/>
          <w:numId w:val="2"/>
        </w:numPr>
        <w:spacing w:after="60"/>
      </w:pPr>
      <w:r>
        <w:t xml:space="preserve">Absolute price levels are NOT informative due to back-adjustment. Do not build features on raw $-levels (e.g., "trade only stocks &gt; $10").</w:t>
      </w:r>
    </w:p>
    <w:p>
      <w:pPr>
        <w:pStyle w:val="Heading2"/>
      </w:pPr>
      <w:r>
        <w:t xml:space="preserve">8.2 Volume</w:t>
      </w:r>
    </w:p>
    <w:p>
      <w:pPr>
        <w:pStyle w:val="ListParagraph"/>
        <w:numPr>
          <w:ilvl w:val="0"/>
          <w:numId w:val="2"/>
        </w:numPr>
        <w:spacing w:after="60"/>
      </w:pPr>
      <w:r>
        <w:t xml:space="preserve">Daily share volume, back-adjusted. With Price gives dollar volume — your primary liquidity proxy.</w:t>
      </w:r>
    </w:p>
    <w:p>
      <w:pPr>
        <w:pStyle w:val="ListParagraph"/>
        <w:numPr>
          <w:ilvl w:val="0"/>
          <w:numId w:val="2"/>
        </w:numPr>
        <w:spacing w:after="60"/>
      </w:pPr>
      <w:r>
        <w:t xml:space="preserve">Useful for: ADV-based universe filters (top-N or threshold), liquidity-aware position sizing, capacity estimation, abnormal-volume detection, turnover-adjusted signals.</w:t>
      </w:r>
    </w:p>
    <w:p>
      <w:pPr>
        <w:pStyle w:val="ListParagraph"/>
        <w:numPr>
          <w:ilvl w:val="0"/>
          <w:numId w:val="2"/>
        </w:numPr>
        <w:spacing w:after="60"/>
      </w:pPr>
      <w:r>
        <w:t xml:space="preserve">No intraday volume breakdown, no trade count, no auction/regular split. For single names you also can't separate open/close auction volume from continuous trading.</w:t>
      </w:r>
    </w:p>
    <w:p>
      <w:pPr>
        <w:pStyle w:val="ListParagraph"/>
        <w:numPr>
          <w:ilvl w:val="0"/>
          <w:numId w:val="2"/>
        </w:numPr>
        <w:spacing w:after="60"/>
      </w:pPr>
      <w:r>
        <w:t xml:space="preserve">Cross-sectional comparison across years is valid only on dollar terms. Share counts are not comparable in raw form due to splits.</w:t>
      </w:r>
    </w:p>
    <w:p>
      <w:pPr>
        <w:pStyle w:val="Heading2"/>
      </w:pPr>
      <w:r>
        <w:t xml:space="preserve">8.3 Industry classifications (GICS)</w:t>
      </w:r>
    </w:p>
    <w:p>
      <w:pPr>
        <w:pStyle w:val="ListParagraph"/>
        <w:numPr>
          <w:ilvl w:val="0"/>
          <w:numId w:val="2"/>
        </w:numPr>
        <w:spacing w:after="60"/>
      </w:pPr>
      <w:r>
        <w:t xml:space="preserve">Four-level taxonomy attached to each PIT row: Sector → Industry Group → Industry → Sub-Industry. Stable per ID over its life.</w:t>
      </w:r>
    </w:p>
    <w:p>
      <w:pPr>
        <w:pStyle w:val="ListParagraph"/>
        <w:numPr>
          <w:ilvl w:val="0"/>
          <w:numId w:val="2"/>
        </w:numPr>
        <w:spacing w:after="60"/>
      </w:pPr>
      <w:r>
        <w:t xml:space="preserve">Useful for: sector neutralization of L/S exposures (mandatory at institutional scale), within-sector cross-sectional ranking, industry-momentum, sector dispersion measures, intra-industry pair construction, factor decomposition.</w:t>
      </w:r>
    </w:p>
    <w:p>
      <w:pPr>
        <w:pStyle w:val="ListParagraph"/>
        <w:numPr>
          <w:ilvl w:val="0"/>
          <w:numId w:val="2"/>
        </w:numPr>
        <w:spacing w:after="60"/>
      </w:pPr>
      <w:r>
        <w:t xml:space="preserve">Sector ETFs (11 SPDRs: XLB/XLC/XLE/XLF/XLI/XLK/XLP/XLRE/XLU/XLV/XLY) provide a hedging instrument set that maps cleanly onto GICS Level 1 — natural choice for cash-neutral or sector-neutral overlays.</w:t>
      </w:r>
    </w:p>
    <w:p>
      <w:pPr>
        <w:pStyle w:val="ListParagraph"/>
        <w:numPr>
          <w:ilvl w:val="0"/>
          <w:numId w:val="2"/>
        </w:numPr>
        <w:spacing w:after="60"/>
      </w:pPr>
      <w:r>
        <w:t xml:space="preserve">Limit: 2018 Telecom → Communication Services reclassification is invisible (sector codes are forward-looking). Sub-industry stability also conceals individual S&amp;P reassignments that did happen in real time.</w:t>
      </w:r>
    </w:p>
    <w:p>
      <w:pPr>
        <w:pStyle w:val="ListParagraph"/>
        <w:numPr>
          <w:ilvl w:val="0"/>
          <w:numId w:val="2"/>
        </w:numPr>
        <w:spacing w:after="60"/>
      </w:pPr>
      <w:r>
        <w:t xml:space="preserve">No country, no listing-venue weight, no factor-style classification (growth/value beyond what the data implies). These have to be derived or sourced.</w:t>
      </w:r>
    </w:p>
    <w:p>
      <w:pPr>
        <w:pStyle w:val="Heading2"/>
      </w:pPr>
      <w:r>
        <w:t xml:space="preserve">8.4 What is missing</w:t>
      </w:r>
    </w:p>
    <w:p>
      <w:pPr>
        <w:pStyle w:val="ListParagraph"/>
        <w:numPr>
          <w:ilvl w:val="0"/>
          <w:numId w:val="2"/>
        </w:numPr>
        <w:spacing w:after="60"/>
      </w:pPr>
      <w:r>
        <w:t xml:space="preserve">Fundamentals (earnings, revenue, book value, leverage). Required for any factor strategy beyond pure technicals.</w:t>
      </w:r>
    </w:p>
    <w:p>
      <w:pPr>
        <w:pStyle w:val="ListParagraph"/>
        <w:numPr>
          <w:ilvl w:val="0"/>
          <w:numId w:val="2"/>
        </w:numPr>
        <w:spacing w:after="60"/>
      </w:pPr>
      <w:r>
        <w:t xml:space="preserve">Earnings announcement dates. Necessary for event-driven research and for excluding earnings windows.</w:t>
      </w:r>
    </w:p>
    <w:p>
      <w:pPr>
        <w:pStyle w:val="ListParagraph"/>
        <w:numPr>
          <w:ilvl w:val="0"/>
          <w:numId w:val="2"/>
        </w:numPr>
        <w:spacing w:after="60"/>
      </w:pPr>
      <w:r>
        <w:t xml:space="preserve">Short interest, days-to-cover, borrow rates. Needed for realistic L/S simulation and crowdedness measurement.</w:t>
      </w:r>
    </w:p>
    <w:p>
      <w:pPr>
        <w:pStyle w:val="ListParagraph"/>
        <w:numPr>
          <w:ilvl w:val="0"/>
          <w:numId w:val="2"/>
        </w:numPr>
        <w:spacing w:after="60"/>
      </w:pPr>
      <w:r>
        <w:t xml:space="preserve">Corporate actions detail beyond what's implied by adjustment (dividend amounts, ex-dates, special dividends, spinoff ratios).</w:t>
      </w:r>
    </w:p>
    <w:p>
      <w:pPr>
        <w:pStyle w:val="ListParagraph"/>
        <w:numPr>
          <w:ilvl w:val="0"/>
          <w:numId w:val="2"/>
        </w:numPr>
        <w:spacing w:after="60"/>
      </w:pPr>
      <w:r>
        <w:t xml:space="preserve">Analyst estimates and revisions.</w:t>
      </w:r>
    </w:p>
    <w:p>
      <w:pPr>
        <w:pStyle w:val="ListParagraph"/>
        <w:numPr>
          <w:ilvl w:val="0"/>
          <w:numId w:val="2"/>
        </w:numPr>
        <w:spacing w:after="60"/>
      </w:pPr>
      <w:r>
        <w:t xml:space="preserve">Country and currency exposure for global-name dual listings (immaterial at S&amp;P 1500 scope but worth noting if you ever broaden the universe).</w:t>
      </w:r>
    </w:p>
    <w:p>
      <w:pPr>
        <w:pStyle w:val="ListParagraph"/>
        <w:numPr>
          <w:ilvl w:val="0"/>
          <w:numId w:val="2"/>
        </w:numPr>
        <w:spacing w:after="60"/>
      </w:pPr>
      <w:r>
        <w:t xml:space="preserve">Intraday data: OHLC absent on single names, no minute bars anywhere, no quotes or trades.</w:t>
      </w:r>
    </w:p>
    <w:p>
      <w:r>
        <w:br w:type="page"/>
      </w:r>
    </w:p>
    <w:p>
      <w:pPr>
        <w:pStyle w:val="Heading1"/>
      </w:pPr>
      <w:r>
        <w:t xml:space="preserve">9. Loader and Preprocessing Standards</w:t>
      </w:r>
    </w:p>
    <w:p>
      <w:pPr>
        <w:spacing w:after="100"/>
      </w:pPr>
      <w:r>
        <w:t xml:space="preserve">Before any research starts, the team standardizes on the following ingestion rules. Encode them once in a shared loader, run unit tests against a fixed sample, and have every notebook import from there.</w:t>
      </w:r>
    </w:p>
    <w:p>
      <w:pPr>
        <w:pStyle w:val="ListParagraph"/>
        <w:numPr>
          <w:ilvl w:val="0"/>
          <w:numId w:val="2"/>
        </w:numPr>
        <w:spacing w:after="60"/>
      </w:pPr>
      <w:r>
        <w:t xml:space="preserve">Drop the PIT_Member_Date column on load (redundant with ID_DATE).</w:t>
      </w:r>
    </w:p>
    <w:p>
      <w:pPr>
        <w:pStyle w:val="ListParagraph"/>
        <w:numPr>
          <w:ilvl w:val="0"/>
          <w:numId w:val="2"/>
        </w:numPr>
        <w:spacing w:after="60"/>
      </w:pPr>
      <w:r>
        <w:t xml:space="preserve">Filter out weekend rows and rows where Price is NaN; do not forward-fill.</w:t>
      </w:r>
    </w:p>
    <w:p>
      <w:pPr>
        <w:pStyle w:val="ListParagraph"/>
        <w:numPr>
          <w:ilvl w:val="0"/>
          <w:numId w:val="2"/>
        </w:numPr>
        <w:spacing w:after="60"/>
      </w:pPr>
      <w:r>
        <w:t xml:space="preserve">Construct membership-at-date(D) by selecting the snapshot whose ID_DATE = max(ID_DATE &lt; D). Never use the same-month snapshot for trading decisions made before its month-end.</w:t>
      </w:r>
    </w:p>
    <w:p>
      <w:pPr>
        <w:pStyle w:val="ListParagraph"/>
        <w:numPr>
          <w:ilvl w:val="0"/>
          <w:numId w:val="2"/>
        </w:numPr>
        <w:spacing w:after="60"/>
      </w:pPr>
      <w:r>
        <w:t xml:space="preserve">Compute returns as Price.pct_change() within each ID's filtered series. Drop the first day for each ID after a non-trading gap &gt; N business days (choose N = 5).</w:t>
      </w:r>
    </w:p>
    <w:p>
      <w:pPr>
        <w:pStyle w:val="ListParagraph"/>
        <w:numPr>
          <w:ilvl w:val="0"/>
          <w:numId w:val="2"/>
        </w:numPr>
        <w:spacing w:after="60"/>
      </w:pPr>
      <w:r>
        <w:t xml:space="preserve">Use Market_Cap for size buckets, Price × Volume for liquidity filters. Never use Price or Shares_Out alone.</w:t>
      </w:r>
    </w:p>
    <w:p>
      <w:pPr>
        <w:pStyle w:val="ListParagraph"/>
        <w:numPr>
          <w:ilvl w:val="0"/>
          <w:numId w:val="2"/>
        </w:numPr>
        <w:spacing w:after="60"/>
      </w:pPr>
      <w:r>
        <w:t xml:space="preserve">Sector-neutralize using GICS_Sector. For pre-2018-09 dates, document the Telecom/Communication-Services issue but keep using the labels as-is for consistency.</w:t>
      </w:r>
    </w:p>
    <w:p>
      <w:pPr>
        <w:pStyle w:val="ListParagraph"/>
        <w:numPr>
          <w:ilvl w:val="0"/>
          <w:numId w:val="2"/>
        </w:numPr>
        <w:spacing w:after="60"/>
      </w:pPr>
      <w:r>
        <w:t xml:space="preserve">Quarantine the EQT 2022-10-03 and FSLR 2022-12-01 rows pending external reconciliation. Apply a 50% daily-return winsorization in pre-processing and flag every clipped (ID, DATE) for review.</w:t>
      </w:r>
    </w:p>
    <w:p>
      <w:pPr>
        <w:pStyle w:val="ListParagraph"/>
        <w:numPr>
          <w:ilvl w:val="0"/>
          <w:numId w:val="2"/>
        </w:numPr>
        <w:spacing w:after="60"/>
      </w:pPr>
      <w:r>
        <w:t xml:space="preserve">Reconcile PIT vs ETF return conventions: standardize on price returns from Close throughout, and source a dividend feed if total-return signals are needed.</w:t>
      </w:r>
    </w:p>
    <w:p>
      <w:pPr>
        <w:pStyle w:val="ListParagraph"/>
        <w:numPr>
          <w:ilvl w:val="0"/>
          <w:numId w:val="2"/>
        </w:numPr>
        <w:spacing w:after="60"/>
      </w:pPr>
      <w:r>
        <w:t xml:space="preserve">When merging PIT with the ETF file, key on Date (ETF) = DATE (PIT) and filter to business days first.</w:t>
      </w:r>
    </w:p>
    <w:p>
      <w:pPr>
        <w:pStyle w:val="ListParagraph"/>
        <w:numPr>
          <w:ilvl w:val="0"/>
          <w:numId w:val="2"/>
        </w:numPr>
        <w:spacing w:after="60"/>
      </w:pPr>
      <w:r>
        <w:t xml:space="preserve">Build a one-time validation notebook that re-runs the audit checks in this document on every data refresh and fails CI on regression.</w:t>
      </w:r>
    </w:p>
    <w:p>
      <w:pPr>
        <w:pStyle w:val="Heading1"/>
      </w:pPr>
      <w:r>
        <w:t xml:space="preserve">10. Open Questions for the Data Vendor</w:t>
      </w:r>
    </w:p>
    <w:p>
      <w:pPr>
        <w:pStyle w:val="ListParagraph"/>
        <w:numPr>
          <w:ilvl w:val="0"/>
          <w:numId w:val="2"/>
        </w:numPr>
        <w:spacing w:after="60"/>
      </w:pPr>
      <w:r>
        <w:t xml:space="preserve">Confirm the volume back-adjustment convention end-to-end (PIT Volume divided by cumulative subsequent split ratio? Verified empirically on NVDA/AAPL but vendor confirmation is cheaper than a wrong assumption).</w:t>
      </w:r>
    </w:p>
    <w:p>
      <w:pPr>
        <w:pStyle w:val="ListParagraph"/>
        <w:numPr>
          <w:ilvl w:val="0"/>
          <w:numId w:val="2"/>
        </w:numPr>
        <w:spacing w:after="60"/>
      </w:pPr>
      <w:r>
        <w:t xml:space="preserve">Why does FSLR show a $36.20 price one day before its 2022-12-31 snapshot entry while the actual FSLR price was ~$168? Is this an index-entry stitching artifact or a real data error?</w:t>
      </w:r>
    </w:p>
    <w:p>
      <w:pPr>
        <w:pStyle w:val="ListParagraph"/>
        <w:numPr>
          <w:ilvl w:val="0"/>
          <w:numId w:val="2"/>
        </w:numPr>
        <w:spacing w:after="60"/>
      </w:pPr>
      <w:r>
        <w:t xml:space="preserve">Same for EQT 2022-10-03 +125.8%: any known corporate-action processing that would explain it?</w:t>
      </w:r>
    </w:p>
    <w:p>
      <w:pPr>
        <w:pStyle w:val="ListParagraph"/>
        <w:numPr>
          <w:ilvl w:val="0"/>
          <w:numId w:val="2"/>
        </w:numPr>
        <w:spacing w:after="60"/>
      </w:pPr>
      <w:r>
        <w:t xml:space="preserve">Are GICS codes the current taxonomy applied retrospectively, or did the vendor track the 2018 GICS reclassification dynamically? (Stability across history suggests the former — confirm.)</w:t>
      </w:r>
    </w:p>
    <w:p>
      <w:pPr>
        <w:pStyle w:val="ListParagraph"/>
        <w:numPr>
          <w:ilvl w:val="0"/>
          <w:numId w:val="2"/>
        </w:numPr>
        <w:spacing w:after="60"/>
      </w:pPr>
      <w:r>
        <w:t xml:space="preserve">Does the vendor provide an Adj_Price column with dividend adjustment for single names? If yes, request it for the next refresh — it would close the asymmetry with the ETF Adj_Close.</w:t>
      </w:r>
    </w:p>
    <w:p>
      <w:pPr>
        <w:pStyle w:val="ListParagraph"/>
        <w:numPr>
          <w:ilvl w:val="0"/>
          <w:numId w:val="2"/>
        </w:numPr>
        <w:spacing w:after="60"/>
      </w:pPr>
      <w:r>
        <w:t xml:space="preserve">Are there any names where the "D" Bloomberg suffix is applied retroactively, vs. names that were renamed or rolled into successor tickers (no "D" applied)? Survivorship coverage hinges on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F3A5F"/>
        <w:sz w:val="18"/>
        <w:szCs w:val="18"/>
      </w:rPr>
      <w:t xml:space="preserve">Data Audit Report — US Equity L/S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2026-06-07T21:58:01.294Z</dcterms:created>
  <dcterms:modified xsi:type="dcterms:W3CDTF">2026-06-07T21:58:01.295Z</dcterms:modified>
</cp:coreProperties>
</file>

<file path=docProps/custom.xml><?xml version="1.0" encoding="utf-8"?>
<Properties xmlns="http://schemas.openxmlformats.org/officeDocument/2006/custom-properties" xmlns:vt="http://schemas.openxmlformats.org/officeDocument/2006/docPropsVTypes"/>
</file>