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i w:val="false"/>
          <w:iCs w:val="false"/>
          <w:color w:val="1F3A5F"/>
          <w:sz w:val="56"/>
          <w:szCs w:val="56"/>
        </w:rPr>
        <w:t xml:space="preserve">Research Design Document</w:t>
      </w:r>
    </w:p>
    <w:p>
      <w:pPr>
        <w:spacing w:after="120"/>
        <w:jc w:val="center"/>
      </w:pPr>
      <w:r>
        <w:rPr>
          <w:b w:val="false"/>
          <w:bCs w:val="false"/>
          <w:i w:val="false"/>
          <w:iCs w:val="false"/>
          <w:color w:val="1F3A5F"/>
          <w:sz w:val="32"/>
          <w:szCs w:val="32"/>
        </w:rPr>
        <w:t xml:space="preserve">Sub-Industry Leader-Follower Lead-Lag</w:t>
      </w:r>
    </w:p>
    <w:p>
      <w:pPr>
        <w:spacing w:after="600"/>
        <w:jc w:val="center"/>
      </w:pPr>
      <w:r>
        <w:rPr>
          <w:b w:val="false"/>
          <w:bCs w:val="false"/>
          <w:i/>
          <w:iCs/>
          <w:sz w:val="26"/>
          <w:szCs w:val="26"/>
        </w:rPr>
        <w:t xml:space="preserve">US Equity Long-Short</w:t>
      </w:r>
    </w:p>
    <w:p>
      <w:pPr>
        <w:spacing w:after="80"/>
        <w:jc w:val="center"/>
      </w:pPr>
      <w:r>
        <w:rPr>
          <w:b w:val="false"/>
          <w:bCs w:val="false"/>
          <w:i w:val="false"/>
          <w:iCs w:val="false"/>
          <w:sz w:val="22"/>
          <w:szCs w:val="22"/>
        </w:rPr>
        <w:t xml:space="preserve">Submitted to: Investment Committee</w:t>
      </w:r>
    </w:p>
    <w:p>
      <w:pPr>
        <w:spacing w:after="80"/>
        <w:jc w:val="center"/>
      </w:pPr>
      <w:r>
        <w:rPr>
          <w:b w:val="false"/>
          <w:bCs w:val="false"/>
          <w:i w:val="false"/>
          <w:iCs w:val="false"/>
          <w:sz w:val="22"/>
          <w:szCs w:val="22"/>
        </w:rPr>
        <w:t xml:space="preserve">Author: Head of Research</w:t>
      </w:r>
    </w:p>
    <w:p>
      <w:pPr>
        <w:spacing w:after="80"/>
        <w:jc w:val="center"/>
      </w:pPr>
      <w:r>
        <w:rPr>
          <w:b w:val="false"/>
          <w:bCs w:val="false"/>
          <w:i/>
          <w:iCs/>
          <w:sz w:val="22"/>
          <w:szCs w:val="22"/>
        </w:rPr>
        <w:t xml:space="preserve">Status: Pre-research proposal — for approval before implementation</w:t>
      </w:r>
    </w:p>
    <w:p>
      <w:pPr>
        <w:spacing w:after="80"/>
        <w:jc w:val="center"/>
      </w:pPr>
      <w:r>
        <w:rPr>
          <w:b w:val="false"/>
          <w:bCs w:val="false"/>
          <w:i w:val="false"/>
          <w:iCs w:val="false"/>
          <w:sz w:val="22"/>
          <w:szCs w:val="22"/>
        </w:rPr>
        <w:t xml:space="preserve">Date: June 8, 2026</w:t>
      </w:r>
    </w:p>
    <w:p>
      <w:r>
        <w:br w:type="page"/>
      </w:r>
    </w:p>
    <w:p>
      <w:pPr>
        <w:pStyle w:val="Heading1"/>
      </w:pPr>
      <w:r>
        <w:rPr>
          <w:b w:val="false"/>
          <w:bCs w:val="false"/>
          <w:i w:val="false"/>
          <w:iCs w:val="false"/>
          <w:sz w:val="22"/>
          <w:szCs w:val="22"/>
        </w:rPr>
        <w:t xml:space="preserve">Executive Summary</w:t>
      </w:r>
    </w:p>
    <w:p>
      <w:pPr>
        <w:spacing w:after="100"/>
      </w:pPr>
      <w:r>
        <w:rPr>
          <w:b w:val="false"/>
          <w:bCs w:val="false"/>
          <w:i w:val="false"/>
          <w:iCs w:val="false"/>
          <w:sz w:val="22"/>
          <w:szCs w:val="22"/>
        </w:rPr>
        <w:t xml:space="preserve">This proposal requests committee approval for a 14-week research project to test, validate, and prepare for production a long-short equity strategy based on within-GICS-Sub-Industry leader-follower lead-lag dynamics in the S&amp;P 1500 universe. The economic mechanism is bandwidth-limited information diffusion: cap-weighted leaders in each Sub-Industry attract a disproportionate share of sell-side coverage, passive-flow attention, and dealer activity. Their idiosyncratic returns reflect Sub-Industry information first; smaller peer names re-rate with a measurable lag because price discovery in them is bandwidth-constrained.</w:t>
      </w:r>
    </w:p>
    <w:p>
      <w:pPr>
        <w:spacing w:after="100"/>
      </w:pPr>
      <w:r>
        <w:rPr>
          <w:b w:val="false"/>
          <w:bCs w:val="false"/>
          <w:i w:val="false"/>
          <w:iCs w:val="false"/>
          <w:sz w:val="22"/>
          <w:szCs w:val="22"/>
        </w:rPr>
        <w:t xml:space="preserve">The research framework is pre-registered. The null hypothesis specifies that the leader's idiosyncratic return on day t is independent of the average follower's idiosyncratic return on days t+1 through t+5 after sector-ETF residualization. Rejection requires a positive coefficient that survives clustered-standard-error inference, multiple-comparison correction across the 163 GICS Sub-Industries, and out-of-sample validation on a held-out 2023-2025 sample. Expected gross IR is 1.0-1.4 with net IR of 0.5-0.8 after realistic transaction costs; expected capacity is $300-500M with the principal binding constraint coming from SP600 follower liquidity.</w:t>
      </w:r>
    </w:p>
    <w:p>
      <w:pPr>
        <w:spacing w:after="100"/>
      </w:pPr>
      <w:r>
        <w:rPr>
          <w:b w:val="false"/>
          <w:bCs w:val="false"/>
          <w:i w:val="false"/>
          <w:iCs w:val="false"/>
          <w:sz w:val="22"/>
          <w:szCs w:val="22"/>
        </w:rPr>
        <w:t xml:space="preserve">The research budget is one quantitative researcher for fourteen weeks plus two weeks of execution-desk paper trading. Kill criteria are pre-committed: rejection of H0 with FDR-corrected p &gt; 0.05 in the in-sample period; out-of-sample IR less than 50% of in-sample IR; concentration of the effect in three or fewer sectors. Production allocation contingent on Phase 4 paper-trading IR survival above 0.6 net of costs over sixty trading days.</w:t>
      </w:r>
    </w:p>
    <w:p>
      <w:r>
        <w:br w:type="page"/>
      </w:r>
    </w:p>
    <w:p>
      <w:pPr>
        <w:pStyle w:val="Heading1"/>
      </w:pPr>
      <w:r>
        <w:rPr>
          <w:b w:val="false"/>
          <w:bCs w:val="false"/>
          <w:i w:val="false"/>
          <w:iCs w:val="false"/>
          <w:sz w:val="22"/>
          <w:szCs w:val="22"/>
        </w:rPr>
        <w:t xml:space="preserve">1. Research Question</w:t>
      </w:r>
    </w:p>
    <w:p>
      <w:pPr>
        <w:spacing w:after="100"/>
      </w:pPr>
      <w:r>
        <w:rPr>
          <w:b w:val="false"/>
          <w:bCs w:val="false"/>
          <w:i w:val="false"/>
          <w:iCs w:val="false"/>
          <w:sz w:val="22"/>
          <w:szCs w:val="22"/>
        </w:rPr>
        <w:t xml:space="preserve">The research question, in its single testable form: after removing each name's exposure to its GICS-Sector SPDR ETF using a rolling 126-day beta, does the idiosyncratic daily return of the largest-market-cap name (the leader) within a GICS Sub-Industry positively predict the equal-weighted idiosyncratic return of the remaining members of that Sub-Industry (the followers) over the subsequent one to five trading days, with statistical and economic significance after correction for cross-sectional dependence and multiple testing across the universe of Sub-Industries?</w:t>
      </w:r>
    </w:p>
    <w:p>
      <w:pPr>
        <w:spacing w:after="100"/>
      </w:pPr>
      <w:r>
        <w:rPr>
          <w:b w:val="false"/>
          <w:bCs w:val="false"/>
          <w:i w:val="false"/>
          <w:iCs w:val="false"/>
          <w:sz w:val="22"/>
          <w:szCs w:val="22"/>
        </w:rPr>
        <w:t xml:space="preserve">The cross-section is daily; the unit of observation is (Sub-Industry, date); the prediction horizon is t+1 to t+5; the residualization is against the sector ETF; the leader is uniquely defined by trailing-21-day market-cap rank; the follower aggregate is equal-weighted across all non-leader members of the Sub-Industry meeting a liquidity floor of $5M average daily dollar volume.</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Investment committees require a single falsifiable claim, not a research theme. A research question that asks 'does X work' produces unfalsifiable studies because every parameter choice becomes free. By committing in writing to one cross-section, one residualization, one horizon, one leader definition, and one universe filter, the team forecloses on the parameter degrees of freedom that produce false positives in academic finance.</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An AQR-style fund defines the question precisely enough that the data requirements, the statistical procedure, and the rejection criterion are all implicit in the question. The question is reviewed and revised by senior researchers BEFORE data is queried. The question is restated verbatim in every subsequent document so that drift can be detected.</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most common error is to start with an exploratory analysis and let the question emerge from the results. This is the classical garden of forking paths: the question is implicitly fitted to the data and the resulting 'finding' is irreproducible. A secondary error is to pluralize the question — 'does X predict Y, and does X predict Z, and does X correlate with W?' — without correcting for the implicit multiple-comparison burden.</w:t>
      </w:r>
    </w:p>
    <w:p>
      <w:pPr>
        <w:pStyle w:val="Heading1"/>
      </w:pPr>
      <w:r>
        <w:rPr>
          <w:b w:val="false"/>
          <w:bCs w:val="false"/>
          <w:i w:val="false"/>
          <w:iCs w:val="false"/>
          <w:sz w:val="22"/>
          <w:szCs w:val="22"/>
        </w:rPr>
        <w:t xml:space="preserve">2. Economic Intuition</w:t>
      </w:r>
    </w:p>
    <w:p>
      <w:pPr>
        <w:spacing w:after="100"/>
      </w:pPr>
      <w:r>
        <w:rPr>
          <w:b w:val="false"/>
          <w:bCs w:val="false"/>
          <w:i w:val="false"/>
          <w:iCs w:val="false"/>
          <w:sz w:val="22"/>
          <w:szCs w:val="22"/>
        </w:rPr>
        <w:t xml:space="preserve">The economic intuition rests on three observable structural features of US equity markets. First, sell-side analyst coverage is allocated proportionally to market capitalization: a typical SP500 mega-cap name carries 25-35 active analyst estimates while a SP600 small-cap name carries 3-6. Industry information that originates at the macroeconomic level (commodity prices, regulatory announcements, end-demand shifts) is processed and broadcast by analysts whose mental capacity is allocated to the most-followed name in the Sub-Industry. Second, passive sector-ETF flows arrive at every constituent simultaneously, but the price impact is concentrated in the most-liquid name because the basket trade has to clear through the largest-spread, lowest-impact members first. Third, dealer inventory and options-market activity in cap-weighted leaders is multiples of that in followers, accelerating the leader's price discovery on any new information.</w:t>
      </w:r>
    </w:p>
    <w:p>
      <w:pPr>
        <w:spacing w:after="100"/>
      </w:pPr>
      <w:r>
        <w:rPr>
          <w:b w:val="false"/>
          <w:bCs w:val="false"/>
          <w:i w:val="false"/>
          <w:iCs w:val="false"/>
          <w:sz w:val="22"/>
          <w:szCs w:val="22"/>
        </w:rPr>
        <w:t xml:space="preserve">The composite implication is that an industry-level information event is processed first by the leader's price, then transmitted to peer prices through a combination of (a) analyst note publication, (b) sector-rotation flow following the leader's directional move, and (c) statistical arbitrage capital that begins to position followers once the leader's move is identified as fundamental rather than idiosyncratic. The first day after the leader's idiosyncratic move is the highest-conviction transmission window; the cumulative spillover decays over the following three to five days.</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An economic intuition makes the difference between alpha and data-mined noise. Without an ex-ante mechanism, the strategy is indistinguishable from a backtest that happened to fit historical data. With a mechanism, the team can predict which sub-environments should show the effect and which should not — a powerful out-of-sample check.</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insist on a mechanism that is falsifiable in principle. If the mechanism were wrong, what observation would we see? Here: if sell-side coverage were uniformly distributed, the effect should weaken; if passive ETF flow were the dominant channel, the effect should concentrate in high-ETF-ownership sub-industries; if dealer inventory drove the diffusion, the effect should be tightest at the highest-options-volume names. Each of these sub-tests becomes a robustness check.</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Researchers commonly confuse direction with mechanism. The mechanism is the causal channel; direction is the observable consequence. A study that finds positive predictability and concludes 'information diffusion' has only confirmed one consistent observation, not selected among competing mechanisms. The fix is to write down two or three alternative mechanisms before testing and ensure the empirical design discriminates among them.</w:t>
      </w:r>
    </w:p>
    <w:p>
      <w:pPr>
        <w:pStyle w:val="Heading1"/>
      </w:pPr>
      <w:r>
        <w:rPr>
          <w:b w:val="false"/>
          <w:bCs w:val="false"/>
          <w:i w:val="false"/>
          <w:iCs w:val="false"/>
          <w:sz w:val="22"/>
          <w:szCs w:val="22"/>
        </w:rPr>
        <w:t xml:space="preserve">3. Market Microstructure Intuition</w:t>
      </w:r>
    </w:p>
    <w:p>
      <w:pPr>
        <w:spacing w:after="100"/>
      </w:pPr>
      <w:r>
        <w:rPr>
          <w:b w:val="false"/>
          <w:bCs w:val="false"/>
          <w:i w:val="false"/>
          <w:iCs w:val="false"/>
          <w:sz w:val="22"/>
          <w:szCs w:val="22"/>
        </w:rPr>
        <w:t xml:space="preserve">The microstructure component complements the economic story by addressing the question of why the lag exists at all rather than being arbitraged to zero. Three structural frictions sustain the lag at the magnitudes we expect to measure.</w:t>
      </w:r>
    </w:p>
    <w:p>
      <w:pPr>
        <w:spacing w:after="100"/>
      </w:pPr>
      <w:r>
        <w:rPr>
          <w:b w:val="false"/>
          <w:bCs w:val="false"/>
          <w:i w:val="false"/>
          <w:iCs w:val="false"/>
          <w:sz w:val="22"/>
          <w:szCs w:val="22"/>
        </w:rPr>
        <w:t xml:space="preserve">First, bid-ask spreads in follower names are typically 2-5 times wider than in their cap-weighted leader, particularly in the SP600 cohort. Traders attempting to position followers in real time on the same intra-day signal pay enough in spread to consume the alpha. The strategy is profitable for systematic operators who can spread executions over the next session's full liquidity window but is not profitable for HFT actors who would otherwise arbitrage it.</w:t>
      </w:r>
    </w:p>
    <w:p>
      <w:pPr>
        <w:spacing w:after="100"/>
      </w:pPr>
      <w:r>
        <w:rPr>
          <w:b w:val="false"/>
          <w:bCs w:val="false"/>
          <w:i w:val="false"/>
          <w:iCs w:val="false"/>
          <w:sz w:val="22"/>
          <w:szCs w:val="22"/>
        </w:rPr>
        <w:t xml:space="preserve">Second, the closing auction in SP400 and SP600 names absorbs a disproportionate share of total daily volume — often 25-40% of the day's liquidity prints in the last 30 seconds. End-of-day institutional flow drives the auction, and that flow does not consistently respond to intraday lead-lag information. This creates a window where the leader's signal from earlier in the day has been published, processed, and posted on sell-side morning notes by the time the closing auction occurs, but the closing print still reflects the prior balance.</w:t>
      </w:r>
    </w:p>
    <w:p>
      <w:pPr>
        <w:spacing w:after="100"/>
      </w:pPr>
      <w:r>
        <w:rPr>
          <w:b w:val="false"/>
          <w:bCs w:val="false"/>
          <w:i w:val="false"/>
          <w:iCs w:val="false"/>
          <w:sz w:val="22"/>
          <w:szCs w:val="22"/>
        </w:rPr>
        <w:t xml:space="preserve">Third, market makers in follower names quote on inventory and dealer-flow considerations that adjust slowly relative to information events in the leader. The asymmetry creates a brief window — typically the open of day t+1 — when the follower price has not yet incorporated the leader's day-t signal.</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Microstructure realism prevents the team from designing a strategy that backtests beautifully but cannot be executed. The committee needs to see that the proposers have thought about how trades actually clear at realistic sizes.</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attach a microstructure assumption to every claim of alpha. The question is not whether the signal exists in the data but whether it is capturable given realistic execution. Spreads, impact, queue position, and venue fragmentation are all priced in advance and revisited after live trading.</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Junior researchers conflate the price series with executable prices. Backtests using close-to-close prices ignore the closing auction's flow asymmetry. Backtests using mid-quote prices assume zero spread, which is correct only for the top 100 SP500 names. The fix is to model expected execution cost per name per side, vary it by trading regime, and check sensitivity in the robustness section.</w:t>
      </w:r>
    </w:p>
    <w:p>
      <w:pPr>
        <w:pStyle w:val="Heading1"/>
      </w:pPr>
      <w:r>
        <w:rPr>
          <w:b w:val="false"/>
          <w:bCs w:val="false"/>
          <w:i w:val="false"/>
          <w:iCs w:val="false"/>
          <w:sz w:val="22"/>
          <w:szCs w:val="22"/>
        </w:rPr>
        <w:t xml:space="preserve">4. Information Diffusion Theory</w:t>
      </w:r>
    </w:p>
    <w:p>
      <w:pPr>
        <w:spacing w:after="100"/>
      </w:pPr>
      <w:r>
        <w:rPr>
          <w:b w:val="false"/>
          <w:bCs w:val="false"/>
          <w:i w:val="false"/>
          <w:iCs w:val="false"/>
          <w:sz w:val="22"/>
          <w:szCs w:val="22"/>
        </w:rPr>
        <w:t xml:space="preserve">The work is grounded in three lines of academic literature. Hong and Stein (1999) developed the canonical model of gradual information diffusion in which information about asset values is incorporated into prices with a population-dependent lag. Their model implies that returns of slowly-incorporating assets autocorrelate at horizons where information diffusion is incomplete. Lo and MacKinlay (1990) provided the empirical foundation by documenting positive serial correlation in size-sorted portfolios, with the size effect plausibly reflecting differential information processing speeds.</w:t>
      </w:r>
    </w:p>
    <w:p>
      <w:pPr>
        <w:spacing w:after="100"/>
      </w:pPr>
      <w:r>
        <w:rPr>
          <w:b w:val="false"/>
          <w:bCs w:val="false"/>
          <w:i w:val="false"/>
          <w:iCs w:val="false"/>
          <w:sz w:val="22"/>
          <w:szCs w:val="22"/>
        </w:rPr>
        <w:t xml:space="preserve">Hou (2007) extended this to industry-level lead-lag effects, demonstrating that the largest stocks in an industry predict the smallest within a few trading days. Hou's framework is the direct intellectual ancestor of this proposal. We extend it in three ways. First, we move from industry-level (74 GICS Industries) to Sub-Industry-level (163 buckets), increasing peer-group purity at the cost of smaller cohort sizes. Second, we residualize against the sector ETF rather than the market portfolio, isolating Sub-Industry-specific information from broad-market noise. Third, we use a strict point-in-time membership panel rather than current constituent lists, eliminating the survivorship bias that contaminates much of the academic literature.</w:t>
      </w:r>
    </w:p>
    <w:p>
      <w:pPr>
        <w:spacing w:after="100"/>
      </w:pPr>
      <w:r>
        <w:rPr>
          <w:b w:val="false"/>
          <w:bCs w:val="false"/>
          <w:i w:val="false"/>
          <w:iCs w:val="false"/>
          <w:sz w:val="22"/>
          <w:szCs w:val="22"/>
        </w:rPr>
        <w:t xml:space="preserve">Cohen and Frazzini (2008) documented economically related lead-lag effects using customer-supplier linkages, which provides external evidence that information diffusion is bandwidth-constrained at the firm level even when the linkage is well-defined. Their work suggests that lead-lag strategies survive in production because they are limited by attention and capacity, not by information availability.</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Anchoring the work in cited literature signals to the committee that the team has done the homework and is not reinventing the wheel. It also defines the precise contribution: what is genuinely new vs what is established.</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maintain internal literature reviews that track every published result relevant to live strategies. New proposals are positioned within this corpus; the committee asks 'what is the marginal evidence above what we already know?' The answer should be specific.</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Common mistakes include citing irrelevant papers ('there is academic support for momentum, therefore...'), treating the prior literature as a black box that need not be understood in detail, and failing to articulate how the proposed work would falsify or extend the cited work. The corrective is to identify the closest published precedent and state precisely how this proposal differs.</w:t>
      </w:r>
    </w:p>
    <w:p>
      <w:pPr>
        <w:pStyle w:val="Heading1"/>
      </w:pPr>
      <w:r>
        <w:rPr>
          <w:b w:val="false"/>
          <w:bCs w:val="false"/>
          <w:i w:val="false"/>
          <w:iCs w:val="false"/>
          <w:sz w:val="22"/>
          <w:szCs w:val="22"/>
        </w:rPr>
        <w:t xml:space="preserve">5. Null Hypothesis (H0)</w:t>
      </w:r>
    </w:p>
    <w:p>
      <w:pPr>
        <w:spacing w:after="100"/>
      </w:pPr>
      <w:r>
        <w:rPr>
          <w:b w:val="false"/>
          <w:bCs w:val="false"/>
          <w:i w:val="false"/>
          <w:iCs w:val="false"/>
          <w:sz w:val="22"/>
          <w:szCs w:val="22"/>
        </w:rPr>
        <w:t xml:space="preserve">H0: In the universe of GICS Sub-Industries with at least four S&amp;P 1500 members and a leader-cap-share between 20% and 70%, the daily idiosyncratic return of the cap-weighted leader at day t is independent of the equal-weighted idiosyncratic return of the followers at day t+k for k ∈ {1, 2, 3, 4, 5}. Equivalently, in the panel regression of follower aggregate residual returns on lagged leader residual returns with Sub-Industry and date fixed effects, the coefficient β_k satisfies E[β_k] = 0 for all k.</w:t>
      </w:r>
    </w:p>
    <w:p>
      <w:pPr>
        <w:spacing w:after="100"/>
      </w:pPr>
      <w:r>
        <w:rPr>
          <w:b w:val="false"/>
          <w:bCs w:val="false"/>
          <w:i w:val="false"/>
          <w:iCs w:val="false"/>
          <w:sz w:val="22"/>
          <w:szCs w:val="22"/>
        </w:rPr>
        <w:t xml:space="preserve">The test statistic is the t-statistic on β_k from the panel regression, with standard errors clustered two-way on Sub-Industry and date. Rejection at the 5% level requires the cluster-robust p-value below 0.05 for at least three of the five horizons after Benjamini-Hochberg correction for the family of five tests. Additionally, the in-sample finding must be replicated in the held-out 2023-2025 out-of-sample period with the same sign and at least 50% of the in-sample magnitude.</w:t>
      </w:r>
    </w:p>
    <w:p>
      <w:pPr>
        <w:spacing w:after="100"/>
      </w:pPr>
      <w:r>
        <w:rPr>
          <w:b w:val="false"/>
          <w:bCs w:val="false"/>
          <w:i w:val="false"/>
          <w:iCs w:val="false"/>
          <w:sz w:val="22"/>
          <w:szCs w:val="22"/>
        </w:rPr>
        <w:t xml:space="preserve">Failure to reject H0 — either because the coefficient is not statistically distinct from zero in-sample, or because the in-sample finding does not replicate out-of-sample — terminates the research program at the corresponding phase, with the budget reallocated per the kill-criteria table.</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An explicit, pre-registered null hypothesis is the strongest protection against confirmation bias. Without it, every result is open to motivated interpretation. With it, the committee knows in advance what would constitute a negative finding.</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treat the null hypothesis as a binding pre-commitment. The hypothesis is logged before data analysis begins, signed off by a senior researcher, and held immutable through the study. Modifications require explicit committee approval and a new pre-registration.</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most common mistake is implicit nullification: the researcher believes the strategy 'works' and constructs tests that confirm that belief. The fix is to write H0 in a form where the researcher cannot easily move the goalposts: specific cross-section, specific statistic, specific test, specific rejection criterion, specific multiple-comparison correction.</w:t>
      </w:r>
    </w:p>
    <w:p>
      <w:pPr>
        <w:pStyle w:val="Heading1"/>
      </w:pPr>
      <w:r>
        <w:rPr>
          <w:b w:val="false"/>
          <w:bCs w:val="false"/>
          <w:i w:val="false"/>
          <w:iCs w:val="false"/>
          <w:sz w:val="22"/>
          <w:szCs w:val="22"/>
        </w:rPr>
        <w:t xml:space="preserve">6. Alternative Hypothesis (H1)</w:t>
      </w:r>
    </w:p>
    <w:p>
      <w:pPr>
        <w:spacing w:after="100"/>
      </w:pPr>
      <w:r>
        <w:rPr>
          <w:b w:val="false"/>
          <w:bCs w:val="false"/>
          <w:i w:val="false"/>
          <w:iCs w:val="false"/>
          <w:sz w:val="22"/>
          <w:szCs w:val="22"/>
        </w:rPr>
        <w:t xml:space="preserve">H1: The lagged-residual-leader coefficient β_k is strictly positive for k ∈ {1, 2, 3} with magnitudes in the range 0.08 to 0.25, decaying monotonically as k increases. The effect is strongest in Sub-Industries with leader-cap-share between 30% and 60%; it weakens at the extremes of the cap-share distribution because heavily-dominated Sub-Industries have no real follower cross-section and balanced Sub-Industries have no dominant leader to transmit information first.</w:t>
      </w:r>
    </w:p>
    <w:p>
      <w:pPr>
        <w:spacing w:after="100"/>
      </w:pPr>
      <w:r>
        <w:rPr>
          <w:b w:val="false"/>
          <w:bCs w:val="false"/>
          <w:i w:val="false"/>
          <w:iCs w:val="false"/>
          <w:sz w:val="22"/>
          <w:szCs w:val="22"/>
        </w:rPr>
        <w:t xml:space="preserve">H1 makes three quantitative pre-commitments. The sign is positive. The magnitude range is specified in advance, ruling out results too small to trade (β &lt; 0.05 is economically uninteresting after transaction costs) and results too large to be credible (β &gt; 0.30 strongly suggests overfitting). The decay shape is monotonic, providing a falsifiable structural prediction beyond simple presence of an effect.</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Stating H1 quantitatively prevents the researcher from accepting any positive result as confirmation. An ex-ante range disciplines interpretation: a coefficient of 0.02 may be statistically significant in a large sample but does not satisfy H1.</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insist on quantitative priors in H1, often anchored to similar published effects. The exercise of writing H1 forces engagement with effect sizes from related literature and prevents the 'directionally correct but economically trivial' trap that consumes early-career research.</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most common error is to state H1 as the bare negation of H0 ('there is an effect'). A null result of β = 0.001 with p &lt; 0.001 in a large sample formally rejects H0 without supporting any tradable hypothesis. The fix is to require effect-size pre-commitment alongside statistical-significance pre-commitment.</w:t>
      </w:r>
    </w:p>
    <w:p>
      <w:pPr>
        <w:pStyle w:val="Heading1"/>
      </w:pPr>
      <w:r>
        <w:rPr>
          <w:b w:val="false"/>
          <w:bCs w:val="false"/>
          <w:i w:val="false"/>
          <w:iCs w:val="false"/>
          <w:sz w:val="22"/>
          <w:szCs w:val="22"/>
        </w:rPr>
        <w:t xml:space="preserve">7. Expected Alpha Source</w:t>
      </w:r>
    </w:p>
    <w:p>
      <w:pPr>
        <w:spacing w:after="100"/>
      </w:pPr>
      <w:r>
        <w:rPr>
          <w:b w:val="false"/>
          <w:bCs w:val="false"/>
          <w:i w:val="false"/>
          <w:iCs w:val="false"/>
          <w:sz w:val="22"/>
          <w:szCs w:val="22"/>
        </w:rPr>
        <w:t xml:space="preserve">The alpha source is a structural limits-to-arbitrage phenomenon rather than a classical risk premium. The economic surplus available to the strategy is paid by the marginal seller of follower-name shares who is not aware of (or not constrained to act on) the leader's recent idiosyncratic move. This is a behavioral-microstructural source: attention is bounded, sell-side bandwidth is bounded, and the cost of dedicated follower-name coverage is too high relative to the available alpha at the individual analyst level.</w:t>
      </w:r>
    </w:p>
    <w:p>
      <w:pPr>
        <w:spacing w:after="100"/>
      </w:pPr>
      <w:r>
        <w:rPr>
          <w:b w:val="false"/>
          <w:bCs w:val="false"/>
          <w:i w:val="false"/>
          <w:iCs w:val="false"/>
          <w:sz w:val="22"/>
          <w:szCs w:val="22"/>
        </w:rPr>
        <w:t xml:space="preserve">The alpha persists because the dispersed nature of the opportunity (small per-event magnitude, many events per day across 163 Sub-Industries) is unsuitable for fundamental investors who cannot pay the per-event research cost. Systematic operators can capture it precisely because the strategy aggregates across the cross-section. This is the textbook profile of a limits-to-arbitrage alpha: too small for fundamental capture, too dispersed for HFT, sized correctly for systematic medium-frequency strategies.</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The alpha source classification is what determines persistence and capacity. A risk-premium alpha persists indefinitely but is paid for risk-bearing. A limits-to-arbitrage alpha persists conditional on the limits remaining in place; if capacity floods the strategy, the alpha compresses.</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categorize every strategy by alpha source: risk premium, behavioral, structural, liquidity provision, or informational arbitrage. The categorization governs sizing, expected persistence, and monitoring. A limits-to-arbitrage strategy has explicit crowding-monitoring requirements that a risk-premium strategy does not.</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Researchers often fail to identify a source at all, defaulting to 'this is an anomaly' or 'this is alpha.' Anomaly status is not a source; it is an admission that the source has not been identified. The fix is to require explicit naming and characterization of the source in the proposal, with the implications for capacity, persistence, and crowding spelled out.</w:t>
      </w:r>
    </w:p>
    <w:p>
      <w:pPr>
        <w:pStyle w:val="Heading1"/>
      </w:pPr>
      <w:r>
        <w:rPr>
          <w:b w:val="false"/>
          <w:bCs w:val="false"/>
          <w:i w:val="false"/>
          <w:iCs w:val="false"/>
          <w:sz w:val="22"/>
          <w:szCs w:val="22"/>
        </w:rPr>
        <w:t xml:space="preserve">8. Potential Confounding Factors</w:t>
      </w:r>
    </w:p>
    <w:p>
      <w:pPr>
        <w:spacing w:after="100"/>
      </w:pPr>
      <w:r>
        <w:rPr>
          <w:b w:val="false"/>
          <w:bCs w:val="false"/>
          <w:i w:val="false"/>
          <w:iCs w:val="false"/>
          <w:sz w:val="22"/>
          <w:szCs w:val="22"/>
        </w:rPr>
        <w:t xml:space="preserve">Six confounding factors threaten the inference and must be explicitly addressed in the empirical design.</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undefined</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undefined</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undefined</w:t>
      </w:r>
    </w:p>
    <w:p>
      <w:pPr>
        <w:pStyle w:val="ListParagraph"/>
        <w:numPr>
          <w:ilvl w:val="0"/>
          <w:numId w:val="2"/>
        </w:numPr>
        <w:spacing w:after="60"/>
      </w:pPr>
      <w:r>
        <w:rPr>
          <w:b w:val="false"/>
          <w:bCs w:val="false"/>
          <w:i w:val="false"/>
          <w:iCs w:val="false"/>
          <w:sz w:val="22"/>
          <w:szCs w:val="22"/>
        </w:rPr>
        <w:t xml:space="preserve">Size factor: Followers are smaller than leaders by construction. Any positive cross-correlation between follower returns and the broader size premium could masquerade as the lead-lag effect. Addressed by within-Sub-Industry size neutralization and a robustness test on residualized vs raw size factor.</w:t>
      </w:r>
    </w:p>
    <w:p>
      <w:pPr>
        <w:pStyle w:val="ListParagraph"/>
        <w:numPr>
          <w:ilvl w:val="0"/>
          <w:numId w:val="2"/>
        </w:numPr>
        <w:spacing w:after="60"/>
      </w:pPr>
      <w:r>
        <w:rPr>
          <w:b w:val="false"/>
          <w:bCs w:val="false"/>
          <w:i w:val="false"/>
          <w:iCs w:val="false"/>
          <w:sz w:val="22"/>
          <w:szCs w:val="22"/>
        </w:rPr>
        <w:t xml:space="preserve">Sector momentum: Both leader and followers share sector exposure. A rising sector lifts both, creating mechanical positive correlation. Addressed by sector-ETF residualization; verified by repeating with alternative residualization (cap-weighted Sub-Industry basket excluding the leader).</w:t>
      </w:r>
    </w:p>
    <w:p>
      <w:pPr>
        <w:pStyle w:val="ListParagraph"/>
        <w:numPr>
          <w:ilvl w:val="0"/>
          <w:numId w:val="2"/>
        </w:numPr>
        <w:spacing w:after="60"/>
      </w:pPr>
      <w:r>
        <w:rPr>
          <w:b w:val="false"/>
          <w:bCs w:val="false"/>
          <w:i w:val="false"/>
          <w:iCs w:val="false"/>
          <w:sz w:val="22"/>
          <w:szCs w:val="22"/>
        </w:rPr>
        <w:t xml:space="preserve">Market microstructure (bid-ask bounce): Stale closing prices in followers can create artificial positive autocorrelation. Addressed by using volume-weighted prices where available and by testing with one-day-delayed execution (longer than typical bounce reversion).</w:t>
      </w:r>
    </w:p>
    <w:p>
      <w:pPr>
        <w:pStyle w:val="ListParagraph"/>
        <w:numPr>
          <w:ilvl w:val="0"/>
          <w:numId w:val="2"/>
        </w:numPr>
        <w:spacing w:after="60"/>
      </w:pPr>
      <w:r>
        <w:rPr>
          <w:b w:val="false"/>
          <w:bCs w:val="false"/>
          <w:i w:val="false"/>
          <w:iCs w:val="false"/>
          <w:sz w:val="22"/>
          <w:szCs w:val="22"/>
        </w:rPr>
        <w:t xml:space="preserve">Earnings clustering: If follower earnings dates cluster around days following leader earnings dates, the lead-lag could reflect earnings-window co-movement rather than information diffusion. Addressed by excluding (leader, day t) observations within ±3 days of any follower earnings — using volume-z-score proxies since this dataset has no earnings calendar.</w:t>
      </w:r>
    </w:p>
    <w:p>
      <w:pPr>
        <w:pStyle w:val="ListParagraph"/>
        <w:numPr>
          <w:ilvl w:val="0"/>
          <w:numId w:val="2"/>
        </w:numPr>
        <w:spacing w:after="60"/>
      </w:pPr>
      <w:r>
        <w:rPr>
          <w:b w:val="false"/>
          <w:bCs w:val="false"/>
          <w:i w:val="false"/>
          <w:iCs w:val="false"/>
          <w:sz w:val="22"/>
          <w:szCs w:val="22"/>
        </w:rPr>
        <w:t xml:space="preserve">Crowding by other systematic strategies: If other funds run a similar leader-follower strategy at the same horizon, the effect can be temporally clustered. Addressed by checking the effect's stability across years and by monitoring strategy correlation with known peer factors.</w:t>
      </w:r>
    </w:p>
    <w:p>
      <w:pPr>
        <w:pStyle w:val="ListParagraph"/>
        <w:numPr>
          <w:ilvl w:val="0"/>
          <w:numId w:val="2"/>
        </w:numPr>
        <w:spacing w:after="60"/>
      </w:pPr>
      <w:r>
        <w:rPr>
          <w:b w:val="false"/>
          <w:bCs w:val="false"/>
          <w:i w:val="false"/>
          <w:iCs w:val="false"/>
          <w:sz w:val="22"/>
          <w:szCs w:val="22"/>
        </w:rPr>
        <w:t xml:space="preserve">Common idiosyncratic shocks: A negative news story on the leader may also affect followers if they share fundamental exposure to the same news (commodity move, regulatory event). The 'lead-lag' could be simultaneous response with measurement noise. Addressed by intra-day timing checks (where possible) and by examining the asymmetry between up-move and down-move spillovers.</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Confounding factor analysis is the difference between a finding and a falsifiable claim. The committee uses it to evaluate whether the proposed work will actually answer the research question or whether the empirical strategy is vulnerable to alternative explanations.</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A senior researcher generates the list of confounds adversarially: what mechanism, other than the one I'm proposing, would produce the same observation? Each confound is then mapped to a specific empirical control. A strategy that cannot defend against three or four credible confounds is not approved.</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Underestimating confounds. The seven listed above are the visible ones; experienced researchers know the invisible ones are more dangerous. The fix is to circulate the proposal for adversarial review by colleagues who are not invested in the strategy's success.</w:t>
      </w:r>
    </w:p>
    <w:p>
      <w:pPr>
        <w:pStyle w:val="Heading1"/>
      </w:pPr>
      <w:r>
        <w:rPr>
          <w:b w:val="false"/>
          <w:bCs w:val="false"/>
          <w:i w:val="false"/>
          <w:iCs w:val="false"/>
          <w:sz w:val="22"/>
          <w:szCs w:val="22"/>
        </w:rPr>
        <w:t xml:space="preserve">9. Failure Modes</w:t>
      </w:r>
    </w:p>
    <w:p>
      <w:pPr>
        <w:spacing w:after="100"/>
      </w:pPr>
      <w:r>
        <w:rPr>
          <w:b w:val="false"/>
          <w:bCs w:val="false"/>
          <w:i w:val="false"/>
          <w:iCs w:val="false"/>
          <w:sz w:val="22"/>
          <w:szCs w:val="22"/>
        </w:rPr>
        <w:t xml:space="preserve">The strategy has four pre-identified failure modes, each with a corresponding monitoring trigger.</w:t>
      </w:r>
    </w:p>
    <w:p>
      <w:pPr>
        <w:spacing w:after="100"/>
      </w:pPr>
      <w:r>
        <w:rPr>
          <w:b w:val="false"/>
          <w:bCs w:val="false"/>
          <w:i w:val="false"/>
          <w:iCs w:val="false"/>
          <w:sz w:val="22"/>
          <w:szCs w:val="22"/>
        </w:rPr>
        <w:t xml:space="preserve">Mode 1: Low-dispersion regime. When within-Sub-Industry cross-sectional return dispersion compresses below its long-run 25th percentile, the leader's idiosyncratic signal becomes indistinguishable from noise and the lead-lag transmission collapses. Trigger: monthly check of 252-day cross-sectional dispersion vs its long-run distribution. Action: reduce gross to 50% of nominal when in bottom-quartile dispersion regime.</w:t>
      </w:r>
    </w:p>
    <w:p>
      <w:pPr>
        <w:spacing w:after="100"/>
      </w:pPr>
      <w:r>
        <w:rPr>
          <w:b w:val="false"/>
          <w:bCs w:val="false"/>
          <w:i w:val="false"/>
          <w:iCs w:val="false"/>
          <w:sz w:val="22"/>
          <w:szCs w:val="22"/>
        </w:rPr>
        <w:t xml:space="preserve">Mode 2: Sector ETF composition change. The sector SPDR ETFs (XLK, XLF, etc.) are rebalanced periodically and may reweight constituents in ways that alter our residualization baseline. The 2018-09 Telecom→Communication Services reclassification is the canonical example. Trigger: quarterly review of sector SPDR holdings. Action: re-validate residualization beta within four weeks of any material composition shift.</w:t>
      </w:r>
    </w:p>
    <w:p>
      <w:pPr>
        <w:spacing w:after="100"/>
      </w:pPr>
      <w:r>
        <w:rPr>
          <w:b w:val="false"/>
          <w:bCs w:val="false"/>
          <w:i w:val="false"/>
          <w:iCs w:val="false"/>
          <w:sz w:val="22"/>
          <w:szCs w:val="22"/>
        </w:rPr>
        <w:t xml:space="preserve">Mode 3: Crowding by adjacent systematic capital. If the lead-lag effect is widely traded, the half-life shortens and the strategy's edge compresses. Trigger: signal half-life monitoring at weekly granularity; alarm if rolling 63-day half-life drops below 1.5 days. Action: shorten holding period or reduce sizing.</w:t>
      </w:r>
    </w:p>
    <w:p>
      <w:pPr>
        <w:spacing w:after="100"/>
      </w:pPr>
      <w:r>
        <w:rPr>
          <w:b w:val="false"/>
          <w:bCs w:val="false"/>
          <w:i w:val="false"/>
          <w:iCs w:val="false"/>
          <w:sz w:val="22"/>
          <w:szCs w:val="22"/>
        </w:rPr>
        <w:t xml:space="preserve">Mode 4: Structural microstructure change. Tick-size reform, payment-for-order-flow regulatory changes, or major closing-auction protocol shifts could change execution economics. Trigger: monthly review of realized execution costs vs assumed model. Action: re-calibrate cost model and reassess capacity.</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Pre-committing to failure modes is the difference between a proposal and a wish. The committee wants to know in advance what the operating discipline looks like in adverse conditions.</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run failure modes as part of a Risk Operations process. Triggers are checked on schedule by someone outside the research team. Actions are pre-approved so that response time in live trading is short.</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Researchers commonly conflate drawdowns with failure modes. A drawdown is an outcome; a failure mode is a causal mechanism. The fix is to define failure modes by mechanism (regime, microstructure, crowding) and tie them to leading indicators rather than to the equity curve.</w:t>
      </w:r>
    </w:p>
    <w:p>
      <w:pPr>
        <w:pStyle w:val="Heading1"/>
      </w:pPr>
      <w:r>
        <w:rPr>
          <w:b w:val="false"/>
          <w:bCs w:val="false"/>
          <w:i w:val="false"/>
          <w:iCs w:val="false"/>
          <w:sz w:val="22"/>
          <w:szCs w:val="22"/>
        </w:rPr>
        <w:t xml:space="preserve">10. Required Data</w:t>
      </w:r>
    </w:p>
    <w:p>
      <w:pPr>
        <w:spacing w:after="100"/>
      </w:pPr>
      <w:r>
        <w:rPr>
          <w:b w:val="false"/>
          <w:bCs w:val="false"/>
          <w:i w:val="false"/>
          <w:iCs w:val="false"/>
          <w:sz w:val="22"/>
          <w:szCs w:val="22"/>
        </w:rPr>
        <w:t xml:space="preserve">The required data is fully available in the existing data inventory. The minimum specification:</w:t>
      </w:r>
    </w:p>
    <w:p>
      <w:pPr>
        <w:spacing w:after="100"/>
      </w:pPr>
      <w:r>
        <w:rPr>
          <w:b w:val="false"/>
          <w:bCs w:val="false"/>
          <w:i w:val="false"/>
          <w:iCs w:val="false"/>
          <w:sz w:val="22"/>
          <w:szCs w:val="22"/>
        </w:rPr>
        <w:t xml:space="preserve">(a) Point-in-time GICS Sub-Industry membership for S&amp;P 400, 500, and 600 across the study window, with monthly snapshots. (b) Daily closing prices, share volume, and market capitalization for each PIT-member name. (c) Daily OHLCV for the 11 GICS Sector SPDR ETFs (XLB, XLC from 2018-06, XLE, XLF, XLI, XLK, XLP, XLRE, XLU, XLV, XLY) plus three broad ETFs (SPY, QQQ, RSP). (d) US trading calendar for business-day filtering.</w:t>
      </w:r>
    </w:p>
    <w:p>
      <w:pPr>
        <w:spacing w:after="100"/>
      </w:pPr>
      <w:r>
        <w:rPr>
          <w:b w:val="false"/>
          <w:bCs w:val="false"/>
          <w:i w:val="false"/>
          <w:iCs w:val="false"/>
          <w:sz w:val="22"/>
          <w:szCs w:val="22"/>
        </w:rPr>
        <w:t xml:space="preserve">Sample: 2016-03-01 to 2025-12-31. Cross-section: approximately 2,000 unique IDs across the union of the three S&amp;P 1500 PIT panels over the lifetime of the data. Effective sample size for the panel regression: approximately 118 monthly snapshots × ~163 Sub-Industries × ~5 lead-lag horizons = approximately 96,000 (Sub-Industry, date) observations after liquidity and member-count filters.</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Specifying data requirements in advance prevents scope creep and ensures that the committee approves the empirical scope before resources are committed.</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pre-register data specifications with the same rigor as hypotheses. Any addition of fields, expansion of universe, or change in source mid-research is a flag that the researcher is fitting the data to a desired conclusion.</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frequent error is to start with a small data spec and gradually expand as exploratory analysis reveals 'interesting' subsets. This is a form of garden-of-forking-paths bias. The corrective is to pre-commit to the full spec and only contract — never expand — based on data-quality findings.</w:t>
      </w:r>
    </w:p>
    <w:p>
      <w:pPr>
        <w:pStyle w:val="Heading1"/>
      </w:pPr>
      <w:r>
        <w:rPr>
          <w:b w:val="false"/>
          <w:bCs w:val="false"/>
          <w:i w:val="false"/>
          <w:iCs w:val="false"/>
          <w:sz w:val="22"/>
          <w:szCs w:val="22"/>
        </w:rPr>
        <w:t xml:space="preserve">11. Statistical Validation Framework</w:t>
      </w:r>
    </w:p>
    <w:p>
      <w:pPr>
        <w:spacing w:after="100"/>
      </w:pPr>
      <w:r>
        <w:rPr>
          <w:b w:val="false"/>
          <w:bCs w:val="false"/>
          <w:i w:val="false"/>
          <w:iCs w:val="false"/>
          <w:sz w:val="22"/>
          <w:szCs w:val="22"/>
        </w:rPr>
        <w:t xml:space="preserve">The validation framework consists of seven distinct tests, applied in the order specified.</w:t>
      </w:r>
    </w:p>
    <w:p>
      <w:pPr>
        <w:spacing w:after="100"/>
      </w:pPr>
      <w:r>
        <w:rPr>
          <w:b w:val="false"/>
          <w:bCs w:val="false"/>
          <w:i w:val="false"/>
          <w:iCs w:val="false"/>
          <w:sz w:val="22"/>
          <w:szCs w:val="22"/>
        </w:rPr>
        <w:t xml:space="preserve">Test 1 — Primary panel regression. Pooled OLS of follower aggregate residual returns on lagged leader residual returns with Sub-Industry and date fixed effects, two-way clustered standard errors (Sub-Industry, date). Rejection of H0 requires t &gt; 2 for at least three of five lag horizons after Benjamini-Hochberg correction.</w:t>
      </w:r>
    </w:p>
    <w:p>
      <w:pPr>
        <w:spacing w:after="100"/>
      </w:pPr>
      <w:r>
        <w:rPr>
          <w:b w:val="false"/>
          <w:bCs w:val="false"/>
          <w:i w:val="false"/>
          <w:iCs w:val="false"/>
          <w:sz w:val="22"/>
          <w:szCs w:val="22"/>
        </w:rPr>
        <w:t xml:space="preserve">Test 2 — Cross-sectional Fama-MacBeth. Daily cross-sectional regression of follower returns on leader's prior-day residual return, with Newey-West correction (5 lags) on the time series of cross-sectional coefficients. Provides an alternative inference framework less sensitive to panel-specific assumptions.</w:t>
      </w:r>
    </w:p>
    <w:p>
      <w:pPr>
        <w:spacing w:after="100"/>
      </w:pPr>
      <w:r>
        <w:rPr>
          <w:b w:val="false"/>
          <w:bCs w:val="false"/>
          <w:i w:val="false"/>
          <w:iCs w:val="false"/>
          <w:sz w:val="22"/>
          <w:szCs w:val="22"/>
        </w:rPr>
        <w:t xml:space="preserve">Test 3 — Out-of-sample replication. In-sample window: 2016-03-01 to 2022-12-31. Out-of-sample window: 2023-01-01 to 2025-12-31. Coefficient sign must replicate; magnitude must be at least 50% of in-sample.</w:t>
      </w:r>
    </w:p>
    <w:p>
      <w:pPr>
        <w:spacing w:after="100"/>
      </w:pPr>
      <w:r>
        <w:rPr>
          <w:b w:val="false"/>
          <w:bCs w:val="false"/>
          <w:i w:val="false"/>
          <w:iCs w:val="false"/>
          <w:sz w:val="22"/>
          <w:szCs w:val="22"/>
        </w:rPr>
        <w:t xml:space="preserve">Test 4 — Parameter robustness. Sensitivity sweep across beta lookback (60, 90, 126, 180, 252 days), leader definition (top-1, top-3, top-1-with-share-floor), Sub-Industry vs Industry vs Sector aggregation, and residualization benchmark (sector ETF vs equal-weighted sector basket). Strategy IR must survive 70% of the sweep.</w:t>
      </w:r>
    </w:p>
    <w:p>
      <w:pPr>
        <w:spacing w:after="100"/>
      </w:pPr>
      <w:r>
        <w:rPr>
          <w:b w:val="false"/>
          <w:bCs w:val="false"/>
          <w:i w:val="false"/>
          <w:iCs w:val="false"/>
          <w:sz w:val="22"/>
          <w:szCs w:val="22"/>
        </w:rPr>
        <w:t xml:space="preserve">Test 5 — Subsample stability. Effect must be present in both 2016-2019 and 2020-2025 sub-samples with same sign; magnitude difference smaller than two standard errors.</w:t>
      </w:r>
    </w:p>
    <w:p>
      <w:pPr>
        <w:spacing w:after="100"/>
      </w:pPr>
      <w:r>
        <w:rPr>
          <w:b w:val="false"/>
          <w:bCs w:val="false"/>
          <w:i w:val="false"/>
          <w:iCs w:val="false"/>
          <w:sz w:val="22"/>
          <w:szCs w:val="22"/>
        </w:rPr>
        <w:t xml:space="preserve">Test 6 — Confound orthogonalization. Repeat primary test after orthogonalizing against size factor, momentum factor, and short-term reversal factor. Effect must survive with at least 60% of unadjusted magnitude.</w:t>
      </w:r>
    </w:p>
    <w:p>
      <w:pPr>
        <w:spacing w:after="100"/>
      </w:pPr>
      <w:r>
        <w:rPr>
          <w:b w:val="false"/>
          <w:bCs w:val="false"/>
          <w:i w:val="false"/>
          <w:iCs w:val="false"/>
          <w:sz w:val="22"/>
          <w:szCs w:val="22"/>
        </w:rPr>
        <w:t xml:space="preserve">Test 7 — Economic significance after transaction costs. The strategy's Sharpe after applying the cost model from Section 14 must exceed 0.5. Statistical significance alone is insufficient.</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A pre-specified statistical framework is the difference between rigorous research and a fishing expedition. The committee uses it to assess what statistical machinery will be brought to bear and how rejection will be operationalized.</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require pre-registration of all tests in the validation framework. Tests added after seeing the results are flagged and discounted. Multiple-comparison correction is built into the framework rather than treated as an optional consideration.</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Three common errors: (a) choosing the test after seeing the data, particularly the choice between standard errors with and without clustering; (b) running multiple tests and reporting only the one that supports H1; (c) ignoring autocorrelation in the panel time-series and reporting naively significant t-stats. All three are policed by the pre-registration discipline.</w:t>
      </w:r>
    </w:p>
    <w:p>
      <w:pPr>
        <w:pStyle w:val="Heading1"/>
      </w:pPr>
      <w:r>
        <w:rPr>
          <w:b w:val="false"/>
          <w:bCs w:val="false"/>
          <w:i w:val="false"/>
          <w:iCs w:val="false"/>
          <w:sz w:val="22"/>
          <w:szCs w:val="22"/>
        </w:rPr>
        <w:t xml:space="preserve">12. Portfolio Construction Philosophy</w:t>
      </w:r>
    </w:p>
    <w:p>
      <w:pPr>
        <w:spacing w:after="100"/>
      </w:pPr>
      <w:r>
        <w:rPr>
          <w:b w:val="false"/>
          <w:bCs w:val="false"/>
          <w:i w:val="false"/>
          <w:iCs w:val="false"/>
          <w:sz w:val="22"/>
          <w:szCs w:val="22"/>
        </w:rPr>
        <w:t xml:space="preserve">The portfolio construction is deliberately minimal so that backtest outperformance is attributable to the signal rather than the construction. Five rules govern position formation.</w:t>
      </w:r>
    </w:p>
    <w:p>
      <w:pPr>
        <w:spacing w:after="100"/>
      </w:pPr>
      <w:r>
        <w:rPr>
          <w:b w:val="false"/>
          <w:bCs w:val="false"/>
          <w:i w:val="false"/>
          <w:iCs w:val="false"/>
          <w:sz w:val="22"/>
          <w:szCs w:val="22"/>
        </w:rPr>
        <w:t xml:space="preserve">Rule 1: Universe filter. Only Sub-Industries with at least four members meeting a $5M average daily dollar volume floor are eligible. Sub-Industries with leader-cap-share outside [20%, 70%] are excluded.</w:t>
      </w:r>
    </w:p>
    <w:p>
      <w:pPr>
        <w:spacing w:after="100"/>
      </w:pPr>
      <w:r>
        <w:rPr>
          <w:b w:val="false"/>
          <w:bCs w:val="false"/>
          <w:i w:val="false"/>
          <w:iCs w:val="false"/>
          <w:sz w:val="22"/>
          <w:szCs w:val="22"/>
        </w:rPr>
        <w:t xml:space="preserve">Rule 2: Signal. For each eligible Sub-Industry on each date, compute the leader's residual return on day t. The follower-level signal is +1 (for long) or -1 (for short) on day t+1 in the direction of the leader's residual sign, weighted by the absolute residual Z-score capped at 2.0.</w:t>
      </w:r>
    </w:p>
    <w:p>
      <w:pPr>
        <w:spacing w:after="100"/>
      </w:pPr>
      <w:r>
        <w:rPr>
          <w:b w:val="false"/>
          <w:bCs w:val="false"/>
          <w:i w:val="false"/>
          <w:iCs w:val="false"/>
          <w:sz w:val="22"/>
          <w:szCs w:val="22"/>
        </w:rPr>
        <w:t xml:space="preserve">Rule 3: Aggregation. Equal-weighted across followers within Sub-Industry; equal-weighted across Sub-Industries within the portfolio. Long and short books constructed symmetrically by inverting the leader's sign.</w:t>
      </w:r>
    </w:p>
    <w:p>
      <w:pPr>
        <w:spacing w:after="100"/>
      </w:pPr>
      <w:r>
        <w:rPr>
          <w:b w:val="false"/>
          <w:bCs w:val="false"/>
          <w:i w:val="false"/>
          <w:iCs w:val="false"/>
          <w:sz w:val="22"/>
          <w:szCs w:val="22"/>
        </w:rPr>
        <w:t xml:space="preserve">Rule 4: Neutralization. Sector-neutral by construction (signal is on the sector-ETF residual, not raw return). Dollar-neutral by symmetric long-short construction. Beta-neutral as a derived property of the sector residualization.</w:t>
      </w:r>
    </w:p>
    <w:p>
      <w:pPr>
        <w:spacing w:after="100"/>
      </w:pPr>
      <w:r>
        <w:rPr>
          <w:b w:val="false"/>
          <w:bCs w:val="false"/>
          <w:i w:val="false"/>
          <w:iCs w:val="false"/>
          <w:sz w:val="22"/>
          <w:szCs w:val="22"/>
        </w:rPr>
        <w:t xml:space="preserve">Rule 5: Position lifecycle. Open at the closing auction of day t (using leader signal observable that day after the close), hold through day t+3, exit at the closing auction of day t+3. Continuous re-opening of new daily signal portfolios creates a three-day overlapping book.</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The committee needs to know how the empirical signal becomes a tradable portfolio. Trivial-looking choices (weighting, neutralization, lifecycle) determine realized PnL more than the signal itself.</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pre-commit to portfolio construction rules and treat them as binding. Construction rules that change after seeing backtest results constitute fitting and discount the credibility of the result.</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frequent error is to let the construction respond to the data: the researcher tries equal-weighted and cap-weighted, picks whichever produces a higher Sharpe, and reports the latter. The fix is to choose construction by economic argument (here: equal-weighted because the alpha source is a per-Sub-Industry attention effect that has no reason to scale with cap) and pre-commit.</w:t>
      </w:r>
    </w:p>
    <w:p>
      <w:pPr>
        <w:pStyle w:val="Heading1"/>
      </w:pPr>
      <w:r>
        <w:rPr>
          <w:b w:val="false"/>
          <w:bCs w:val="false"/>
          <w:i w:val="false"/>
          <w:iCs w:val="false"/>
          <w:sz w:val="22"/>
          <w:szCs w:val="22"/>
        </w:rPr>
        <w:t xml:space="preserve">13. Capacity Considerations</w:t>
      </w:r>
    </w:p>
    <w:p>
      <w:pPr>
        <w:spacing w:after="100"/>
      </w:pPr>
      <w:r>
        <w:rPr>
          <w:b w:val="false"/>
          <w:bCs w:val="false"/>
          <w:i w:val="false"/>
          <w:iCs w:val="false"/>
          <w:sz w:val="22"/>
          <w:szCs w:val="22"/>
        </w:rPr>
        <w:t xml:space="preserve">The capacity estimate is built from the bottom up rather than asserted at the strategy level. The binding constraint is participation rate in follower names, which we cap at 10% of trailing-21-day average daily dollar volume (ADV) per trade.</w:t>
      </w:r>
    </w:p>
    <w:p>
      <w:pPr>
        <w:spacing w:after="100"/>
      </w:pPr>
      <w:r>
        <w:rPr>
          <w:b w:val="false"/>
          <w:bCs w:val="false"/>
          <w:i w:val="false"/>
          <w:iCs w:val="false"/>
          <w:sz w:val="22"/>
          <w:szCs w:val="22"/>
        </w:rPr>
        <w:t xml:space="preserve">For an SP400 follower with $25M ADV, the 10%-of-ADV constraint implies $2.5M per side per name. With approximately 600 (Sub-Industry × name) follower positions on at any one time (163 Sub-Industries × 4 followers average × 80% eligibility), gross book at the binding constraint reaches approximately $1.5B. SP600 followers (typical ADV $4-8M) reduce per-position capacity to $400-800K, dragging the practical book to $400-700M when SP600 names dominate the signal.</w:t>
      </w:r>
    </w:p>
    <w:p>
      <w:pPr>
        <w:spacing w:after="100"/>
      </w:pPr>
      <w:r>
        <w:rPr>
          <w:b w:val="false"/>
          <w:bCs w:val="false"/>
          <w:i w:val="false"/>
          <w:iCs w:val="false"/>
          <w:sz w:val="22"/>
          <w:szCs w:val="22"/>
        </w:rPr>
        <w:t xml:space="preserve">Realistic capacity estimate: $300-500M of dedicated AUM in the strategy. Beyond that, market impact (modeled below in Section 14) erodes the per-trade alpha at a rate roughly proportional to AUM-squared. The strategy is not a $5B sleeve; it is a focused $300-500M allocation.</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Capacity is the constraint that determines whether the strategy can run at the size the committee needs. A strategy with a 1.5 Sharpe at $50M and 0.3 Sharpe at $500M is two different strategies for capital allocation purposes.</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compute capacity from explicit impact and participation-rate models, not from rule-of-thumb scaling of dollar volume. The capacity estimate is validated post-launch with live execution data.</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Junior researchers quote Sharpe without quoting capacity. The two are inversely related; reporting only the favorable number misleads the committee. The corrective is to require Sharpe-at-capacity reporting from every proposal.</w:t>
      </w:r>
    </w:p>
    <w:p>
      <w:pPr>
        <w:pStyle w:val="Heading1"/>
      </w:pPr>
      <w:r>
        <w:rPr>
          <w:b w:val="false"/>
          <w:bCs w:val="false"/>
          <w:i w:val="false"/>
          <w:iCs w:val="false"/>
          <w:sz w:val="22"/>
          <w:szCs w:val="22"/>
        </w:rPr>
        <w:t xml:space="preserve">14. Transaction Cost Considerations</w:t>
      </w:r>
    </w:p>
    <w:p>
      <w:pPr>
        <w:spacing w:after="100"/>
      </w:pPr>
      <w:r>
        <w:rPr>
          <w:b w:val="false"/>
          <w:bCs w:val="false"/>
          <w:i w:val="false"/>
          <w:iCs w:val="false"/>
          <w:sz w:val="22"/>
          <w:szCs w:val="22"/>
        </w:rPr>
        <w:t xml:space="preserve">The transaction cost model has three components, calibrated separately by name tier.</w:t>
      </w:r>
    </w:p>
    <w:p>
      <w:pPr>
        <w:spacing w:after="100"/>
      </w:pPr>
      <w:r>
        <w:rPr>
          <w:b w:val="false"/>
          <w:bCs w:val="false"/>
          <w:i w:val="false"/>
          <w:iCs w:val="false"/>
          <w:sz w:val="22"/>
          <w:szCs w:val="22"/>
        </w:rPr>
        <w:t xml:space="preserve">Component 1 — Bid-ask spread (half-spread paid per side). SP500 names: 1-2 bps. SP400 names: 3-5 bps. SP600 names: 6-12 bps. Source: realized fills from the equity execution desk over the prior 12 months, segmented by tier.</w:t>
      </w:r>
    </w:p>
    <w:p>
      <w:pPr>
        <w:spacing w:after="100"/>
      </w:pPr>
      <w:r>
        <w:rPr>
          <w:b w:val="false"/>
          <w:bCs w:val="false"/>
          <w:i w:val="false"/>
          <w:iCs w:val="false"/>
          <w:sz w:val="22"/>
          <w:szCs w:val="22"/>
        </w:rPr>
        <w:t xml:space="preserve">Component 2 — Market impact. Square-root impact model: cost(bps) = α × √(trade_size / ADV), with α calibrated separately by tier. SP500: α ≈ 6. SP400: α ≈ 12. SP600: α ≈ 22. At 10% participation, this implies 2 bps for SP500, 4 bps for SP400, 7 bps for SP600 per side.</w:t>
      </w:r>
    </w:p>
    <w:p>
      <w:pPr>
        <w:spacing w:after="100"/>
      </w:pPr>
      <w:r>
        <w:rPr>
          <w:b w:val="false"/>
          <w:bCs w:val="false"/>
          <w:i w:val="false"/>
          <w:iCs w:val="false"/>
          <w:sz w:val="22"/>
          <w:szCs w:val="22"/>
        </w:rPr>
        <w:t xml:space="preserve">Component 3 — Short borrow. SP500: ~25 bps annualized. SP400: ~75 bps. SP600: ~150 bps. Hard-to-borrow names (small, news-driven) can exceed 500 bps and are excluded by the liquidity filter.</w:t>
      </w:r>
    </w:p>
    <w:p>
      <w:pPr>
        <w:spacing w:after="100"/>
      </w:pPr>
      <w:r>
        <w:rPr>
          <w:b w:val="false"/>
          <w:bCs w:val="false"/>
          <w:i w:val="false"/>
          <w:iCs w:val="false"/>
          <w:sz w:val="22"/>
          <w:szCs w:val="22"/>
        </w:rPr>
        <w:t xml:space="preserve">Total round-trip cost per (name, trade) ranges from 6 bps (SP500 long) to 60+ bps (SP600 short with rough borrow). Weighted by the expected universe composition (40% SP500, 35% SP400, 25% SP600), the blended round-trip is approximately 18 bps. At expected annualized turnover of 2,000-2,500%, transaction costs consume approximately 360-450 bps of gross IR — making cost the dominant determinant of net IR.</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Transaction costs are the most under-modeled component of academic finance research and the most over-modeled component of bad fund proposals. A defensible cost model lets the committee differentiate viable from non-viable strategies at the proposal stage rather than at the live trading stage.</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use cost models calibrated to their own execution desks. Generic impact models from academic literature systematically overestimate costs for top-tier names and underestimate them for SP600 names. The execution desk's realized-cost data is the gold-standard input.</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two common errors: (a) using a flat cost assumption across the universe (e.g., '10 bps round-trip') that ignores the order-of-magnitude variation across tiers; (b) ignoring borrow costs entirely for shorts, which is a particularly large oversight in SP600 strategies. The fix is per-tier modeling and explicit borrow-cost inclusion.</w:t>
      </w:r>
    </w:p>
    <w:p>
      <w:pPr>
        <w:pStyle w:val="Heading1"/>
      </w:pPr>
      <w:r>
        <w:rPr>
          <w:b w:val="false"/>
          <w:bCs w:val="false"/>
          <w:i w:val="false"/>
          <w:iCs w:val="false"/>
          <w:sz w:val="22"/>
          <w:szCs w:val="22"/>
        </w:rPr>
        <w:t xml:space="preserve">15. Expected Outcomes</w:t>
      </w:r>
    </w:p>
    <w:p>
      <w:pPr>
        <w:spacing w:after="100"/>
      </w:pPr>
      <w:r>
        <w:rPr>
          <w:b w:val="false"/>
          <w:bCs w:val="false"/>
          <w:i w:val="false"/>
          <w:iCs w:val="false"/>
          <w:sz w:val="22"/>
          <w:szCs w:val="22"/>
        </w:rPr>
        <w:t xml:space="preserve">The pre-committed expectations against which results will be evaluated:</w:t>
      </w:r>
    </w:p>
    <w:p>
      <w:pPr>
        <w:spacing w:after="100"/>
      </w:pPr>
      <w:r>
        <w:rPr>
          <w:b w:val="false"/>
          <w:bCs w:val="false"/>
          <w:i w:val="false"/>
          <w:iCs w:val="false"/>
          <w:sz w:val="22"/>
          <w:szCs w:val="22"/>
        </w:rPr>
        <w:t xml:space="preserve">Gross IR (before cost): 1.0 to 1.4. Net IR (after cost): 0.5 to 0.8. Annualized gross return: 12-18% on dedicated capital. Annualized net return: 6-10%. Annualized volatility: approximately 12%. Maximum drawdown (post-cost): 8-15%. Holding period: 2-4 days average. Signal half-life: 1.5-3 days. Annualized turnover: 2,000-2,500%. Capacity: $300-500M.</w:t>
      </w:r>
    </w:p>
    <w:p>
      <w:pPr>
        <w:spacing w:after="100"/>
      </w:pPr>
      <w:r>
        <w:rPr>
          <w:b w:val="false"/>
          <w:bCs w:val="false"/>
          <w:i w:val="false"/>
          <w:iCs w:val="false"/>
          <w:sz w:val="22"/>
          <w:szCs w:val="22"/>
        </w:rPr>
        <w:t xml:space="preserve">The effect should concentrate in Sub-Industries with leader-cap-share between 30% and 60% and weaken at the extremes. The effect should be present in at least seven of eleven GICS Sectors and should not be driven by any single sector. Subsample stability should hold with no IR differential greater than 50% between 2016-2019 and 2020-2025.</w:t>
      </w:r>
    </w:p>
    <w:p>
      <w:pPr>
        <w:spacing w:after="100"/>
      </w:pPr>
      <w:r>
        <w:rPr>
          <w:b w:val="false"/>
          <w:bCs w:val="false"/>
          <w:i w:val="false"/>
          <w:iCs w:val="false"/>
          <w:sz w:val="22"/>
          <w:szCs w:val="22"/>
        </w:rPr>
        <w:t xml:space="preserve">Results materially exceeding these ranges should be treated as suspect rather than celebrated. Gross IR &gt; 2.0 likely reflects unmodeled lookahead or overfitting; net IR &gt; 1.5 is implausible given the cost structure. The committee should require additional diligence before approving allocation if results are too good.</w:t>
      </w:r>
    </w:p>
    <w:p>
      <w:pPr>
        <w:pStyle w:val="Heading3"/>
      </w:pPr>
      <w:r>
        <w:rPr>
          <w:b w:val="false"/>
          <w:bCs w:val="false"/>
          <w:i w:val="false"/>
          <w:iCs w:val="false"/>
          <w:sz w:val="22"/>
          <w:szCs w:val="22"/>
        </w:rPr>
        <w:t xml:space="preserve">Why this section exists in the proposal</w:t>
      </w:r>
    </w:p>
    <w:p>
      <w:pPr>
        <w:spacing w:after="100"/>
      </w:pPr>
      <w:r>
        <w:rPr>
          <w:b w:val="false"/>
          <w:bCs w:val="false"/>
          <w:i w:val="false"/>
          <w:iCs w:val="false"/>
          <w:sz w:val="22"/>
          <w:szCs w:val="22"/>
        </w:rPr>
        <w:t xml:space="preserve">Pre-committed expectations are the strongest defense against the 'too good to be true' acceptance bias. The committee can use them to assess whether results are calibrated to the underlying mechanism or fitted to historical data.</w:t>
      </w:r>
    </w:p>
    <w:p>
      <w:pPr>
        <w:pStyle w:val="Heading3"/>
      </w:pPr>
      <w:r>
        <w:rPr>
          <w:b w:val="false"/>
          <w:bCs w:val="false"/>
          <w:i w:val="false"/>
          <w:iCs w:val="false"/>
          <w:sz w:val="22"/>
          <w:szCs w:val="22"/>
        </w:rPr>
        <w:t xml:space="preserve">How a professional fund thinks about it</w:t>
      </w:r>
    </w:p>
    <w:p>
      <w:pPr>
        <w:spacing w:after="100"/>
      </w:pPr>
      <w:r>
        <w:rPr>
          <w:b w:val="false"/>
          <w:bCs w:val="false"/>
          <w:i w:val="false"/>
          <w:iCs w:val="false"/>
          <w:sz w:val="22"/>
          <w:szCs w:val="22"/>
        </w:rPr>
        <w:t xml:space="preserve">Professional funds compare results to ex-ante expectations and investigate discrepancies in either direction. Results below expectations are diagnosed; results above are scrutinized. Both diagnostics improve the strategy.</w:t>
      </w:r>
    </w:p>
    <w:p>
      <w:pPr>
        <w:pStyle w:val="Heading3"/>
      </w:pPr>
      <w:r>
        <w:rPr>
          <w:b w:val="false"/>
          <w:bCs w:val="false"/>
          <w:i w:val="false"/>
          <w:iCs w:val="false"/>
          <w:sz w:val="22"/>
          <w:szCs w:val="22"/>
        </w:rPr>
        <w:t xml:space="preserve">Common mistakes researchers make</w:t>
      </w:r>
    </w:p>
    <w:p>
      <w:pPr>
        <w:spacing w:after="100"/>
      </w:pPr>
      <w:r>
        <w:rPr>
          <w:b w:val="false"/>
          <w:bCs w:val="false"/>
          <w:i w:val="false"/>
          <w:iCs w:val="false"/>
          <w:sz w:val="22"/>
          <w:szCs w:val="22"/>
        </w:rPr>
        <w:t xml:space="preserve">The dominant mistake is to have no priors at all. Without ex-ante expectations, the researcher accepts any positive result as confirmation. The fix is to insist on numerical priors in the proposal, derived from economic argument and similar prior literature, and to make their evaluation a formal step in the validation framework.</w:t>
      </w:r>
    </w:p>
    <w:p>
      <w:r>
        <w:br w:type="page"/>
      </w:r>
    </w:p>
    <w:p>
      <w:pPr>
        <w:pStyle w:val="Heading1"/>
      </w:pPr>
      <w:r>
        <w:rPr>
          <w:b w:val="false"/>
          <w:bCs w:val="false"/>
          <w:i w:val="false"/>
          <w:iCs w:val="false"/>
          <w:sz w:val="22"/>
          <w:szCs w:val="22"/>
        </w:rPr>
        <w:t xml:space="preserve">Approval request and timeline</w:t>
      </w:r>
    </w:p>
    <w:p>
      <w:pPr>
        <w:spacing w:after="100"/>
      </w:pPr>
      <w:r>
        <w:rPr>
          <w:b w:val="false"/>
          <w:bCs w:val="false"/>
          <w:i w:val="false"/>
          <w:iCs w:val="false"/>
          <w:sz w:val="22"/>
          <w:szCs w:val="22"/>
        </w:rPr>
        <w:t xml:space="preserve">This proposal requests committee approval for a fourteen-week research program executed by one quantitative researcher with a two-week paper-trading window at the end. Phase gates and kill criteria are pre-committed below; movement through gates requires sign-off from the Head of Research.</w:t>
      </w:r>
    </w:p>
    <w:p>
      <w:pPr>
        <w:pStyle w:val="Heading2"/>
      </w:pPr>
      <w:r>
        <w:rPr>
          <w:b w:val="false"/>
          <w:bCs w:val="false"/>
          <w:i w:val="false"/>
          <w:iCs w:val="false"/>
          <w:sz w:val="22"/>
          <w:szCs w:val="22"/>
        </w:rPr>
        <w:t xml:space="preserve">Phase plan</w:t>
      </w:r>
    </w:p>
    <w:p>
      <w:pPr>
        <w:pStyle w:val="ListParagraph"/>
        <w:numPr>
          <w:ilvl w:val="0"/>
          <w:numId w:val="2"/>
        </w:numPr>
        <w:spacing w:after="60"/>
      </w:pPr>
      <w:r>
        <w:rPr>
          <w:b w:val="false"/>
          <w:bCs w:val="false"/>
          <w:i w:val="false"/>
          <w:iCs w:val="false"/>
          <w:sz w:val="22"/>
          <w:szCs w:val="22"/>
        </w:rPr>
        <w:t xml:space="preserve">Weeks 1-2: Data pipeline construction. Build the PIT loader per the integrity rules established in the data audit. Construct rolling sector-ETF residuals and Sub-Industry leader identification. Output: clean residual-return panel.</w:t>
      </w:r>
    </w:p>
    <w:p>
      <w:pPr>
        <w:pStyle w:val="ListParagraph"/>
        <w:numPr>
          <w:ilvl w:val="0"/>
          <w:numId w:val="2"/>
        </w:numPr>
        <w:spacing w:after="60"/>
      </w:pPr>
      <w:r>
        <w:rPr>
          <w:b w:val="false"/>
          <w:bCs w:val="false"/>
          <w:i w:val="false"/>
          <w:iCs w:val="false"/>
          <w:sz w:val="22"/>
          <w:szCs w:val="22"/>
        </w:rPr>
        <w:t xml:space="preserve">Weeks 3-4: Primary tests. Run Tests 1-2 (panel regression, Fama-MacBeth). Output: in-sample coefficient estimates with clustered standard errors. Gate: rejection of H0 at the 5% level after BH correction.</w:t>
      </w:r>
    </w:p>
    <w:p>
      <w:pPr>
        <w:pStyle w:val="ListParagraph"/>
        <w:numPr>
          <w:ilvl w:val="0"/>
          <w:numId w:val="2"/>
        </w:numPr>
        <w:spacing w:after="60"/>
      </w:pPr>
      <w:r>
        <w:rPr>
          <w:b w:val="false"/>
          <w:bCs w:val="false"/>
          <w:i w:val="false"/>
          <w:iCs w:val="false"/>
          <w:sz w:val="22"/>
          <w:szCs w:val="22"/>
        </w:rPr>
        <w:t xml:space="preserve">Weeks 5-7: Robustness. Tests 4-6 (parameter sensitivity, subsample stability, confound orthogonalization). Output: sensitivity heatmap, regime decomposition. Gate: strategy survives 70% of parameter sweep and confound orthogonalization.</w:t>
      </w:r>
    </w:p>
    <w:p>
      <w:pPr>
        <w:pStyle w:val="ListParagraph"/>
        <w:numPr>
          <w:ilvl w:val="0"/>
          <w:numId w:val="2"/>
        </w:numPr>
        <w:spacing w:after="60"/>
      </w:pPr>
      <w:r>
        <w:rPr>
          <w:b w:val="false"/>
          <w:bCs w:val="false"/>
          <w:i w:val="false"/>
          <w:iCs w:val="false"/>
          <w:sz w:val="22"/>
          <w:szCs w:val="22"/>
        </w:rPr>
        <w:t xml:space="preserve">Weeks 8-9: Portfolio construction and backtest. Apply construction rules per Section 12. Implement cost model per Section 14. Output: net-of-cost equity curve, monthly attribution. Gate: net Sharpe above 0.5 over full sample.</w:t>
      </w:r>
    </w:p>
    <w:p>
      <w:pPr>
        <w:pStyle w:val="ListParagraph"/>
        <w:numPr>
          <w:ilvl w:val="0"/>
          <w:numId w:val="2"/>
        </w:numPr>
        <w:spacing w:after="60"/>
      </w:pPr>
      <w:r>
        <w:rPr>
          <w:b w:val="false"/>
          <w:bCs w:val="false"/>
          <w:i w:val="false"/>
          <w:iCs w:val="false"/>
          <w:sz w:val="22"/>
          <w:szCs w:val="22"/>
        </w:rPr>
        <w:t xml:space="preserve">Weeks 10-11: Out-of-sample validation. Test 3. Output: held-out 2023-2025 performance. Gate: out-of-sample IR at least 50% of in-sample IR with same sign.</w:t>
      </w:r>
    </w:p>
    <w:p>
      <w:pPr>
        <w:pStyle w:val="ListParagraph"/>
        <w:numPr>
          <w:ilvl w:val="0"/>
          <w:numId w:val="2"/>
        </w:numPr>
        <w:spacing w:after="60"/>
      </w:pPr>
      <w:r>
        <w:rPr>
          <w:b w:val="false"/>
          <w:bCs w:val="false"/>
          <w:i w:val="false"/>
          <w:iCs w:val="false"/>
          <w:sz w:val="22"/>
          <w:szCs w:val="22"/>
        </w:rPr>
        <w:t xml:space="preserve">Weeks 12-13: Production readiness. Risk monitoring framework, failure-mode triggers, execution-desk integration plan. Output: signed-off operations playbook.</w:t>
      </w:r>
    </w:p>
    <w:p>
      <w:pPr>
        <w:pStyle w:val="ListParagraph"/>
        <w:numPr>
          <w:ilvl w:val="0"/>
          <w:numId w:val="2"/>
        </w:numPr>
        <w:spacing w:after="60"/>
      </w:pPr>
      <w:r>
        <w:rPr>
          <w:b w:val="false"/>
          <w:bCs w:val="false"/>
          <w:i w:val="false"/>
          <w:iCs w:val="false"/>
          <w:sz w:val="22"/>
          <w:szCs w:val="22"/>
        </w:rPr>
        <w:t xml:space="preserve">Week 14 + 2-week paper trade: Live paper trading at notional $25M. Output: realized vs predicted alpha decomposition. Gate: realized net IR above 0.6 over sixty trading days for production allocation approval.</w:t>
      </w:r>
    </w:p>
    <w:p>
      <w:pPr>
        <w:pStyle w:val="Heading2"/>
      </w:pPr>
      <w:r>
        <w:rPr>
          <w:b w:val="false"/>
          <w:bCs w:val="false"/>
          <w:i w:val="false"/>
          <w:iCs w:val="false"/>
          <w:sz w:val="22"/>
          <w:szCs w:val="22"/>
        </w:rPr>
        <w:t xml:space="preserve">Kill criteria</w:t>
      </w:r>
    </w:p>
    <w:p>
      <w:pPr>
        <w:pStyle w:val="ListParagraph"/>
        <w:numPr>
          <w:ilvl w:val="0"/>
          <w:numId w:val="2"/>
        </w:numPr>
        <w:spacing w:after="60"/>
      </w:pPr>
      <w:r>
        <w:rPr>
          <w:b w:val="false"/>
          <w:bCs w:val="false"/>
          <w:i w:val="false"/>
          <w:iCs w:val="false"/>
          <w:sz w:val="22"/>
          <w:szCs w:val="22"/>
        </w:rPr>
        <w:t xml:space="preserve">Failure to reject H0 at any phase gate terminates the program.</w:t>
      </w:r>
    </w:p>
    <w:p>
      <w:pPr>
        <w:pStyle w:val="ListParagraph"/>
        <w:numPr>
          <w:ilvl w:val="0"/>
          <w:numId w:val="2"/>
        </w:numPr>
        <w:spacing w:after="60"/>
      </w:pPr>
      <w:r>
        <w:rPr>
          <w:b w:val="false"/>
          <w:bCs w:val="false"/>
          <w:i w:val="false"/>
          <w:iCs w:val="false"/>
          <w:sz w:val="22"/>
          <w:szCs w:val="22"/>
        </w:rPr>
        <w:t xml:space="preserve">Effect concentrated in three or fewer sectors at the robustness stage requires re-scoping or termination.</w:t>
      </w:r>
    </w:p>
    <w:p>
      <w:pPr>
        <w:pStyle w:val="ListParagraph"/>
        <w:numPr>
          <w:ilvl w:val="0"/>
          <w:numId w:val="2"/>
        </w:numPr>
        <w:spacing w:after="60"/>
      </w:pPr>
      <w:r>
        <w:rPr>
          <w:b w:val="false"/>
          <w:bCs w:val="false"/>
          <w:i w:val="false"/>
          <w:iCs w:val="false"/>
          <w:sz w:val="22"/>
          <w:szCs w:val="22"/>
        </w:rPr>
        <w:t xml:space="preserve">Out-of-sample IR less than 50% of in-sample IR terminates without production allocation.</w:t>
      </w:r>
    </w:p>
    <w:p>
      <w:pPr>
        <w:pStyle w:val="ListParagraph"/>
        <w:numPr>
          <w:ilvl w:val="0"/>
          <w:numId w:val="2"/>
        </w:numPr>
        <w:spacing w:after="60"/>
      </w:pPr>
      <w:r>
        <w:rPr>
          <w:b w:val="false"/>
          <w:bCs w:val="false"/>
          <w:i w:val="false"/>
          <w:iCs w:val="false"/>
          <w:sz w:val="22"/>
          <w:szCs w:val="22"/>
        </w:rPr>
        <w:t xml:space="preserve">Paper-trade IR below 0.4 over 60 trading days suspends the strategy and requires a written diagnosis before any further work.</w:t>
      </w:r>
    </w:p>
    <w:p>
      <w:pPr>
        <w:pStyle w:val="Heading2"/>
      </w:pPr>
      <w:r>
        <w:rPr>
          <w:b w:val="false"/>
          <w:bCs w:val="false"/>
          <w:i w:val="false"/>
          <w:iCs w:val="false"/>
          <w:sz w:val="22"/>
          <w:szCs w:val="22"/>
        </w:rPr>
        <w:t xml:space="preserve">Resource request</w:t>
      </w:r>
    </w:p>
    <w:p>
      <w:pPr>
        <w:spacing w:after="100"/>
      </w:pPr>
      <w:r>
        <w:rPr>
          <w:b w:val="false"/>
          <w:bCs w:val="false"/>
          <w:i w:val="false"/>
          <w:iCs w:val="false"/>
          <w:sz w:val="22"/>
          <w:szCs w:val="22"/>
        </w:rPr>
        <w:t xml:space="preserve">One full-time quantitative researcher for 14 weeks. Equity execution desk attention for 2 weeks during paper trading. Data, infrastructure, and compute drawn from existing systematic resources. Estimated total cost: approximately 0.27 FTE-years plus 0.04 execution-desk FTE-years. Production allocation request, contingent on Phase 7 success: $250M with scaling path to $400M over six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Research Design Document — Sub-Industry Leader-Follower Lead-Lag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60" w:before="140"/>
      <w:outlineLvl w:val="2"/>
    </w:pPr>
    <w:rPr>
      <w:rFonts w:ascii="Calibri" w:cs="Calibri" w:eastAsia="Calibri" w:hAnsi="Calibri"/>
      <w:b/>
      <w:bCs/>
      <w:i/>
      <w:iCs/>
      <w:color w:val="B886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2026-06-08T08:41:41.478Z</dcterms:created>
  <dcterms:modified xsi:type="dcterms:W3CDTF">2026-06-08T08:41:41.480Z</dcterms:modified>
</cp:coreProperties>
</file>

<file path=docProps/custom.xml><?xml version="1.0" encoding="utf-8"?>
<Properties xmlns="http://schemas.openxmlformats.org/officeDocument/2006/custom-properties" xmlns:vt="http://schemas.openxmlformats.org/officeDocument/2006/docPropsVTypes"/>
</file>