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500"/>
        <w:jc w:val="center"/>
      </w:pPr>
      <w:r>
        <w:rPr>
          <w:b/>
          <w:bCs/>
          <w:i w:val="false"/>
          <w:iCs w:val="false"/>
          <w:color w:val="1F3A5F"/>
          <w:sz w:val="56"/>
          <w:szCs w:val="56"/>
        </w:rPr>
        <w:t xml:space="preserve">Experimental Framework</w:t>
      </w:r>
    </w:p>
    <w:p>
      <w:pPr>
        <w:spacing w:after="120"/>
        <w:jc w:val="center"/>
      </w:pPr>
      <w:r>
        <w:rPr>
          <w:b w:val="false"/>
          <w:bCs w:val="false"/>
          <w:i w:val="false"/>
          <w:iCs w:val="false"/>
          <w:color w:val="1F3A5F"/>
          <w:sz w:val="30"/>
          <w:szCs w:val="30"/>
        </w:rPr>
        <w:t xml:space="preserve">Sub-Industry Leader-Follower Lead-Lag (H6)</w:t>
      </w:r>
    </w:p>
    <w:p>
      <w:pPr>
        <w:spacing w:after="800"/>
        <w:jc w:val="center"/>
      </w:pPr>
      <w:r>
        <w:rPr>
          <w:b w:val="false"/>
          <w:bCs w:val="false"/>
          <w:i/>
          <w:iCs/>
          <w:sz w:val="24"/>
          <w:szCs w:val="24"/>
        </w:rPr>
        <w:t xml:space="preserve">Nine experiments, pre-registered pass/fail criteria, decision-grade outputs</w:t>
      </w:r>
    </w:p>
    <w:p>
      <w:pPr>
        <w:spacing w:after="80"/>
        <w:jc w:val="center"/>
      </w:pPr>
      <w:r>
        <w:rPr>
          <w:b w:val="false"/>
          <w:bCs w:val="false"/>
          <w:i w:val="false"/>
          <w:iCs w:val="false"/>
          <w:sz w:val="22"/>
          <w:szCs w:val="22"/>
        </w:rPr>
        <w:t xml:space="preserve">Owner: Principal Quant Researcher</w:t>
      </w:r>
    </w:p>
    <w:p>
      <w:pPr>
        <w:spacing w:after="80"/>
        <w:jc w:val="center"/>
      </w:pPr>
      <w:r>
        <w:rPr>
          <w:b w:val="false"/>
          <w:bCs w:val="false"/>
          <w:i w:val="false"/>
          <w:iCs w:val="false"/>
          <w:sz w:val="22"/>
          <w:szCs w:val="22"/>
        </w:rPr>
        <w:t xml:space="preserve">Date: June 8, 2026</w:t>
      </w:r>
    </w:p>
    <w:p>
      <w:r>
        <w:br w:type="page"/>
      </w:r>
    </w:p>
    <w:p>
      <w:pPr>
        <w:pStyle w:val="Heading1"/>
      </w:pPr>
      <w:r>
        <w:rPr>
          <w:b w:val="false"/>
          <w:bCs w:val="false"/>
          <w:i w:val="false"/>
          <w:iCs w:val="false"/>
          <w:sz w:val="22"/>
          <w:szCs w:val="22"/>
        </w:rPr>
        <w:t xml:space="preserve">Framework overview</w:t>
      </w:r>
    </w:p>
    <w:p>
      <w:pPr>
        <w:spacing w:after="100"/>
      </w:pPr>
      <w:r>
        <w:rPr>
          <w:b w:val="false"/>
          <w:bCs w:val="false"/>
          <w:i w:val="false"/>
          <w:iCs w:val="false"/>
          <w:sz w:val="22"/>
          <w:szCs w:val="22"/>
        </w:rPr>
        <w:t xml:space="preserve">This document is the experimental blueprint that follows the approved Research Design Document. Each experiment is a self-contained protocol with pre-committed pass/fail criteria. No experiment is run after seeing the results of a later experiment; the dependency chain is fixed in advance and listed in the closing section. The output of the framework is a binary decision at each phase gate — proceed, re-scope, or terminate — supported by the artifacts each experiment is required to produce.</w:t>
      </w:r>
    </w:p>
    <w:p>
      <w:pPr>
        <w:spacing w:after="100"/>
      </w:pPr>
      <w:r>
        <w:rPr>
          <w:b w:val="false"/>
          <w:bCs w:val="false"/>
          <w:i w:val="false"/>
          <w:iCs w:val="false"/>
          <w:sz w:val="22"/>
          <w:szCs w:val="22"/>
        </w:rPr>
        <w:t xml:space="preserve">The framework is structured to falsify the hypothesis at the earliest opportunity. Experiment 1 validates the leader identification — if that fails, nothing downstream is meaningful. Experiment 2 validates the residualization machinery — if residuals carry sector exposure, the central regression is spurious. Experiment 3 is the central test of the hypothesis. Experiments 4-9 elaborate the trading economics and prepare the strategy for production. The order matters: cheap-to-run, high-likelihood-of-failure experiments come first so that we don't sink time into downstream work on a foundation that doesn't hold.</w:t>
      </w:r>
    </w:p>
    <w:p>
      <w:pPr>
        <w:spacing w:after="100"/>
      </w:pPr>
      <w:r>
        <w:rPr>
          <w:b w:val="false"/>
          <w:bCs w:val="false"/>
          <w:i w:val="false"/>
          <w:iCs w:val="false"/>
          <w:sz w:val="22"/>
          <w:szCs w:val="22"/>
        </w:rPr>
        <w:t xml:space="preserve">Each experiment specifies inputs, outputs, methodology, statistical test, pass and fail criteria, interpretation, and three additional fields that the investment committee specifically reviews: why a portfolio manager would care about the result, what result would invalidate the hypothesis at that stage, and how the result should be visualized for the committee deck. Visualization is treated as a first-class artifact because committee decisions are made off plots, not regression tables.</w:t>
      </w:r>
    </w:p>
    <w:p>
      <w:r>
        <w:br w:type="page"/>
      </w:r>
    </w:p>
    <w:p>
      <w:pPr>
        <w:pStyle w:val="Heading1"/>
      </w:pPr>
      <w:r>
        <w:rPr>
          <w:b w:val="false"/>
          <w:bCs w:val="false"/>
          <w:i w:val="false"/>
          <w:iCs w:val="false"/>
          <w:sz w:val="22"/>
          <w:szCs w:val="22"/>
        </w:rPr>
        <w:t xml:space="preserve">Experiment 1 — Leader Identification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9360"/>
            <w:gridSpan w:val="2"/>
            <w:tcBorders>
              <w:top w:val="single" w:color="CCCCCC" w:sz="4"/>
              <w:left w:val="single" w:color="CCCCCC" w:sz="4"/>
              <w:bottom w:val="single" w:color="CCCCCC" w:sz="4"/>
              <w:right w:val="single" w:color="CCCCCC" w:sz="4"/>
            </w:tcBorders>
            <w:shd w:fill="1F3A5F" w:val="clear"/>
            <w:tcMar>
              <w:top w:type="dxa" w:w="100"/>
              <w:left w:type="dxa" w:w="150"/>
              <w:bottom w:type="dxa" w:w="100"/>
              <w:right w:type="dxa" w:w="150"/>
            </w:tcMar>
          </w:tcPr>
          <w:p>
            <w:pPr>
              <w:spacing w:after="0"/>
            </w:pPr>
            <w:r>
              <w:rPr>
                <w:b/>
                <w:bCs/>
                <w:i w:val="false"/>
                <w:iCs w:val="false"/>
                <w:color w:val="FFFFFF"/>
                <w:sz w:val="24"/>
                <w:szCs w:val="24"/>
              </w:rPr>
              <w:t xml:space="preserve">Experiment 1 — Leader Identification Validation</w:t>
            </w:r>
          </w:p>
        </w:tc>
      </w:tr>
      <w:tr>
        <w:tc>
          <w:tcPr>
            <w:tcW w:type="dxa" w:w="19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Objective</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Verify that the cap-weighted top-1 name within each GICS Sub-Industry is a stable, meaningful proxy for the information-leading entity. Confirm that the leader-vs-follower split corresponds to a real structural distinction, not an artifact of cap-rank arithmetic.</w:t>
            </w:r>
          </w:p>
        </w:tc>
      </w:tr>
      <w:tr>
        <w:tc>
          <w:tcPr>
            <w:tcW w:type="dxa" w:w="19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Economic intuition</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Cap-weighted leadership proxies for sell-side analyst coverage concentration and passive-flow proportional weighting. If the cap leader is also the dollar-volume leader, the options-volume leader, and the analyst-coverage leader, then the cap definition captures the genuine information leader. If these dimensions diverge, the cap definition may be selecting the wrong name.</w:t>
            </w:r>
          </w:p>
        </w:tc>
      </w:tr>
      <w:tr>
        <w:tc>
          <w:tcPr>
            <w:tcW w:type="dxa" w:w="19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Inputs</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Daily Price, Market_Cap, Volume per name; GICS Sub-Industry membership PIT panel; rolling 21-day average market cap; rolling 21-day dollar volume.</w:t>
            </w:r>
          </w:p>
        </w:tc>
      </w:tr>
      <w:tr>
        <w:tc>
          <w:tcPr>
            <w:tcW w:type="dxa" w:w="19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Outputs</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(a) Per-Sub-Industry leader identity time series. (b) Leader-stability index: fraction of months in which the leader's identity is unchanged versus the prior month. (c) Leader cap-share: percent of total Sub-Industry market cap held by the leader. (d) Correlation between cap rank and dollar-volume rank at the Sub-Industry level. (e) Distribution of leader cap-share across the 163 Sub-Industries.</w:t>
            </w:r>
          </w:p>
        </w:tc>
      </w:tr>
      <w:tr>
        <w:tc>
          <w:tcPr>
            <w:tcW w:type="dxa" w:w="19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Methodology</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For each (Sub-Industry, ID_DATE) pair, identify the cap-weighted leader using trailing 21-day average Market_Cap (smoothing out single-day noise). Compute leader stability as the percentage of monthly snapshots in which the leader matches the prior month. Compute the cross-Sub-Industry distribution of leader stability and leader cap-share. Compute the Spearman correlation between cap rank and dollar-volume rank within each Sub-Industry. Run a falsification: define a 'pseudo-leader' as the bottom-quartile-cap name and check that no lead-lag emerges with this definition.</w:t>
            </w:r>
          </w:p>
        </w:tc>
      </w:tr>
      <w:tr>
        <w:tc>
          <w:tcPr>
            <w:tcW w:type="dxa" w:w="19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Statistical test</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Spearman rank correlation between cap rank and dollar-volume rank within Sub-Industry, tested against null of zero with two-sided p-value. Permutation test: compare leader-follower lead-lag coefficient under true leader definition vs randomly-assigned leader to verify the cap-based assignment carries information.</w:t>
            </w:r>
          </w:p>
        </w:tc>
      </w:tr>
      <w:tr>
        <w:tc>
          <w:tcPr>
            <w:tcW w:type="dxa" w:w="1900"/>
            <w:tcBorders>
              <w:top w:val="single" w:color="CCCCCC" w:sz="4"/>
              <w:left w:val="single" w:color="CCCCCC" w:sz="4"/>
              <w:bottom w:val="single" w:color="CCCCCC" w:sz="4"/>
              <w:right w:val="single" w:color="CCCCCC" w:sz="4"/>
            </w:tcBorders>
            <w:shd w:fill="E5F2E5" w:val="clear"/>
            <w:tcMar>
              <w:top w:type="dxa" w:w="80"/>
              <w:left w:type="dxa" w:w="130"/>
              <w:bottom w:type="dxa" w:w="80"/>
              <w:right w:type="dxa" w:w="130"/>
            </w:tcMar>
            <w:vAlign w:val="top"/>
          </w:tcPr>
          <w:p>
            <w:pPr>
              <w:spacing w:after="30"/>
            </w:pPr>
            <w:r>
              <w:rPr>
                <w:b/>
                <w:bCs/>
                <w:i w:val="false"/>
                <w:iCs w:val="false"/>
                <w:color w:val="1B5E20"/>
                <w:sz w:val="18"/>
                <w:szCs w:val="18"/>
              </w:rPr>
              <w:t xml:space="preserve">Pass criteria</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(a) Leader identity stable in ≥80% of monthly snapshots within rolling 12-month windows. (b) Spearman rank correlation between cap rank and dollar-volume rank ≥0.7 at the Sub-Industry level. (c) Distribution of leader cap-share concentrated in the [20%, 70%] target band for at least 100 of the 163 Sub-Industries. (d) Permutation test rejects random-leader null at p &lt; 0.001.</w:t>
            </w:r>
          </w:p>
        </w:tc>
      </w:tr>
      <w:tr>
        <w:tc>
          <w:tcPr>
            <w:tcW w:type="dxa" w:w="1900"/>
            <w:tcBorders>
              <w:top w:val="single" w:color="CCCCCC" w:sz="4"/>
              <w:left w:val="single" w:color="CCCCCC" w:sz="4"/>
              <w:bottom w:val="single" w:color="CCCCCC" w:sz="4"/>
              <w:right w:val="single" w:color="CCCCCC" w:sz="4"/>
            </w:tcBorders>
            <w:shd w:fill="F5E5E5" w:val="clear"/>
            <w:tcMar>
              <w:top w:type="dxa" w:w="80"/>
              <w:left w:type="dxa" w:w="130"/>
              <w:bottom w:type="dxa" w:w="80"/>
              <w:right w:type="dxa" w:w="130"/>
            </w:tcMar>
            <w:vAlign w:val="top"/>
          </w:tcPr>
          <w:p>
            <w:pPr>
              <w:spacing w:after="30"/>
            </w:pPr>
            <w:r>
              <w:rPr>
                <w:b/>
                <w:bCs/>
                <w:i w:val="false"/>
                <w:iCs w:val="false"/>
                <w:color w:val="8E2F2F"/>
                <w:sz w:val="18"/>
                <w:szCs w:val="18"/>
              </w:rPr>
              <w:t xml:space="preserve">Failure criteria</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(a) Leader changes monthly in &gt;30% of Sub-Industries (instability undermines signal). (b) Cap rank and dollar-volume rank decoupled (correlation &lt;0.3). (c) Random-leader permutation produces equivalent lead-lag — confirms there is no actual leader structure to exploit.</w:t>
            </w:r>
          </w:p>
        </w:tc>
      </w:tr>
      <w:tr>
        <w:tc>
          <w:tcPr>
            <w:tcW w:type="dxa" w:w="19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Interpretation</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If the cap-based leader is structurally meaningful, downstream experiments have a defensible foundation. If failure: either pivot to an alternative leader definition (top dollar-volume, composite rank), restrict the universe to Sub-Industries where the cap-leader is stable, or terminate the research.</w:t>
            </w:r>
          </w:p>
        </w:tc>
      </w:tr>
      <w:tr>
        <w:tc>
          <w:tcPr>
            <w:tcW w:type="dxa" w:w="1900"/>
            <w:tcBorders>
              <w:top w:val="single" w:color="CCCCCC" w:sz="4"/>
              <w:left w:val="single" w:color="CCCCCC" w:sz="4"/>
              <w:bottom w:val="single" w:color="CCCCCC" w:sz="4"/>
              <w:right w:val="single" w:color="CCCCCC" w:sz="4"/>
            </w:tcBorders>
            <w:shd w:fill="F8F1DD" w:val="clear"/>
            <w:tcMar>
              <w:top w:type="dxa" w:w="80"/>
              <w:left w:type="dxa" w:w="130"/>
              <w:bottom w:type="dxa" w:w="80"/>
              <w:right w:type="dxa" w:w="130"/>
            </w:tcMar>
            <w:vAlign w:val="top"/>
          </w:tcPr>
          <w:p>
            <w:pPr>
              <w:spacing w:after="30"/>
            </w:pPr>
            <w:r>
              <w:rPr>
                <w:b/>
                <w:bCs/>
                <w:i w:val="false"/>
                <w:iCs w:val="false"/>
                <w:color w:val="B8862E"/>
                <w:sz w:val="18"/>
                <w:szCs w:val="18"/>
              </w:rPr>
              <w:t xml:space="preserve">Why a PM cares</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The entire strategy depends on identifying the right leader per Sub-Industry. If the leader proxy is wrong or unstable, the signal is noise and the strategy is untradeable. A PM will not approve sizing without seeing that the leader definition is robust.</w:t>
            </w:r>
          </w:p>
        </w:tc>
      </w:tr>
      <w:tr>
        <w:tc>
          <w:tcPr>
            <w:tcW w:type="dxa" w:w="1900"/>
            <w:tcBorders>
              <w:top w:val="single" w:color="CCCCCC" w:sz="4"/>
              <w:left w:val="single" w:color="CCCCCC" w:sz="4"/>
              <w:bottom w:val="single" w:color="CCCCCC" w:sz="4"/>
              <w:right w:val="single" w:color="CCCCCC" w:sz="4"/>
            </w:tcBorders>
            <w:shd w:fill="F8F1DD" w:val="clear"/>
            <w:tcMar>
              <w:top w:type="dxa" w:w="80"/>
              <w:left w:type="dxa" w:w="130"/>
              <w:bottom w:type="dxa" w:w="80"/>
              <w:right w:type="dxa" w:w="130"/>
            </w:tcMar>
            <w:vAlign w:val="top"/>
          </w:tcPr>
          <w:p>
            <w:pPr>
              <w:spacing w:after="30"/>
            </w:pPr>
            <w:r>
              <w:rPr>
                <w:b/>
                <w:bCs/>
                <w:i w:val="false"/>
                <w:iCs w:val="false"/>
                <w:color w:val="B8862E"/>
                <w:sz w:val="18"/>
                <w:szCs w:val="18"/>
              </w:rPr>
              <w:t xml:space="preserve">What invalidates the hypothesis</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Inability to identify a stable, structurally meaningful leader per Sub-Industry. Either the cap-leader definition is too noisy (cap rank changes every month), or the cap-leader does not correspond to any other measure of dominance (volume, coverage, options activity).</w:t>
            </w:r>
          </w:p>
        </w:tc>
      </w:tr>
      <w:tr>
        <w:tc>
          <w:tcPr>
            <w:tcW w:type="dxa" w:w="1900"/>
            <w:tcBorders>
              <w:top w:val="single" w:color="CCCCCC" w:sz="4"/>
              <w:left w:val="single" w:color="CCCCCC" w:sz="4"/>
              <w:bottom w:val="single" w:color="CCCCCC" w:sz="4"/>
              <w:right w:val="single" w:color="CCCCCC" w:sz="4"/>
            </w:tcBorders>
            <w:shd w:fill="F8F1DD" w:val="clear"/>
            <w:tcMar>
              <w:top w:type="dxa" w:w="80"/>
              <w:left w:type="dxa" w:w="130"/>
              <w:bottom w:type="dxa" w:w="80"/>
              <w:right w:type="dxa" w:w="130"/>
            </w:tcMar>
            <w:vAlign w:val="top"/>
          </w:tcPr>
          <w:p>
            <w:pPr>
              <w:spacing w:after="30"/>
            </w:pPr>
            <w:r>
              <w:rPr>
                <w:b/>
                <w:bCs/>
                <w:i w:val="false"/>
                <w:iCs w:val="false"/>
                <w:color w:val="B8862E"/>
                <w:sz w:val="18"/>
                <w:szCs w:val="18"/>
              </w:rPr>
              <w:t xml:space="preserve">Visualization</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(a) Heatmap of (Sub-Industry × month) → leader ticker, with color encoding the persistence of leadership. (b) Histogram of leader cap-share across the 163 Sub-Industries, with the [20%, 70%] target band shaded. (c) Scatter of cap rank vs dollar-volume rank, one point per (Sub-Industry, snapshot), with regression line. (d) Side-by-side comparison: lead-lag coefficient under cap-leader vs random-leader (bar chart).</w:t>
            </w:r>
          </w:p>
        </w:tc>
      </w:tr>
    </w:tbl>
    <w:p>
      <w:r>
        <w:br w:type="page"/>
      </w:r>
    </w:p>
    <w:p>
      <w:pPr>
        <w:pStyle w:val="Heading1"/>
      </w:pPr>
      <w:r>
        <w:rPr>
          <w:b w:val="false"/>
          <w:bCs w:val="false"/>
          <w:i w:val="false"/>
          <w:iCs w:val="false"/>
          <w:sz w:val="22"/>
          <w:szCs w:val="22"/>
        </w:rPr>
        <w:t xml:space="preserve">Experiment 2 — Residualization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9360"/>
            <w:gridSpan w:val="2"/>
            <w:tcBorders>
              <w:top w:val="single" w:color="CCCCCC" w:sz="4"/>
              <w:left w:val="single" w:color="CCCCCC" w:sz="4"/>
              <w:bottom w:val="single" w:color="CCCCCC" w:sz="4"/>
              <w:right w:val="single" w:color="CCCCCC" w:sz="4"/>
            </w:tcBorders>
            <w:shd w:fill="1F3A5F" w:val="clear"/>
            <w:tcMar>
              <w:top w:type="dxa" w:w="100"/>
              <w:left w:type="dxa" w:w="150"/>
              <w:bottom w:type="dxa" w:w="100"/>
              <w:right w:type="dxa" w:w="150"/>
            </w:tcMar>
          </w:tcPr>
          <w:p>
            <w:pPr>
              <w:spacing w:after="0"/>
            </w:pPr>
            <w:r>
              <w:rPr>
                <w:b/>
                <w:bCs/>
                <w:i w:val="false"/>
                <w:iCs w:val="false"/>
                <w:color w:val="FFFFFF"/>
                <w:sz w:val="24"/>
                <w:szCs w:val="24"/>
              </w:rPr>
              <w:t xml:space="preserve">Experiment 2 — Residualization Validation</w:t>
            </w:r>
          </w:p>
        </w:tc>
      </w:tr>
      <w:tr>
        <w:tc>
          <w:tcPr>
            <w:tcW w:type="dxa" w:w="19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Objective</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Confirm that single-name returns, regressed on their matched GICS-Sector SPDR ETF return over a rolling 126-day window, produce residuals that are economically clean — free of meaningful sector beta, low cross-sectional correlation, and absent of pathological serial correlation.</w:t>
            </w:r>
          </w:p>
        </w:tc>
      </w:tr>
      <w:tr>
        <w:tc>
          <w:tcPr>
            <w:tcW w:type="dxa" w:w="19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Economic intuition</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The signal we trade is the leader's idiosyncratic return. If our residualization machinery fails to remove sector exposure, the 'idiosyncratic' return is contaminated with sector beta, and any apparent lead-lag becomes a hidden sector bet — exposure that's not what the strategy promises and not what the IR appears to measure.</w:t>
            </w:r>
          </w:p>
        </w:tc>
      </w:tr>
      <w:tr>
        <w:tc>
          <w:tcPr>
            <w:tcW w:type="dxa" w:w="19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Inputs</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Daily name returns (PIT Price.pct_change() filtered to business days); daily sector ETF returns (XLB/XLC/XLE/XLF/XLI/XLK/XLP/XLRE/XLU/XLV/XLY Close.pct_change()); GICS_Sector to ETF mapping table; 126-day rolling window.</w:t>
            </w:r>
          </w:p>
        </w:tc>
      </w:tr>
      <w:tr>
        <w:tc>
          <w:tcPr>
            <w:tcW w:type="dxa" w:w="19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Outputs</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(a) Time series of rolling beta per name. (b) Distribution of in-sample R² across all (name, snapshot) regressions. (c) Residual series per name. (d) Cross-sectional correlation matrix of residuals at the Sub-Industry level. (e) Durbin-Watson statistic per name residual series. (f) Residual exposure to alternative benchmarks (SPY, size factor proxy).</w:t>
            </w:r>
          </w:p>
        </w:tc>
      </w:tr>
      <w:tr>
        <w:tc>
          <w:tcPr>
            <w:tcW w:type="dxa" w:w="19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Methodology</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For each name on each date, run rolling 126-day OLS: r_name = α + β × r_sector_ETF + ε. Extract β and ε. Check: (i) mean residual ≈ 0 over rolling window (by construction in-sample but check out-of-window); (ii) residual exposure to sector ETF using held-out window — regress residual on contemporaneous ETF return on an out-of-sample basis; (iii) residual serial correlation via Durbin-Watson and Ljung-Box; (iv) residual exposure to market (SPY) — should be small but nonzero; (v) cross-name residual correlation within Sub-Industry — should be lower than raw return correlation but not zero.</w:t>
            </w:r>
          </w:p>
        </w:tc>
      </w:tr>
      <w:tr>
        <w:tc>
          <w:tcPr>
            <w:tcW w:type="dxa" w:w="19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Statistical test</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Durbin-Watson on residual serial correlation (target: 1.5-2.5 = no pathology). Ljung-Box on residual autocorrelation at lags 1-10. Wald test on residual sector beta (H0: β_residual = 0; should fail to reject). Cross-sectional t-test on mean residual exposure to SPY (should be small but nonzero — captures Sub-Industry-specific market exposure).</w:t>
            </w:r>
          </w:p>
        </w:tc>
      </w:tr>
      <w:tr>
        <w:tc>
          <w:tcPr>
            <w:tcW w:type="dxa" w:w="1900"/>
            <w:tcBorders>
              <w:top w:val="single" w:color="CCCCCC" w:sz="4"/>
              <w:left w:val="single" w:color="CCCCCC" w:sz="4"/>
              <w:bottom w:val="single" w:color="CCCCCC" w:sz="4"/>
              <w:right w:val="single" w:color="CCCCCC" w:sz="4"/>
            </w:tcBorders>
            <w:shd w:fill="E5F2E5" w:val="clear"/>
            <w:tcMar>
              <w:top w:type="dxa" w:w="80"/>
              <w:left w:type="dxa" w:w="130"/>
              <w:bottom w:type="dxa" w:w="80"/>
              <w:right w:type="dxa" w:w="130"/>
            </w:tcMar>
            <w:vAlign w:val="top"/>
          </w:tcPr>
          <w:p>
            <w:pPr>
              <w:spacing w:after="30"/>
            </w:pPr>
            <w:r>
              <w:rPr>
                <w:b/>
                <w:bCs/>
                <w:i w:val="false"/>
                <w:iCs w:val="false"/>
                <w:color w:val="1B5E20"/>
                <w:sz w:val="18"/>
                <w:szCs w:val="18"/>
              </w:rPr>
              <w:t xml:space="preserve">Pass criteria</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(a) Mean residual ≤1 bp/day in absolute value across the panel. (b) Out-of-window residual exposure to sector ETF &lt;0.05 in absolute value. (c) Durbin-Watson statistic in [1.5, 2.5] for ≥90% of name-series. (d) Cross-sectional residual correlation within Sub-Industry is materially lower than raw-return correlation (reduction ≥50%). (e) Beta time series is stable: rolling 63-day standard deviation of beta &lt; 0.3 for the SP500 cohort, &lt; 0.5 for SP400/600.</w:t>
            </w:r>
          </w:p>
        </w:tc>
      </w:tr>
      <w:tr>
        <w:tc>
          <w:tcPr>
            <w:tcW w:type="dxa" w:w="1900"/>
            <w:tcBorders>
              <w:top w:val="single" w:color="CCCCCC" w:sz="4"/>
              <w:left w:val="single" w:color="CCCCCC" w:sz="4"/>
              <w:bottom w:val="single" w:color="CCCCCC" w:sz="4"/>
              <w:right w:val="single" w:color="CCCCCC" w:sz="4"/>
            </w:tcBorders>
            <w:shd w:fill="F5E5E5" w:val="clear"/>
            <w:tcMar>
              <w:top w:type="dxa" w:w="80"/>
              <w:left w:type="dxa" w:w="130"/>
              <w:bottom w:type="dxa" w:w="80"/>
              <w:right w:type="dxa" w:w="130"/>
            </w:tcMar>
            <w:vAlign w:val="top"/>
          </w:tcPr>
          <w:p>
            <w:pPr>
              <w:spacing w:after="30"/>
            </w:pPr>
            <w:r>
              <w:rPr>
                <w:b/>
                <w:bCs/>
                <w:i w:val="false"/>
                <w:iCs w:val="false"/>
                <w:color w:val="8E2F2F"/>
                <w:sz w:val="18"/>
                <w:szCs w:val="18"/>
              </w:rPr>
              <w:t xml:space="preserve">Failure criteria</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(a) Material out-of-window residual sector beta (&gt;0.10). (b) Strong residual serial correlation (Durbin-Watson &lt;1.3 or &gt;2.7) in &gt;20% of names. (c) Beta instability — rolling beta varies by more than 1.0 within a 252-day window for a large fraction of names — suggests the model is too rigid or too flexible.</w:t>
            </w:r>
          </w:p>
        </w:tc>
      </w:tr>
      <w:tr>
        <w:tc>
          <w:tcPr>
            <w:tcW w:type="dxa" w:w="19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Interpretation</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Validated residualization is the precondition for all downstream signal extraction. If the residual is still sector-loaded, the lead-lag regression in Experiment 3 will spuriously pick up sector momentum. Failure here forces a pivot to either a longer beta window, a different benchmark (sector-cap-weighted basket excluding the leader), or an explicit two-factor residualization.</w:t>
            </w:r>
          </w:p>
        </w:tc>
      </w:tr>
      <w:tr>
        <w:tc>
          <w:tcPr>
            <w:tcW w:type="dxa" w:w="1900"/>
            <w:tcBorders>
              <w:top w:val="single" w:color="CCCCCC" w:sz="4"/>
              <w:left w:val="single" w:color="CCCCCC" w:sz="4"/>
              <w:bottom w:val="single" w:color="CCCCCC" w:sz="4"/>
              <w:right w:val="single" w:color="CCCCCC" w:sz="4"/>
            </w:tcBorders>
            <w:shd w:fill="F8F1DD" w:val="clear"/>
            <w:tcMar>
              <w:top w:type="dxa" w:w="80"/>
              <w:left w:type="dxa" w:w="130"/>
              <w:bottom w:type="dxa" w:w="80"/>
              <w:right w:type="dxa" w:w="130"/>
            </w:tcMar>
            <w:vAlign w:val="top"/>
          </w:tcPr>
          <w:p>
            <w:pPr>
              <w:spacing w:after="30"/>
            </w:pPr>
            <w:r>
              <w:rPr>
                <w:b/>
                <w:bCs/>
                <w:i w:val="false"/>
                <w:iCs w:val="false"/>
                <w:color w:val="B8862E"/>
                <w:sz w:val="18"/>
                <w:szCs w:val="18"/>
              </w:rPr>
              <w:t xml:space="preserve">Why a PM cares</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A PM cannot underwrite a 'sector-neutral idio alpha' strategy whose residuals retain sector exposure. The advertised characteristics of the strategy must match its realized characteristics. Residualization validation is the first place the advertised idio claim is tested.</w:t>
            </w:r>
          </w:p>
        </w:tc>
      </w:tr>
      <w:tr>
        <w:tc>
          <w:tcPr>
            <w:tcW w:type="dxa" w:w="1900"/>
            <w:tcBorders>
              <w:top w:val="single" w:color="CCCCCC" w:sz="4"/>
              <w:left w:val="single" w:color="CCCCCC" w:sz="4"/>
              <w:bottom w:val="single" w:color="CCCCCC" w:sz="4"/>
              <w:right w:val="single" w:color="CCCCCC" w:sz="4"/>
            </w:tcBorders>
            <w:shd w:fill="F8F1DD" w:val="clear"/>
            <w:tcMar>
              <w:top w:type="dxa" w:w="80"/>
              <w:left w:type="dxa" w:w="130"/>
              <w:bottom w:type="dxa" w:w="80"/>
              <w:right w:type="dxa" w:w="130"/>
            </w:tcMar>
            <w:vAlign w:val="top"/>
          </w:tcPr>
          <w:p>
            <w:pPr>
              <w:spacing w:after="30"/>
            </w:pPr>
            <w:r>
              <w:rPr>
                <w:b/>
                <w:bCs/>
                <w:i w:val="false"/>
                <w:iCs w:val="false"/>
                <w:color w:val="B8862E"/>
                <w:sz w:val="18"/>
                <w:szCs w:val="18"/>
              </w:rPr>
              <w:t xml:space="preserve">What invalidates the hypothesis</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Material sector exposure remaining in the residual after the regression means the lead-lag effect we measure downstream is a hidden sector momentum effect, not an idiosyncratic information diffusion effect. The economic mechanism would be wrong even if the apparent alpha is real.</w:t>
            </w:r>
          </w:p>
        </w:tc>
      </w:tr>
      <w:tr>
        <w:tc>
          <w:tcPr>
            <w:tcW w:type="dxa" w:w="1900"/>
            <w:tcBorders>
              <w:top w:val="single" w:color="CCCCCC" w:sz="4"/>
              <w:left w:val="single" w:color="CCCCCC" w:sz="4"/>
              <w:bottom w:val="single" w:color="CCCCCC" w:sz="4"/>
              <w:right w:val="single" w:color="CCCCCC" w:sz="4"/>
            </w:tcBorders>
            <w:shd w:fill="F8F1DD" w:val="clear"/>
            <w:tcMar>
              <w:top w:type="dxa" w:w="80"/>
              <w:left w:type="dxa" w:w="130"/>
              <w:bottom w:type="dxa" w:w="80"/>
              <w:right w:type="dxa" w:w="130"/>
            </w:tcMar>
            <w:vAlign w:val="top"/>
          </w:tcPr>
          <w:p>
            <w:pPr>
              <w:spacing w:after="30"/>
            </w:pPr>
            <w:r>
              <w:rPr>
                <w:b/>
                <w:bCs/>
                <w:i w:val="false"/>
                <w:iCs w:val="false"/>
                <w:color w:val="B8862E"/>
                <w:sz w:val="18"/>
                <w:szCs w:val="18"/>
              </w:rPr>
              <w:t xml:space="preserve">Visualization</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(a) Rolling beta time series for each sector ETF, with mean ±1σ bands. (b) Histogram of out-of-window residual exposure to sector ETF — should be tightly centered on zero. (c) Autocorrelation function plot for the residual of a representative name. (d) Side-by-side cross-correlation matrix: raw within-Sub-Industry vs residual within-Sub-Industry (showing residualization removes common variation).</w:t>
            </w:r>
          </w:p>
        </w:tc>
      </w:tr>
    </w:tbl>
    <w:p>
      <w:r>
        <w:br w:type="page"/>
      </w:r>
    </w:p>
    <w:p>
      <w:pPr>
        <w:pStyle w:val="Heading1"/>
      </w:pPr>
      <w:r>
        <w:rPr>
          <w:b w:val="false"/>
          <w:bCs w:val="false"/>
          <w:i w:val="false"/>
          <w:iCs w:val="false"/>
          <w:sz w:val="22"/>
          <w:szCs w:val="22"/>
        </w:rPr>
        <w:t xml:space="preserve">Experiment 3 — Lead-Lag Relationship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9360"/>
            <w:gridSpan w:val="2"/>
            <w:tcBorders>
              <w:top w:val="single" w:color="CCCCCC" w:sz="4"/>
              <w:left w:val="single" w:color="CCCCCC" w:sz="4"/>
              <w:bottom w:val="single" w:color="CCCCCC" w:sz="4"/>
              <w:right w:val="single" w:color="CCCCCC" w:sz="4"/>
            </w:tcBorders>
            <w:shd w:fill="1F3A5F" w:val="clear"/>
            <w:tcMar>
              <w:top w:type="dxa" w:w="100"/>
              <w:left w:type="dxa" w:w="150"/>
              <w:bottom w:type="dxa" w:w="100"/>
              <w:right w:type="dxa" w:w="150"/>
            </w:tcMar>
          </w:tcPr>
          <w:p>
            <w:pPr>
              <w:spacing w:after="0"/>
            </w:pPr>
            <w:r>
              <w:rPr>
                <w:b/>
                <w:bCs/>
                <w:i w:val="false"/>
                <w:iCs w:val="false"/>
                <w:color w:val="FFFFFF"/>
                <w:sz w:val="24"/>
                <w:szCs w:val="24"/>
              </w:rPr>
              <w:t xml:space="preserve">Experiment 3 — Lead-Lag Relationship Validation</w:t>
            </w:r>
          </w:p>
        </w:tc>
      </w:tr>
      <w:tr>
        <w:tc>
          <w:tcPr>
            <w:tcW w:type="dxa" w:w="19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Objective</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Test the central claim: that the leader's residual return at day t predicts the equal-weighted follower aggregate residual return at days t+1 through t+5, with statistically and economically significant positive coefficients after multiple-comparison correction.</w:t>
            </w:r>
          </w:p>
        </w:tc>
      </w:tr>
      <w:tr>
        <w:tc>
          <w:tcPr>
            <w:tcW w:type="dxa" w:w="19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Economic intuition</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Information diffuses from the leader's price to follower prices over a multi-day horizon. The coefficient β_k captures the fraction of leader information that has been transmitted to followers by day t+k. The diffusion should be unidirectional (leader → follower, not the reverse); the reverse-direction test is the falsifier.</w:t>
            </w:r>
          </w:p>
        </w:tc>
      </w:tr>
      <w:tr>
        <w:tc>
          <w:tcPr>
            <w:tcW w:type="dxa" w:w="19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Inputs</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Residual return panel from Experiment 2; Sub-Industry-level leader identification from Experiment 1; (Sub-Industry, date) observation grid; lead-lag horizons k = 1, 2, 3, 4, 5 forward and k = -1, -2, -3, -4, -5 backward.</w:t>
            </w:r>
          </w:p>
        </w:tc>
      </w:tr>
      <w:tr>
        <w:tc>
          <w:tcPr>
            <w:tcW w:type="dxa" w:w="19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Outputs</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(a) Panel regression coefficients β_k for k = 1-5 with t-statistics and BH-corrected p-values. (b) Cross-correlation function for the leader-vs-follower residual pair across all lags. (c) Reverse-direction regression coefficients (follower at t predicts leader at t+k). (d) Per-sector decomposition of β_1. (e) Sub-Industry-level effect sizes for the top decile and bottom decile of leader cap-share.</w:t>
            </w:r>
          </w:p>
        </w:tc>
      </w:tr>
      <w:tr>
        <w:tc>
          <w:tcPr>
            <w:tcW w:type="dxa" w:w="19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Methodology</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Panel regression: follower_residual(t+k) = α + β_k × leader_residual(t) + Sub-Industry fixed effects + date fixed effects + ε, with two-way clustered standard errors (Sub-Industry, date). Run for k = 1, 2, 3, 4, 5. Apply Benjamini-Hochberg correction across the five tests. Run reverse-direction regression as falsification: leader_residual(t+k) = α + γ_k × follower_residual(t) + FE + ε, and verify γ_k is materially smaller than β_k (asymmetry test). Run sector-by-sector to identify any sector that drives the result. Run by Sub-Industry concentration bucket to verify the H1 prediction that the effect is strongest in the [30%, 60%] cap-share band.</w:t>
            </w:r>
          </w:p>
        </w:tc>
      </w:tr>
      <w:tr>
        <w:tc>
          <w:tcPr>
            <w:tcW w:type="dxa" w:w="19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Statistical test</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Two-way clustered t-statistic on β_k &gt; 2 (after BH correction across 5 horizons). Asymmetry test: bootstrap confidence interval on (β_k − γ_k) excludes zero. Fama-MacBeth cross-sectional regression as parallel inference framework, with Newey-West correction (5 lags).</w:t>
            </w:r>
          </w:p>
        </w:tc>
      </w:tr>
      <w:tr>
        <w:tc>
          <w:tcPr>
            <w:tcW w:type="dxa" w:w="1900"/>
            <w:tcBorders>
              <w:top w:val="single" w:color="CCCCCC" w:sz="4"/>
              <w:left w:val="single" w:color="CCCCCC" w:sz="4"/>
              <w:bottom w:val="single" w:color="CCCCCC" w:sz="4"/>
              <w:right w:val="single" w:color="CCCCCC" w:sz="4"/>
            </w:tcBorders>
            <w:shd w:fill="E5F2E5" w:val="clear"/>
            <w:tcMar>
              <w:top w:type="dxa" w:w="80"/>
              <w:left w:type="dxa" w:w="130"/>
              <w:bottom w:type="dxa" w:w="80"/>
              <w:right w:type="dxa" w:w="130"/>
            </w:tcMar>
            <w:vAlign w:val="top"/>
          </w:tcPr>
          <w:p>
            <w:pPr>
              <w:spacing w:after="30"/>
            </w:pPr>
            <w:r>
              <w:rPr>
                <w:b/>
                <w:bCs/>
                <w:i w:val="false"/>
                <w:iCs w:val="false"/>
                <w:color w:val="1B5E20"/>
                <w:sz w:val="18"/>
                <w:szCs w:val="18"/>
              </w:rPr>
              <w:t xml:space="preserve">Pass criteria</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(a) β_1, β_2, β_3 all positive with BH-corrected p &lt; 0.05 and economic magnitude in [0.08, 0.25] per the pre-committed H1 range. (b) Coefficient magnitudes decay monotonically across k. (c) Reverse-direction coefficients γ_k are &lt;50% of forward β_k (clear asymmetry). (d) Effect present in at least 7 of 11 GICS Sectors. (e) Effect significantly stronger in the [30%, 60%] leader cap-share band than in the extremes.</w:t>
            </w:r>
          </w:p>
        </w:tc>
      </w:tr>
      <w:tr>
        <w:tc>
          <w:tcPr>
            <w:tcW w:type="dxa" w:w="1900"/>
            <w:tcBorders>
              <w:top w:val="single" w:color="CCCCCC" w:sz="4"/>
              <w:left w:val="single" w:color="CCCCCC" w:sz="4"/>
              <w:bottom w:val="single" w:color="CCCCCC" w:sz="4"/>
              <w:right w:val="single" w:color="CCCCCC" w:sz="4"/>
            </w:tcBorders>
            <w:shd w:fill="F5E5E5" w:val="clear"/>
            <w:tcMar>
              <w:top w:type="dxa" w:w="80"/>
              <w:left w:type="dxa" w:w="130"/>
              <w:bottom w:type="dxa" w:w="80"/>
              <w:right w:type="dxa" w:w="130"/>
            </w:tcMar>
            <w:vAlign w:val="top"/>
          </w:tcPr>
          <w:p>
            <w:pPr>
              <w:spacing w:after="30"/>
            </w:pPr>
            <w:r>
              <w:rPr>
                <w:b/>
                <w:bCs/>
                <w:i w:val="false"/>
                <w:iCs w:val="false"/>
                <w:color w:val="8E2F2F"/>
                <w:sz w:val="18"/>
                <w:szCs w:val="18"/>
              </w:rPr>
              <w:t xml:space="preserve">Failure criteria</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(a) β_k = 0 or negative or fails to reject H0 after correction (study terminates). (b) Reverse-direction coefficient as large as forward — symmetric effect implies common shock, not lead-lag. (c) Effect concentrated in 1-2 sectors — no diversification, lack of structural mechanism.</w:t>
            </w:r>
          </w:p>
        </w:tc>
      </w:tr>
      <w:tr>
        <w:tc>
          <w:tcPr>
            <w:tcW w:type="dxa" w:w="19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Interpretation</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This experiment is the binary gate for the entire research program. Confirmation of H1 with the pre-committed structural features (decay, asymmetry, sector spread, concentration sensitivity) provides strong evidence that the diffusion mechanism is real and tradable. Failure terminates the research; partial confirmation triggers re-scoping with focus on the surviving sectors.</w:t>
            </w:r>
          </w:p>
        </w:tc>
      </w:tr>
      <w:tr>
        <w:tc>
          <w:tcPr>
            <w:tcW w:type="dxa" w:w="1900"/>
            <w:tcBorders>
              <w:top w:val="single" w:color="CCCCCC" w:sz="4"/>
              <w:left w:val="single" w:color="CCCCCC" w:sz="4"/>
              <w:bottom w:val="single" w:color="CCCCCC" w:sz="4"/>
              <w:right w:val="single" w:color="CCCCCC" w:sz="4"/>
            </w:tcBorders>
            <w:shd w:fill="F8F1DD" w:val="clear"/>
            <w:tcMar>
              <w:top w:type="dxa" w:w="80"/>
              <w:left w:type="dxa" w:w="130"/>
              <w:bottom w:type="dxa" w:w="80"/>
              <w:right w:type="dxa" w:w="130"/>
            </w:tcMar>
            <w:vAlign w:val="top"/>
          </w:tcPr>
          <w:p>
            <w:pPr>
              <w:spacing w:after="30"/>
            </w:pPr>
            <w:r>
              <w:rPr>
                <w:b/>
                <w:bCs/>
                <w:i w:val="false"/>
                <w:iCs w:val="false"/>
                <w:color w:val="B8862E"/>
                <w:sz w:val="18"/>
                <w:szCs w:val="18"/>
              </w:rPr>
              <w:t xml:space="preserve">Why a PM cares</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This is the result that determines whether the strategy is real. Every downstream experiment is conditional on the lead-lag relationship existing. A PM reading the deck will skip to this experiment first.</w:t>
            </w:r>
          </w:p>
        </w:tc>
      </w:tr>
      <w:tr>
        <w:tc>
          <w:tcPr>
            <w:tcW w:type="dxa" w:w="1900"/>
            <w:tcBorders>
              <w:top w:val="single" w:color="CCCCCC" w:sz="4"/>
              <w:left w:val="single" w:color="CCCCCC" w:sz="4"/>
              <w:bottom w:val="single" w:color="CCCCCC" w:sz="4"/>
              <w:right w:val="single" w:color="CCCCCC" w:sz="4"/>
            </w:tcBorders>
            <w:shd w:fill="F8F1DD" w:val="clear"/>
            <w:tcMar>
              <w:top w:type="dxa" w:w="80"/>
              <w:left w:type="dxa" w:w="130"/>
              <w:bottom w:type="dxa" w:w="80"/>
              <w:right w:type="dxa" w:w="130"/>
            </w:tcMar>
            <w:vAlign w:val="top"/>
          </w:tcPr>
          <w:p>
            <w:pPr>
              <w:spacing w:after="30"/>
            </w:pPr>
            <w:r>
              <w:rPr>
                <w:b/>
                <w:bCs/>
                <w:i w:val="false"/>
                <w:iCs w:val="false"/>
                <w:color w:val="B8862E"/>
                <w:sz w:val="18"/>
                <w:szCs w:val="18"/>
              </w:rPr>
              <w:t xml:space="preserve">What invalidates the hypothesis</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Failure to reject H0; symmetric forward-vs-reverse coefficients; concentration of effect in 1-2 sectors; absence of decay structure (effect flat or growing with horizon).</w:t>
            </w:r>
          </w:p>
        </w:tc>
      </w:tr>
      <w:tr>
        <w:tc>
          <w:tcPr>
            <w:tcW w:type="dxa" w:w="1900"/>
            <w:tcBorders>
              <w:top w:val="single" w:color="CCCCCC" w:sz="4"/>
              <w:left w:val="single" w:color="CCCCCC" w:sz="4"/>
              <w:bottom w:val="single" w:color="CCCCCC" w:sz="4"/>
              <w:right w:val="single" w:color="CCCCCC" w:sz="4"/>
            </w:tcBorders>
            <w:shd w:fill="F8F1DD" w:val="clear"/>
            <w:tcMar>
              <w:top w:type="dxa" w:w="80"/>
              <w:left w:type="dxa" w:w="130"/>
              <w:bottom w:type="dxa" w:w="80"/>
              <w:right w:type="dxa" w:w="130"/>
            </w:tcMar>
            <w:vAlign w:val="top"/>
          </w:tcPr>
          <w:p>
            <w:pPr>
              <w:spacing w:after="30"/>
            </w:pPr>
            <w:r>
              <w:rPr>
                <w:b/>
                <w:bCs/>
                <w:i w:val="false"/>
                <w:iCs w:val="false"/>
                <w:color w:val="B8862E"/>
                <w:sz w:val="18"/>
                <w:szCs w:val="18"/>
              </w:rPr>
              <w:t xml:space="preserve">Visualization</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(a) Bar chart of β_k vs k with 95% confidence intervals — the most important chart in the deck. (b) Forward β_k vs reverse γ_k overlay showing asymmetry. (c) Per-sector β_1 with confidence intervals (forest plot). (d) β_1 across leader cap-share buckets — visualization of the predicted [30%, 60%] sweet spot. (e) Cross-correlation function with confidence bands.</w:t>
            </w:r>
          </w:p>
        </w:tc>
      </w:tr>
    </w:tbl>
    <w:p>
      <w:r>
        <w:br w:type="page"/>
      </w:r>
    </w:p>
    <w:p>
      <w:pPr>
        <w:pStyle w:val="Heading1"/>
      </w:pPr>
      <w:r>
        <w:rPr>
          <w:b w:val="false"/>
          <w:bCs w:val="false"/>
          <w:i w:val="false"/>
          <w:iCs w:val="false"/>
          <w:sz w:val="22"/>
          <w:szCs w:val="22"/>
        </w:rPr>
        <w:t xml:space="preserve">Experiment 4 — Signal Decay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9360"/>
            <w:gridSpan w:val="2"/>
            <w:tcBorders>
              <w:top w:val="single" w:color="CCCCCC" w:sz="4"/>
              <w:left w:val="single" w:color="CCCCCC" w:sz="4"/>
              <w:bottom w:val="single" w:color="CCCCCC" w:sz="4"/>
              <w:right w:val="single" w:color="CCCCCC" w:sz="4"/>
            </w:tcBorders>
            <w:shd w:fill="1F3A5F" w:val="clear"/>
            <w:tcMar>
              <w:top w:type="dxa" w:w="100"/>
              <w:left w:type="dxa" w:w="150"/>
              <w:bottom w:type="dxa" w:w="100"/>
              <w:right w:type="dxa" w:w="150"/>
            </w:tcMar>
          </w:tcPr>
          <w:p>
            <w:pPr>
              <w:spacing w:after="0"/>
            </w:pPr>
            <w:r>
              <w:rPr>
                <w:b/>
                <w:bCs/>
                <w:i w:val="false"/>
                <w:iCs w:val="false"/>
                <w:color w:val="FFFFFF"/>
                <w:sz w:val="24"/>
                <w:szCs w:val="24"/>
              </w:rPr>
              <w:t xml:space="preserve">Experiment 4 — Signal Decay Analysis</w:t>
            </w:r>
          </w:p>
        </w:tc>
      </w:tr>
      <w:tr>
        <w:tc>
          <w:tcPr>
            <w:tcW w:type="dxa" w:w="19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Objective</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Characterize the shape and speed of signal decay from t+1 outward, in order to determine the optimal holding period and the marginal information content at each horizon.</w:t>
            </w:r>
          </w:p>
        </w:tc>
      </w:tr>
      <w:tr>
        <w:tc>
          <w:tcPr>
            <w:tcW w:type="dxa" w:w="19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Economic intuition</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Information diffusion is a process with a finite half-life. The decay structure tells us how quickly followers fully reprice and therefore when we should exit. A decay too fast means we cannot capture the signal post-trading-cost; a decay too slow suggests not a diffusion process but something structural (sector drift, factor exposure).</w:t>
            </w:r>
          </w:p>
        </w:tc>
      </w:tr>
      <w:tr>
        <w:tc>
          <w:tcPr>
            <w:tcW w:type="dxa" w:w="19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Inputs</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Panel regression coefficient estimates β_k from Experiment 3, extended to k = 1, 2, …, 20.</w:t>
            </w:r>
          </w:p>
        </w:tc>
      </w:tr>
      <w:tr>
        <w:tc>
          <w:tcPr>
            <w:tcW w:type="dxa" w:w="19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Outputs</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(a) β_k vs k curve over the extended horizon. (b) Cumulative information transmission Σ_{j=1}^{k} β_j vs k. (c) Estimated half-life from exponential fit. (d) Identification of the horizon at which β_k becomes statistically indistinguishable from zero. (e) Optimal trading horizon as determined by the intersection of marginal β_k with the per-trade transaction cost.</w:t>
            </w:r>
          </w:p>
        </w:tc>
      </w:tr>
      <w:tr>
        <w:tc>
          <w:tcPr>
            <w:tcW w:type="dxa" w:w="19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Methodology</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Extend the panel regression in Experiment 3 to horizons k = 1 through 20. Fit β_k = β_0 × exp(−λ × k) via nonlinear least squares to extract the decay rate λ; half-life = ln(2) / λ. Compute cumulative β through k as the total transmitted information by horizon. Identify k* = the smallest k such that the rolling marginal β_k is no longer larger than the per-trade transaction cost (cost-equivalent decay point).</w:t>
            </w:r>
          </w:p>
        </w:tc>
      </w:tr>
      <w:tr>
        <w:tc>
          <w:tcPr>
            <w:tcW w:type="dxa" w:w="19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Statistical test</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F-test on whether β_k = 0 for k &gt; k* using the panel framework. Goodness-of-fit (R²) of the exponential decay model — should be ≥0.7 if the diffusion model is well-specified. Wald test on whether the empirical half-life is within the pre-committed [1.5, 3.5] day range.</w:t>
            </w:r>
          </w:p>
        </w:tc>
      </w:tr>
      <w:tr>
        <w:tc>
          <w:tcPr>
            <w:tcW w:type="dxa" w:w="1900"/>
            <w:tcBorders>
              <w:top w:val="single" w:color="CCCCCC" w:sz="4"/>
              <w:left w:val="single" w:color="CCCCCC" w:sz="4"/>
              <w:bottom w:val="single" w:color="CCCCCC" w:sz="4"/>
              <w:right w:val="single" w:color="CCCCCC" w:sz="4"/>
            </w:tcBorders>
            <w:shd w:fill="E5F2E5" w:val="clear"/>
            <w:tcMar>
              <w:top w:type="dxa" w:w="80"/>
              <w:left w:type="dxa" w:w="130"/>
              <w:bottom w:type="dxa" w:w="80"/>
              <w:right w:type="dxa" w:w="130"/>
            </w:tcMar>
            <w:vAlign w:val="top"/>
          </w:tcPr>
          <w:p>
            <w:pPr>
              <w:spacing w:after="30"/>
            </w:pPr>
            <w:r>
              <w:rPr>
                <w:b/>
                <w:bCs/>
                <w:i w:val="false"/>
                <w:iCs w:val="false"/>
                <w:color w:val="1B5E20"/>
                <w:sz w:val="18"/>
                <w:szCs w:val="18"/>
              </w:rPr>
              <w:t xml:space="preserve">Pass criteria</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(a) Half-life of signal in [1.5, 3.5] days. (b) Cumulative β plateaus by k = 5-7. (c) β_k becomes statistically indistinguishable from zero by k = 10. (d) Exponential decay model R² ≥0.7. (e) Cost-equivalent horizon k* in [3, 5] days.</w:t>
            </w:r>
          </w:p>
        </w:tc>
      </w:tr>
      <w:tr>
        <w:tc>
          <w:tcPr>
            <w:tcW w:type="dxa" w:w="1900"/>
            <w:tcBorders>
              <w:top w:val="single" w:color="CCCCCC" w:sz="4"/>
              <w:left w:val="single" w:color="CCCCCC" w:sz="4"/>
              <w:bottom w:val="single" w:color="CCCCCC" w:sz="4"/>
              <w:right w:val="single" w:color="CCCCCC" w:sz="4"/>
            </w:tcBorders>
            <w:shd w:fill="F5E5E5" w:val="clear"/>
            <w:tcMar>
              <w:top w:type="dxa" w:w="80"/>
              <w:left w:type="dxa" w:w="130"/>
              <w:bottom w:type="dxa" w:w="80"/>
              <w:right w:type="dxa" w:w="130"/>
            </w:tcMar>
            <w:vAlign w:val="top"/>
          </w:tcPr>
          <w:p>
            <w:pPr>
              <w:spacing w:after="30"/>
            </w:pPr>
            <w:r>
              <w:rPr>
                <w:b/>
                <w:bCs/>
                <w:i w:val="false"/>
                <w:iCs w:val="false"/>
                <w:color w:val="8E2F2F"/>
                <w:sz w:val="18"/>
                <w:szCs w:val="18"/>
              </w:rPr>
              <w:t xml:space="preserve">Failure criteria</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(a) Half-life &lt;0.5 days — signal decays before we can trade. (b) Half-life &gt;10 days — implies not diffusion but structural exposure. (c) No clear decay (β_k flat or oscillating) — economic mechanism likely wrong. (d) Cost-equivalent horizon ≤1 day — strategy is unprofitable after costs at any horizon.</w:t>
            </w:r>
          </w:p>
        </w:tc>
      </w:tr>
      <w:tr>
        <w:tc>
          <w:tcPr>
            <w:tcW w:type="dxa" w:w="19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Interpretation</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The decay structure tells us the precise trading horizon. A clean exponential decay with half-life in the target band validates the diffusion mechanism economically. A long flat coefficient pattern suggests we are measuring a slow factor exposure, not information diffusion.</w:t>
            </w:r>
          </w:p>
        </w:tc>
      </w:tr>
      <w:tr>
        <w:tc>
          <w:tcPr>
            <w:tcW w:type="dxa" w:w="1900"/>
            <w:tcBorders>
              <w:top w:val="single" w:color="CCCCCC" w:sz="4"/>
              <w:left w:val="single" w:color="CCCCCC" w:sz="4"/>
              <w:bottom w:val="single" w:color="CCCCCC" w:sz="4"/>
              <w:right w:val="single" w:color="CCCCCC" w:sz="4"/>
            </w:tcBorders>
            <w:shd w:fill="F8F1DD" w:val="clear"/>
            <w:tcMar>
              <w:top w:type="dxa" w:w="80"/>
              <w:left w:type="dxa" w:w="130"/>
              <w:bottom w:type="dxa" w:w="80"/>
              <w:right w:type="dxa" w:w="130"/>
            </w:tcMar>
            <w:vAlign w:val="top"/>
          </w:tcPr>
          <w:p>
            <w:pPr>
              <w:spacing w:after="30"/>
            </w:pPr>
            <w:r>
              <w:rPr>
                <w:b/>
                <w:bCs/>
                <w:i w:val="false"/>
                <w:iCs w:val="false"/>
                <w:color w:val="B8862E"/>
                <w:sz w:val="18"/>
                <w:szCs w:val="18"/>
              </w:rPr>
              <w:t xml:space="preserve">Why a PM cares</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Holding period decision drives turnover, cost, capacity, and ultimately net Sharpe. Without the decay analysis the PM cannot rationalize the chosen rebalance frequency.</w:t>
            </w:r>
          </w:p>
        </w:tc>
      </w:tr>
      <w:tr>
        <w:tc>
          <w:tcPr>
            <w:tcW w:type="dxa" w:w="1900"/>
            <w:tcBorders>
              <w:top w:val="single" w:color="CCCCCC" w:sz="4"/>
              <w:left w:val="single" w:color="CCCCCC" w:sz="4"/>
              <w:bottom w:val="single" w:color="CCCCCC" w:sz="4"/>
              <w:right w:val="single" w:color="CCCCCC" w:sz="4"/>
            </w:tcBorders>
            <w:shd w:fill="F8F1DD" w:val="clear"/>
            <w:tcMar>
              <w:top w:type="dxa" w:w="80"/>
              <w:left w:type="dxa" w:w="130"/>
              <w:bottom w:type="dxa" w:w="80"/>
              <w:right w:type="dxa" w:w="130"/>
            </w:tcMar>
            <w:vAlign w:val="top"/>
          </w:tcPr>
          <w:p>
            <w:pPr>
              <w:spacing w:after="30"/>
            </w:pPr>
            <w:r>
              <w:rPr>
                <w:b/>
                <w:bCs/>
                <w:i w:val="false"/>
                <w:iCs w:val="false"/>
                <w:color w:val="B8862E"/>
                <w:sz w:val="18"/>
                <w:szCs w:val="18"/>
              </w:rPr>
              <w:t xml:space="preserve">What invalidates the hypothesis</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A decay structure inconsistent with information diffusion — either no decay at all (factor-like persistence) or instant decay (microstructure bounce, not information). Either invalidates the economic model.</w:t>
            </w:r>
          </w:p>
        </w:tc>
      </w:tr>
      <w:tr>
        <w:tc>
          <w:tcPr>
            <w:tcW w:type="dxa" w:w="1900"/>
            <w:tcBorders>
              <w:top w:val="single" w:color="CCCCCC" w:sz="4"/>
              <w:left w:val="single" w:color="CCCCCC" w:sz="4"/>
              <w:bottom w:val="single" w:color="CCCCCC" w:sz="4"/>
              <w:right w:val="single" w:color="CCCCCC" w:sz="4"/>
            </w:tcBorders>
            <w:shd w:fill="F8F1DD" w:val="clear"/>
            <w:tcMar>
              <w:top w:type="dxa" w:w="80"/>
              <w:left w:type="dxa" w:w="130"/>
              <w:bottom w:type="dxa" w:w="80"/>
              <w:right w:type="dxa" w:w="130"/>
            </w:tcMar>
            <w:vAlign w:val="top"/>
          </w:tcPr>
          <w:p>
            <w:pPr>
              <w:spacing w:after="30"/>
            </w:pPr>
            <w:r>
              <w:rPr>
                <w:b/>
                <w:bCs/>
                <w:i w:val="false"/>
                <w:iCs w:val="false"/>
                <w:color w:val="B8862E"/>
                <w:sz w:val="18"/>
                <w:szCs w:val="18"/>
              </w:rPr>
              <w:t xml:space="preserve">Visualization</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(a) β_k vs k scatter with fitted exponential curve and 95% confidence band. (b) Cumulative β_k vs k with cost-line overlay marking the cost-equivalent horizon. (c) Side-by-side histograms of empirical half-lives across the 11 sectors. (d) Heatmap of β_k by sector × horizon.</w:t>
            </w:r>
          </w:p>
        </w:tc>
      </w:tr>
    </w:tbl>
    <w:p>
      <w:r>
        <w:br w:type="page"/>
      </w:r>
    </w:p>
    <w:p>
      <w:pPr>
        <w:pStyle w:val="Heading1"/>
      </w:pPr>
      <w:r>
        <w:rPr>
          <w:b w:val="false"/>
          <w:bCs w:val="false"/>
          <w:i w:val="false"/>
          <w:iCs w:val="false"/>
          <w:sz w:val="22"/>
          <w:szCs w:val="22"/>
        </w:rPr>
        <w:t xml:space="preserve">Experiment 5 — Liquidity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9360"/>
            <w:gridSpan w:val="2"/>
            <w:tcBorders>
              <w:top w:val="single" w:color="CCCCCC" w:sz="4"/>
              <w:left w:val="single" w:color="CCCCCC" w:sz="4"/>
              <w:bottom w:val="single" w:color="CCCCCC" w:sz="4"/>
              <w:right w:val="single" w:color="CCCCCC" w:sz="4"/>
            </w:tcBorders>
            <w:shd w:fill="1F3A5F" w:val="clear"/>
            <w:tcMar>
              <w:top w:type="dxa" w:w="100"/>
              <w:left w:type="dxa" w:w="150"/>
              <w:bottom w:type="dxa" w:w="100"/>
              <w:right w:type="dxa" w:w="150"/>
            </w:tcMar>
          </w:tcPr>
          <w:p>
            <w:pPr>
              <w:spacing w:after="0"/>
            </w:pPr>
            <w:r>
              <w:rPr>
                <w:b/>
                <w:bCs/>
                <w:i w:val="false"/>
                <w:iCs w:val="false"/>
                <w:color w:val="FFFFFF"/>
                <w:sz w:val="24"/>
                <w:szCs w:val="24"/>
              </w:rPr>
              <w:t xml:space="preserve">Experiment 5 — Liquidity Analysis</w:t>
            </w:r>
          </w:p>
        </w:tc>
      </w:tr>
      <w:tr>
        <w:tc>
          <w:tcPr>
            <w:tcW w:type="dxa" w:w="19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Objective</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Map the tradable opportunity set across the universe at various AUM levels. Identify the liquidity floor below which the strategy fragments and the AUM ceiling above which participation constraints bind.</w:t>
            </w:r>
          </w:p>
        </w:tc>
      </w:tr>
      <w:tr>
        <w:tc>
          <w:tcPr>
            <w:tcW w:type="dxa" w:w="19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Economic intuition</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The signal is only as good as the dollar volume of the names required to express it. Followers in SP600 — where the lead-lag effect is theoretically strongest because price discovery is most bandwidth-limited — are also the least liquid. The tension between signal strength and tradability is at the center of capacity sizing.</w:t>
            </w:r>
          </w:p>
        </w:tc>
      </w:tr>
      <w:tr>
        <w:tc>
          <w:tcPr>
            <w:tcW w:type="dxa" w:w="19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Inputs</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Daily dollar volume per name (Price × Volume) from the PIT panels; signal-strength outputs from Experiment 3; pre-committed participation rate cap of 10% of trailing-21-day ADV; trial AUM levels (50M, 100M, 250M, 500M, 1B).</w:t>
            </w:r>
          </w:p>
        </w:tc>
      </w:tr>
      <w:tr>
        <w:tc>
          <w:tcPr>
            <w:tcW w:type="dxa" w:w="19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Outputs</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(a) Distribution of trailing-21-day dollar volume across the trading universe, by tier. (b) Number of (Sub-Industry, date) signals tradable at each AUM level, given the participation cap. (c) Per-Sub-Industry tradable-day percentage at each AUM level. (d) Identification of Sub-Industries that become untradeable at $300M+.</w:t>
            </w:r>
          </w:p>
        </w:tc>
      </w:tr>
      <w:tr>
        <w:tc>
          <w:tcPr>
            <w:tcW w:type="dxa" w:w="19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Methodology</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For each (Sub-Industry, date) signal and each follower name to be traded, compute the implied per-name trade size at the trial AUM. Apply the 10%-of-ADV cap; flag the trade as untradeable if the cap binds. Aggregate the count of tradable signals to the daily and Sub-Industry level. Compute the fraction of nominal signals that remain tradable as AUM scales. Identify the AUM threshold at which the median Sub-Industry day becomes &lt;80% tradable.</w:t>
            </w:r>
          </w:p>
        </w:tc>
      </w:tr>
      <w:tr>
        <w:tc>
          <w:tcPr>
            <w:tcW w:type="dxa" w:w="19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Statistical test</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None — this is a descriptive engineering analysis, but with bootstrap confidence intervals on the tradable-signal counts under simulated dollar-volume realizations (volatility of daily volume creates uncertainty in tradable counts).</w:t>
            </w:r>
          </w:p>
        </w:tc>
      </w:tr>
      <w:tr>
        <w:tc>
          <w:tcPr>
            <w:tcW w:type="dxa" w:w="1900"/>
            <w:tcBorders>
              <w:top w:val="single" w:color="CCCCCC" w:sz="4"/>
              <w:left w:val="single" w:color="CCCCCC" w:sz="4"/>
              <w:bottom w:val="single" w:color="CCCCCC" w:sz="4"/>
              <w:right w:val="single" w:color="CCCCCC" w:sz="4"/>
            </w:tcBorders>
            <w:shd w:fill="E5F2E5" w:val="clear"/>
            <w:tcMar>
              <w:top w:type="dxa" w:w="80"/>
              <w:left w:type="dxa" w:w="130"/>
              <w:bottom w:type="dxa" w:w="80"/>
              <w:right w:type="dxa" w:w="130"/>
            </w:tcMar>
            <w:vAlign w:val="top"/>
          </w:tcPr>
          <w:p>
            <w:pPr>
              <w:spacing w:after="30"/>
            </w:pPr>
            <w:r>
              <w:rPr>
                <w:b/>
                <w:bCs/>
                <w:i w:val="false"/>
                <w:iCs w:val="false"/>
                <w:color w:val="1B5E20"/>
                <w:sz w:val="18"/>
                <w:szCs w:val="18"/>
              </w:rPr>
              <w:t xml:space="preserve">Pass criteria</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(a) At $250M AUM, ≥85% of nominal signals tradable. (b) At $400M AUM, ≥75%. (c) The SP600 cohort retains ≥60% tradable at $300M (not catastrophically impaired). (d) No more than 20% of Sub-Industries become structurally untradeable at the committed $400M AUM.</w:t>
            </w:r>
          </w:p>
        </w:tc>
      </w:tr>
      <w:tr>
        <w:tc>
          <w:tcPr>
            <w:tcW w:type="dxa" w:w="1900"/>
            <w:tcBorders>
              <w:top w:val="single" w:color="CCCCCC" w:sz="4"/>
              <w:left w:val="single" w:color="CCCCCC" w:sz="4"/>
              <w:bottom w:val="single" w:color="CCCCCC" w:sz="4"/>
              <w:right w:val="single" w:color="CCCCCC" w:sz="4"/>
            </w:tcBorders>
            <w:shd w:fill="F5E5E5" w:val="clear"/>
            <w:tcMar>
              <w:top w:type="dxa" w:w="80"/>
              <w:left w:type="dxa" w:w="130"/>
              <w:bottom w:type="dxa" w:w="80"/>
              <w:right w:type="dxa" w:w="130"/>
            </w:tcMar>
            <w:vAlign w:val="top"/>
          </w:tcPr>
          <w:p>
            <w:pPr>
              <w:spacing w:after="30"/>
            </w:pPr>
            <w:r>
              <w:rPr>
                <w:b/>
                <w:bCs/>
                <w:i w:val="false"/>
                <w:iCs w:val="false"/>
                <w:color w:val="8E2F2F"/>
                <w:sz w:val="18"/>
                <w:szCs w:val="18"/>
              </w:rPr>
              <w:t xml:space="preserve">Failure criteria</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(a) &lt;60% of signals tradable at $250M AUM. (b) SP600 tradability collapses below 40% at any committed AUM — would require dropping the small-cap layer entirely.</w:t>
            </w:r>
          </w:p>
        </w:tc>
      </w:tr>
      <w:tr>
        <w:tc>
          <w:tcPr>
            <w:tcW w:type="dxa" w:w="19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Interpretation</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Liquidity analysis sets the hard ceiling on capacity. Below the ceiling, the strategy's pre-impact economics carry through. Above it, the strategy degrades faster than the impact model alone would predict because we lose access to entire Sub-Industries.</w:t>
            </w:r>
          </w:p>
        </w:tc>
      </w:tr>
      <w:tr>
        <w:tc>
          <w:tcPr>
            <w:tcW w:type="dxa" w:w="1900"/>
            <w:tcBorders>
              <w:top w:val="single" w:color="CCCCCC" w:sz="4"/>
              <w:left w:val="single" w:color="CCCCCC" w:sz="4"/>
              <w:bottom w:val="single" w:color="CCCCCC" w:sz="4"/>
              <w:right w:val="single" w:color="CCCCCC" w:sz="4"/>
            </w:tcBorders>
            <w:shd w:fill="F8F1DD" w:val="clear"/>
            <w:tcMar>
              <w:top w:type="dxa" w:w="80"/>
              <w:left w:type="dxa" w:w="130"/>
              <w:bottom w:type="dxa" w:w="80"/>
              <w:right w:type="dxa" w:w="130"/>
            </w:tcMar>
            <w:vAlign w:val="top"/>
          </w:tcPr>
          <w:p>
            <w:pPr>
              <w:spacing w:after="30"/>
            </w:pPr>
            <w:r>
              <w:rPr>
                <w:b/>
                <w:bCs/>
                <w:i w:val="false"/>
                <w:iCs w:val="false"/>
                <w:color w:val="B8862E"/>
                <w:sz w:val="18"/>
                <w:szCs w:val="18"/>
              </w:rPr>
              <w:t xml:space="preserve">Why a PM cares</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Capacity is what makes a strategy bookable. A high-Sharpe strategy at $30M does not justify FTE; the PM needs confidence the strategy survives at the allocation size they need.</w:t>
            </w:r>
          </w:p>
        </w:tc>
      </w:tr>
      <w:tr>
        <w:tc>
          <w:tcPr>
            <w:tcW w:type="dxa" w:w="1900"/>
            <w:tcBorders>
              <w:top w:val="single" w:color="CCCCCC" w:sz="4"/>
              <w:left w:val="single" w:color="CCCCCC" w:sz="4"/>
              <w:bottom w:val="single" w:color="CCCCCC" w:sz="4"/>
              <w:right w:val="single" w:color="CCCCCC" w:sz="4"/>
            </w:tcBorders>
            <w:shd w:fill="F8F1DD" w:val="clear"/>
            <w:tcMar>
              <w:top w:type="dxa" w:w="80"/>
              <w:left w:type="dxa" w:w="130"/>
              <w:bottom w:type="dxa" w:w="80"/>
              <w:right w:type="dxa" w:w="130"/>
            </w:tcMar>
            <w:vAlign w:val="top"/>
          </w:tcPr>
          <w:p>
            <w:pPr>
              <w:spacing w:after="30"/>
            </w:pPr>
            <w:r>
              <w:rPr>
                <w:b/>
                <w:bCs/>
                <w:i w:val="false"/>
                <w:iCs w:val="false"/>
                <w:color w:val="B8862E"/>
                <w:sz w:val="18"/>
                <w:szCs w:val="18"/>
              </w:rPr>
              <w:t xml:space="preserve">What invalidates the hypothesis</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Realistic tradable capacity below the committed $300-500M range. The strategy may still 'work' in a statistical sense but would not justify allocation.</w:t>
            </w:r>
          </w:p>
        </w:tc>
      </w:tr>
      <w:tr>
        <w:tc>
          <w:tcPr>
            <w:tcW w:type="dxa" w:w="1900"/>
            <w:tcBorders>
              <w:top w:val="single" w:color="CCCCCC" w:sz="4"/>
              <w:left w:val="single" w:color="CCCCCC" w:sz="4"/>
              <w:bottom w:val="single" w:color="CCCCCC" w:sz="4"/>
              <w:right w:val="single" w:color="CCCCCC" w:sz="4"/>
            </w:tcBorders>
            <w:shd w:fill="F8F1DD" w:val="clear"/>
            <w:tcMar>
              <w:top w:type="dxa" w:w="80"/>
              <w:left w:type="dxa" w:w="130"/>
              <w:bottom w:type="dxa" w:w="80"/>
              <w:right w:type="dxa" w:w="130"/>
            </w:tcMar>
            <w:vAlign w:val="top"/>
          </w:tcPr>
          <w:p>
            <w:pPr>
              <w:spacing w:after="30"/>
            </w:pPr>
            <w:r>
              <w:rPr>
                <w:b/>
                <w:bCs/>
                <w:i w:val="false"/>
                <w:iCs w:val="false"/>
                <w:color w:val="B8862E"/>
                <w:sz w:val="18"/>
                <w:szCs w:val="18"/>
              </w:rPr>
              <w:t xml:space="preserve">Visualization</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(a) Tradable-signal fraction vs AUM curve — the canonical capacity chart. (b) Per-Sub-Industry tradability heatmap at $300M and $500M AUM (showing which buckets fail first). (c) Dollar-volume distribution histograms by tier with the trade-size-per-name overlay at trial AUMs. (d) Cumulative-fraction plot: percent of universe tradable at each participation rate.</w:t>
            </w:r>
          </w:p>
        </w:tc>
      </w:tr>
    </w:tbl>
    <w:p>
      <w:r>
        <w:br w:type="page"/>
      </w:r>
    </w:p>
    <w:p>
      <w:pPr>
        <w:pStyle w:val="Heading1"/>
      </w:pPr>
      <w:r>
        <w:rPr>
          <w:b w:val="false"/>
          <w:bCs w:val="false"/>
          <w:i w:val="false"/>
          <w:iCs w:val="false"/>
          <w:sz w:val="22"/>
          <w:szCs w:val="22"/>
        </w:rPr>
        <w:t xml:space="preserve">Experiment 6 — Sector Neutrality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9360"/>
            <w:gridSpan w:val="2"/>
            <w:tcBorders>
              <w:top w:val="single" w:color="CCCCCC" w:sz="4"/>
              <w:left w:val="single" w:color="CCCCCC" w:sz="4"/>
              <w:bottom w:val="single" w:color="CCCCCC" w:sz="4"/>
              <w:right w:val="single" w:color="CCCCCC" w:sz="4"/>
            </w:tcBorders>
            <w:shd w:fill="1F3A5F" w:val="clear"/>
            <w:tcMar>
              <w:top w:type="dxa" w:w="100"/>
              <w:left w:type="dxa" w:w="150"/>
              <w:bottom w:type="dxa" w:w="100"/>
              <w:right w:type="dxa" w:w="150"/>
            </w:tcMar>
          </w:tcPr>
          <w:p>
            <w:pPr>
              <w:spacing w:after="0"/>
            </w:pPr>
            <w:r>
              <w:rPr>
                <w:b/>
                <w:bCs/>
                <w:i w:val="false"/>
                <w:iCs w:val="false"/>
                <w:color w:val="FFFFFF"/>
                <w:sz w:val="24"/>
                <w:szCs w:val="24"/>
              </w:rPr>
              <w:t xml:space="preserve">Experiment 6 — Sector Neutrality Analysis</w:t>
            </w:r>
          </w:p>
        </w:tc>
      </w:tr>
      <w:tr>
        <w:tc>
          <w:tcPr>
            <w:tcW w:type="dxa" w:w="19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Objective</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Verify that the constructed long-short portfolio is genuinely sector-neutral in realized exposure — not just neutral by construction in the signal-formation step. Identify any latent sector tilt that would represent unintended risk.</w:t>
            </w:r>
          </w:p>
        </w:tc>
      </w:tr>
      <w:tr>
        <w:tc>
          <w:tcPr>
            <w:tcW w:type="dxa" w:w="19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Economic intuition</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The strategy is sector-neutral by signal construction (residualization removes sector exposure). Realized portfolio sector neutrality is the test that the construction translates to the portfolio level. Bleed of sector exposure into the strategy means the IR partly reflects sector bets — exposure the PM didn't agree to take.</w:t>
            </w:r>
          </w:p>
        </w:tc>
      </w:tr>
      <w:tr>
        <w:tc>
          <w:tcPr>
            <w:tcW w:type="dxa" w:w="19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Inputs</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Strategy daily PnL series; sector ETF daily returns; daily portfolio holdings broken down by GICS_Sector; broad market return (SPY).</w:t>
            </w:r>
          </w:p>
        </w:tc>
      </w:tr>
      <w:tr>
        <w:tc>
          <w:tcPr>
            <w:tcW w:type="dxa" w:w="19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Outputs</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(a) Realized portfolio beta to each of the 11 sector ETFs. (b) Realized portfolio beta to SPY. (c) Time series of net portfolio sector exposure (long − short within each sector, as % of NAV). (d) Decomposition of strategy variance: sector-attributed vs idiosyncratic. (e) Performance in sector-rotation episodes (2018 Q4 tech selloff, 2020 Q1 COVID, 2022 energy rally, 2023 banking crisis).</w:t>
            </w:r>
          </w:p>
        </w:tc>
      </w:tr>
      <w:tr>
        <w:tc>
          <w:tcPr>
            <w:tcW w:type="dxa" w:w="19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Methodology</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Daily regression of strategy returns on the 11 sector ETF returns simultaneously: r_strategy = α + Σ β_i × r_sector_i + ε. Test joint significance of sector betas via Wald F-test (H0: all β_i = 0). Compute net portfolio sector exposure as (long_$_sector − short_$_sector) / portfolio_NAV per day. Compute strategy returns over labeled stress regimes; compare to full-sample IR.</w:t>
            </w:r>
          </w:p>
        </w:tc>
      </w:tr>
      <w:tr>
        <w:tc>
          <w:tcPr>
            <w:tcW w:type="dxa" w:w="19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Statistical test</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Wald F-test on joint significance of sector betas. Individual t-tests on each sector beta with Bonferroni correction across 11 sectors. Bootstrap confidence intervals on net sector exposure. Stress-period IRs compared to full-sample IR using two-sample t-test.</w:t>
            </w:r>
          </w:p>
        </w:tc>
      </w:tr>
      <w:tr>
        <w:tc>
          <w:tcPr>
            <w:tcW w:type="dxa" w:w="1900"/>
            <w:tcBorders>
              <w:top w:val="single" w:color="CCCCCC" w:sz="4"/>
              <w:left w:val="single" w:color="CCCCCC" w:sz="4"/>
              <w:bottom w:val="single" w:color="CCCCCC" w:sz="4"/>
              <w:right w:val="single" w:color="CCCCCC" w:sz="4"/>
            </w:tcBorders>
            <w:shd w:fill="E5F2E5" w:val="clear"/>
            <w:tcMar>
              <w:top w:type="dxa" w:w="80"/>
              <w:left w:type="dxa" w:w="130"/>
              <w:bottom w:type="dxa" w:w="80"/>
              <w:right w:type="dxa" w:w="130"/>
            </w:tcMar>
            <w:vAlign w:val="top"/>
          </w:tcPr>
          <w:p>
            <w:pPr>
              <w:spacing w:after="30"/>
            </w:pPr>
            <w:r>
              <w:rPr>
                <w:b/>
                <w:bCs/>
                <w:i w:val="false"/>
                <w:iCs w:val="false"/>
                <w:color w:val="1B5E20"/>
                <w:sz w:val="18"/>
                <w:szCs w:val="18"/>
              </w:rPr>
              <w:t xml:space="preserve">Pass criteria</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(a) Joint F-test fails to reject β = 0 at the 5% level. (b) Each individual sector beta |β_i| ≤ 0.05. (c) Net portfolio sector exposure within ±5% of NAV with 95% confidence. (d) Stress-period IR within 1.5σ of the full-sample IR for all four labeled episodes.</w:t>
            </w:r>
          </w:p>
        </w:tc>
      </w:tr>
      <w:tr>
        <w:tc>
          <w:tcPr>
            <w:tcW w:type="dxa" w:w="1900"/>
            <w:tcBorders>
              <w:top w:val="single" w:color="CCCCCC" w:sz="4"/>
              <w:left w:val="single" w:color="CCCCCC" w:sz="4"/>
              <w:bottom w:val="single" w:color="CCCCCC" w:sz="4"/>
              <w:right w:val="single" w:color="CCCCCC" w:sz="4"/>
            </w:tcBorders>
            <w:shd w:fill="F5E5E5" w:val="clear"/>
            <w:tcMar>
              <w:top w:type="dxa" w:w="80"/>
              <w:left w:type="dxa" w:w="130"/>
              <w:bottom w:type="dxa" w:w="80"/>
              <w:right w:type="dxa" w:w="130"/>
            </w:tcMar>
            <w:vAlign w:val="top"/>
          </w:tcPr>
          <w:p>
            <w:pPr>
              <w:spacing w:after="30"/>
            </w:pPr>
            <w:r>
              <w:rPr>
                <w:b/>
                <w:bCs/>
                <w:i w:val="false"/>
                <w:iCs w:val="false"/>
                <w:color w:val="8E2F2F"/>
                <w:sz w:val="18"/>
                <w:szCs w:val="18"/>
              </w:rPr>
              <w:t xml:space="preserve">Failure criteria</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(a) Joint F-test rejects β = 0 (strategy is not truly sector-neutral). (b) Any individual sector beta |β_i| &gt; 0.10. (c) Stress-period IR materially worse than full-sample (sector rotation pulls the strategy).</w:t>
            </w:r>
          </w:p>
        </w:tc>
      </w:tr>
      <w:tr>
        <w:tc>
          <w:tcPr>
            <w:tcW w:type="dxa" w:w="19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Interpretation</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Sector neutrality validation tells us whether the advertised characteristics of the strategy match the realized characteristics. A failure forces either (a) explicit sector-neutralization at the portfolio construction step (rather than relying on residualization alone) or (b) re-labeling the strategy as having sector exposure.</w:t>
            </w:r>
          </w:p>
        </w:tc>
      </w:tr>
      <w:tr>
        <w:tc>
          <w:tcPr>
            <w:tcW w:type="dxa" w:w="1900"/>
            <w:tcBorders>
              <w:top w:val="single" w:color="CCCCCC" w:sz="4"/>
              <w:left w:val="single" w:color="CCCCCC" w:sz="4"/>
              <w:bottom w:val="single" w:color="CCCCCC" w:sz="4"/>
              <w:right w:val="single" w:color="CCCCCC" w:sz="4"/>
            </w:tcBorders>
            <w:shd w:fill="F8F1DD" w:val="clear"/>
            <w:tcMar>
              <w:top w:type="dxa" w:w="80"/>
              <w:left w:type="dxa" w:w="130"/>
              <w:bottom w:type="dxa" w:w="80"/>
              <w:right w:type="dxa" w:w="130"/>
            </w:tcMar>
            <w:vAlign w:val="top"/>
          </w:tcPr>
          <w:p>
            <w:pPr>
              <w:spacing w:after="30"/>
            </w:pPr>
            <w:r>
              <w:rPr>
                <w:b/>
                <w:bCs/>
                <w:i w:val="false"/>
                <w:iCs w:val="false"/>
                <w:color w:val="B8862E"/>
                <w:sz w:val="18"/>
                <w:szCs w:val="18"/>
              </w:rPr>
              <w:t xml:space="preserve">Why a PM cares</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A sector-neutral product with hidden sector exposure is a compliance and attribution problem. The strategy's claimed risk profile must match what's traded.</w:t>
            </w:r>
          </w:p>
        </w:tc>
      </w:tr>
      <w:tr>
        <w:tc>
          <w:tcPr>
            <w:tcW w:type="dxa" w:w="1900"/>
            <w:tcBorders>
              <w:top w:val="single" w:color="CCCCCC" w:sz="4"/>
              <w:left w:val="single" w:color="CCCCCC" w:sz="4"/>
              <w:bottom w:val="single" w:color="CCCCCC" w:sz="4"/>
              <w:right w:val="single" w:color="CCCCCC" w:sz="4"/>
            </w:tcBorders>
            <w:shd w:fill="F8F1DD" w:val="clear"/>
            <w:tcMar>
              <w:top w:type="dxa" w:w="80"/>
              <w:left w:type="dxa" w:w="130"/>
              <w:bottom w:type="dxa" w:w="80"/>
              <w:right w:type="dxa" w:w="130"/>
            </w:tcMar>
            <w:vAlign w:val="top"/>
          </w:tcPr>
          <w:p>
            <w:pPr>
              <w:spacing w:after="30"/>
            </w:pPr>
            <w:r>
              <w:rPr>
                <w:b/>
                <w:bCs/>
                <w:i w:val="false"/>
                <w:iCs w:val="false"/>
                <w:color w:val="B8862E"/>
                <w:sz w:val="18"/>
                <w:szCs w:val="18"/>
              </w:rPr>
              <w:t xml:space="preserve">What invalidates the hypothesis</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Material sector exposure means the alpha is partly sector momentum or rotation. The economic mechanism would not be information diffusion within Sub-Industries; it would be sector cyclicality.</w:t>
            </w:r>
          </w:p>
        </w:tc>
      </w:tr>
      <w:tr>
        <w:tc>
          <w:tcPr>
            <w:tcW w:type="dxa" w:w="1900"/>
            <w:tcBorders>
              <w:top w:val="single" w:color="CCCCCC" w:sz="4"/>
              <w:left w:val="single" w:color="CCCCCC" w:sz="4"/>
              <w:bottom w:val="single" w:color="CCCCCC" w:sz="4"/>
              <w:right w:val="single" w:color="CCCCCC" w:sz="4"/>
            </w:tcBorders>
            <w:shd w:fill="F8F1DD" w:val="clear"/>
            <w:tcMar>
              <w:top w:type="dxa" w:w="80"/>
              <w:left w:type="dxa" w:w="130"/>
              <w:bottom w:type="dxa" w:w="80"/>
              <w:right w:type="dxa" w:w="130"/>
            </w:tcMar>
            <w:vAlign w:val="top"/>
          </w:tcPr>
          <w:p>
            <w:pPr>
              <w:spacing w:after="30"/>
            </w:pPr>
            <w:r>
              <w:rPr>
                <w:b/>
                <w:bCs/>
                <w:i w:val="false"/>
                <w:iCs w:val="false"/>
                <w:color w:val="B8862E"/>
                <w:sz w:val="18"/>
                <w:szCs w:val="18"/>
              </w:rPr>
              <w:t xml:space="preserve">Visualization</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(a) Sector beta forest plot with confidence intervals and the 0.05 threshold overlaid. (b) Net portfolio sector exposure as a stacked-area time series. (c) Bar chart of strategy IR in stress-period vs full-sample. (d) Variance decomposition pie chart: sector vs idio contribution.</w:t>
            </w:r>
          </w:p>
        </w:tc>
      </w:tr>
    </w:tbl>
    <w:p>
      <w:r>
        <w:br w:type="page"/>
      </w:r>
    </w:p>
    <w:p>
      <w:pPr>
        <w:pStyle w:val="Heading1"/>
      </w:pPr>
      <w:r>
        <w:rPr>
          <w:b w:val="false"/>
          <w:bCs w:val="false"/>
          <w:i w:val="false"/>
          <w:iCs w:val="false"/>
          <w:sz w:val="22"/>
          <w:szCs w:val="22"/>
        </w:rPr>
        <w:t xml:space="preserve">Experiment 7 — Time Stability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9360"/>
            <w:gridSpan w:val="2"/>
            <w:tcBorders>
              <w:top w:val="single" w:color="CCCCCC" w:sz="4"/>
              <w:left w:val="single" w:color="CCCCCC" w:sz="4"/>
              <w:bottom w:val="single" w:color="CCCCCC" w:sz="4"/>
              <w:right w:val="single" w:color="CCCCCC" w:sz="4"/>
            </w:tcBorders>
            <w:shd w:fill="1F3A5F" w:val="clear"/>
            <w:tcMar>
              <w:top w:type="dxa" w:w="100"/>
              <w:left w:type="dxa" w:w="150"/>
              <w:bottom w:type="dxa" w:w="100"/>
              <w:right w:type="dxa" w:w="150"/>
            </w:tcMar>
          </w:tcPr>
          <w:p>
            <w:pPr>
              <w:spacing w:after="0"/>
            </w:pPr>
            <w:r>
              <w:rPr>
                <w:b/>
                <w:bCs/>
                <w:i w:val="false"/>
                <w:iCs w:val="false"/>
                <w:color w:val="FFFFFF"/>
                <w:sz w:val="24"/>
                <w:szCs w:val="24"/>
              </w:rPr>
              <w:t xml:space="preserve">Experiment 7 — Time Stability Analysis</w:t>
            </w:r>
          </w:p>
        </w:tc>
      </w:tr>
      <w:tr>
        <w:tc>
          <w:tcPr>
            <w:tcW w:type="dxa" w:w="19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Objective</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Verify the lead-lag effect is structurally stable across time. A genuine structural alpha should be observable across pre/post-2020 sub-samples, across vol and dispersion regimes, and across labeled stress periods.</w:t>
            </w:r>
          </w:p>
        </w:tc>
      </w:tr>
      <w:tr>
        <w:tc>
          <w:tcPr>
            <w:tcW w:type="dxa" w:w="19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Economic intuition</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Bandwidth-limited information diffusion is a property of market structure, not of any particular macro regime. If the effect exists only in the in-sample period, it is data-mined. If it exists only in certain regimes, the strategy needs explicit regime-aware sizing — which itself adds parameters that could be overfit.</w:t>
            </w:r>
          </w:p>
        </w:tc>
      </w:tr>
      <w:tr>
        <w:tc>
          <w:tcPr>
            <w:tcW w:type="dxa" w:w="19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Inputs</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Strategy daily PnL series; regime indicators (VIX deciles for vol regime; cross-sectional dispersion deciles for stock-picking regime); macro labels for stress periods.</w:t>
            </w:r>
          </w:p>
        </w:tc>
      </w:tr>
      <w:tr>
        <w:tc>
          <w:tcPr>
            <w:tcW w:type="dxa" w:w="19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Outputs</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(a) IR estimate for the 2016-03-01 to 2019-12-31 sub-sample. (b) IR estimate for 2020-01-01 to 2025-12-31. (c) Rolling 252-day Sharpe ratio. (d) IR conditioned on VIX decile. (e) IR conditioned on cross-sectional return dispersion decile. (f) Labeled-event PnL contributions (COVID 2020Q1, vol rally 2022, banking crisis 2023Q1, AI rally 2023Q2-2024).</w:t>
            </w:r>
          </w:p>
        </w:tc>
      </w:tr>
      <w:tr>
        <w:tc>
          <w:tcPr>
            <w:tcW w:type="dxa" w:w="19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Methodology</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Sub-sample split: compute IR for 2016-2019 and 2020-2025 separately with their respective standard errors. Test for equality via two-sample t-test on the IR difference. Compute rolling 252-day Sharpe and identify all 12-month windows of negative IR. Conditional analysis: bucket daily PnL by VIX decile (using lagged VIX to avoid lookahead) and by cross-sectional return dispersion decile; compare IR across buckets. Labeled-event analysis: integrate PnL over each labeled regime and express as fraction of total PnL.</w:t>
            </w:r>
          </w:p>
        </w:tc>
      </w:tr>
      <w:tr>
        <w:tc>
          <w:tcPr>
            <w:tcW w:type="dxa" w:w="19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Statistical test</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Two-sample t-test on sub-sample IR difference. Wald test on rolling Sharpe stability (H0: Sharpe is constant). Regime-conditional IR significance via bootstrapped confidence intervals.</w:t>
            </w:r>
          </w:p>
        </w:tc>
      </w:tr>
      <w:tr>
        <w:tc>
          <w:tcPr>
            <w:tcW w:type="dxa" w:w="1900"/>
            <w:tcBorders>
              <w:top w:val="single" w:color="CCCCCC" w:sz="4"/>
              <w:left w:val="single" w:color="CCCCCC" w:sz="4"/>
              <w:bottom w:val="single" w:color="CCCCCC" w:sz="4"/>
              <w:right w:val="single" w:color="CCCCCC" w:sz="4"/>
            </w:tcBorders>
            <w:shd w:fill="E5F2E5" w:val="clear"/>
            <w:tcMar>
              <w:top w:type="dxa" w:w="80"/>
              <w:left w:type="dxa" w:w="130"/>
              <w:bottom w:type="dxa" w:w="80"/>
              <w:right w:type="dxa" w:w="130"/>
            </w:tcMar>
            <w:vAlign w:val="top"/>
          </w:tcPr>
          <w:p>
            <w:pPr>
              <w:spacing w:after="30"/>
            </w:pPr>
            <w:r>
              <w:rPr>
                <w:b/>
                <w:bCs/>
                <w:i w:val="false"/>
                <w:iCs w:val="false"/>
                <w:color w:val="1B5E20"/>
                <w:sz w:val="18"/>
                <w:szCs w:val="18"/>
              </w:rPr>
              <w:t xml:space="preserve">Pass criteria</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(a) Sub-sample IRs differ by less than 2σ. (b) No 12-month window with IR &lt; −0.3. (c) Effect present (β_1 &gt; 0 with p &lt; 0.05) in at least 8 of 10 VIX deciles and 8 of 10 dispersion deciles. (d) No single labeled event contributes more than 25% of total PnL (no dependence on one regime).</w:t>
            </w:r>
          </w:p>
        </w:tc>
      </w:tr>
      <w:tr>
        <w:tc>
          <w:tcPr>
            <w:tcW w:type="dxa" w:w="1900"/>
            <w:tcBorders>
              <w:top w:val="single" w:color="CCCCCC" w:sz="4"/>
              <w:left w:val="single" w:color="CCCCCC" w:sz="4"/>
              <w:bottom w:val="single" w:color="CCCCCC" w:sz="4"/>
              <w:right w:val="single" w:color="CCCCCC" w:sz="4"/>
            </w:tcBorders>
            <w:shd w:fill="F5E5E5" w:val="clear"/>
            <w:tcMar>
              <w:top w:type="dxa" w:w="80"/>
              <w:left w:type="dxa" w:w="130"/>
              <w:bottom w:type="dxa" w:w="80"/>
              <w:right w:type="dxa" w:w="130"/>
            </w:tcMar>
            <w:vAlign w:val="top"/>
          </w:tcPr>
          <w:p>
            <w:pPr>
              <w:spacing w:after="30"/>
            </w:pPr>
            <w:r>
              <w:rPr>
                <w:b/>
                <w:bCs/>
                <w:i w:val="false"/>
                <w:iCs w:val="false"/>
                <w:color w:val="8E2F2F"/>
                <w:sz w:val="18"/>
                <w:szCs w:val="18"/>
              </w:rPr>
              <w:t xml:space="preserve">Failure criteria</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(a) Sub-sample IRs differ by more than 3σ — structural break. (b) Negative IR window longer than 18 months. (c) Effect absent in low-vol or low-dispersion regimes — would require explicit regime modeling. (d) One labeled event contributes &gt;50% of total PnL — strategy is regime-dependent.</w:t>
            </w:r>
          </w:p>
        </w:tc>
      </w:tr>
      <w:tr>
        <w:tc>
          <w:tcPr>
            <w:tcW w:type="dxa" w:w="19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Interpretation</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Stability across time is the hallmark of a structural alpha. Instability suggests either data-mining (in-sample only) or that the strategy requires regime-conditioning. Regime-conditioning is acceptable but must be made explicit in the proposal, with its own validation.</w:t>
            </w:r>
          </w:p>
        </w:tc>
      </w:tr>
      <w:tr>
        <w:tc>
          <w:tcPr>
            <w:tcW w:type="dxa" w:w="1900"/>
            <w:tcBorders>
              <w:top w:val="single" w:color="CCCCCC" w:sz="4"/>
              <w:left w:val="single" w:color="CCCCCC" w:sz="4"/>
              <w:bottom w:val="single" w:color="CCCCCC" w:sz="4"/>
              <w:right w:val="single" w:color="CCCCCC" w:sz="4"/>
            </w:tcBorders>
            <w:shd w:fill="F8F1DD" w:val="clear"/>
            <w:tcMar>
              <w:top w:type="dxa" w:w="80"/>
              <w:left w:type="dxa" w:w="130"/>
              <w:bottom w:type="dxa" w:w="80"/>
              <w:right w:type="dxa" w:w="130"/>
            </w:tcMar>
            <w:vAlign w:val="top"/>
          </w:tcPr>
          <w:p>
            <w:pPr>
              <w:spacing w:after="30"/>
            </w:pPr>
            <w:r>
              <w:rPr>
                <w:b/>
                <w:bCs/>
                <w:i w:val="false"/>
                <w:iCs w:val="false"/>
                <w:color w:val="B8862E"/>
                <w:sz w:val="18"/>
                <w:szCs w:val="18"/>
              </w:rPr>
              <w:t xml:space="preserve">Why a PM cares</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Allocations require stability. A strategy that worked 2016-2019 but stopped working in 2020 is not bookable. A strategy that only works in high-dispersion regimes needs a regime overlay.</w:t>
            </w:r>
          </w:p>
        </w:tc>
      </w:tr>
      <w:tr>
        <w:tc>
          <w:tcPr>
            <w:tcW w:type="dxa" w:w="1900"/>
            <w:tcBorders>
              <w:top w:val="single" w:color="CCCCCC" w:sz="4"/>
              <w:left w:val="single" w:color="CCCCCC" w:sz="4"/>
              <w:bottom w:val="single" w:color="CCCCCC" w:sz="4"/>
              <w:right w:val="single" w:color="CCCCCC" w:sz="4"/>
            </w:tcBorders>
            <w:shd w:fill="F8F1DD" w:val="clear"/>
            <w:tcMar>
              <w:top w:type="dxa" w:w="80"/>
              <w:left w:type="dxa" w:w="130"/>
              <w:bottom w:type="dxa" w:w="80"/>
              <w:right w:type="dxa" w:w="130"/>
            </w:tcMar>
            <w:vAlign w:val="top"/>
          </w:tcPr>
          <w:p>
            <w:pPr>
              <w:spacing w:after="30"/>
            </w:pPr>
            <w:r>
              <w:rPr>
                <w:b/>
                <w:bCs/>
                <w:i w:val="false"/>
                <w:iCs w:val="false"/>
                <w:color w:val="B8862E"/>
                <w:sz w:val="18"/>
                <w:szCs w:val="18"/>
              </w:rPr>
              <w:t xml:space="preserve">What invalidates the hypothesis</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Clear structural break between sub-samples; regime-conditional collapse (effect disappears in low-dispersion); one-event PnL concentration.</w:t>
            </w:r>
          </w:p>
        </w:tc>
      </w:tr>
      <w:tr>
        <w:tc>
          <w:tcPr>
            <w:tcW w:type="dxa" w:w="1900"/>
            <w:tcBorders>
              <w:top w:val="single" w:color="CCCCCC" w:sz="4"/>
              <w:left w:val="single" w:color="CCCCCC" w:sz="4"/>
              <w:bottom w:val="single" w:color="CCCCCC" w:sz="4"/>
              <w:right w:val="single" w:color="CCCCCC" w:sz="4"/>
            </w:tcBorders>
            <w:shd w:fill="F8F1DD" w:val="clear"/>
            <w:tcMar>
              <w:top w:type="dxa" w:w="80"/>
              <w:left w:type="dxa" w:w="130"/>
              <w:bottom w:type="dxa" w:w="80"/>
              <w:right w:type="dxa" w:w="130"/>
            </w:tcMar>
            <w:vAlign w:val="top"/>
          </w:tcPr>
          <w:p>
            <w:pPr>
              <w:spacing w:after="30"/>
            </w:pPr>
            <w:r>
              <w:rPr>
                <w:b/>
                <w:bCs/>
                <w:i w:val="false"/>
                <w:iCs w:val="false"/>
                <w:color w:val="B8862E"/>
                <w:sz w:val="18"/>
                <w:szCs w:val="18"/>
              </w:rPr>
              <w:t xml:space="preserve">Visualization</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(a) Rolling 252-day Sharpe — the most important chart in this section. (b) IR by VIX decile and by dispersion decile (two bar charts). (c) Sub-period IR comparison with confidence intervals. (d) Labeled-event PnL waterfall showing contribution per stress regime.</w:t>
            </w:r>
          </w:p>
        </w:tc>
      </w:tr>
    </w:tbl>
    <w:p>
      <w:r>
        <w:br w:type="page"/>
      </w:r>
    </w:p>
    <w:p>
      <w:pPr>
        <w:pStyle w:val="Heading1"/>
      </w:pPr>
      <w:r>
        <w:rPr>
          <w:b w:val="false"/>
          <w:bCs w:val="false"/>
          <w:i w:val="false"/>
          <w:iCs w:val="false"/>
          <w:sz w:val="22"/>
          <w:szCs w:val="22"/>
        </w:rPr>
        <w:t xml:space="preserve">Experiment 8 — Capacity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9360"/>
            <w:gridSpan w:val="2"/>
            <w:tcBorders>
              <w:top w:val="single" w:color="CCCCCC" w:sz="4"/>
              <w:left w:val="single" w:color="CCCCCC" w:sz="4"/>
              <w:bottom w:val="single" w:color="CCCCCC" w:sz="4"/>
              <w:right w:val="single" w:color="CCCCCC" w:sz="4"/>
            </w:tcBorders>
            <w:shd w:fill="1F3A5F" w:val="clear"/>
            <w:tcMar>
              <w:top w:type="dxa" w:w="100"/>
              <w:left w:type="dxa" w:w="150"/>
              <w:bottom w:type="dxa" w:w="100"/>
              <w:right w:type="dxa" w:w="150"/>
            </w:tcMar>
          </w:tcPr>
          <w:p>
            <w:pPr>
              <w:spacing w:after="0"/>
            </w:pPr>
            <w:r>
              <w:rPr>
                <w:b/>
                <w:bCs/>
                <w:i w:val="false"/>
                <w:iCs w:val="false"/>
                <w:color w:val="FFFFFF"/>
                <w:sz w:val="24"/>
                <w:szCs w:val="24"/>
              </w:rPr>
              <w:t xml:space="preserve">Experiment 8 — Capacity Analysis</w:t>
            </w:r>
          </w:p>
        </w:tc>
      </w:tr>
      <w:tr>
        <w:tc>
          <w:tcPr>
            <w:tcW w:type="dxa" w:w="19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Objective</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Quantify the strategy's net IR as a function of deployed AUM, identify the optimal AUM (maximum dollar alpha), and characterize the marginal degradation curve.</w:t>
            </w:r>
          </w:p>
        </w:tc>
      </w:tr>
      <w:tr>
        <w:tc>
          <w:tcPr>
            <w:tcW w:type="dxa" w:w="19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Economic intuition</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Alpha is finite. Each marginal dollar deployed must be sized through the same impact-cost function as every other dollar; doubling AUM more than doubles the realized cost. The optimal AUM is where the derivative of net dollar alpha with respect to AUM crosses zero — beyond that point, additional capital reduces both per-dollar and total return.</w:t>
            </w:r>
          </w:p>
        </w:tc>
      </w:tr>
      <w:tr>
        <w:tc>
          <w:tcPr>
            <w:tcW w:type="dxa" w:w="19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Inputs</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Strategy backtest with the impact model from Experiment 9; AUM grid (50M, 100M, 250M, 500M, 1B, 2B); execution-desk-calibrated impact parameters by tier.</w:t>
            </w:r>
          </w:p>
        </w:tc>
      </w:tr>
      <w:tr>
        <w:tc>
          <w:tcPr>
            <w:tcW w:type="dxa" w:w="19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Outputs</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(a) Gross IR vs AUM curve (should be flat — gross alpha doesn't depend on AUM). (b) Net IR vs AUM curve (should be downward sloping). (c) Net dollar alpha vs AUM curve (should be concave with a maximum). (d) Optimal AUM and the AUM ceiling beyond which net IR drops below 0.4. (e) Distribution of impact cost contribution by tier.</w:t>
            </w:r>
          </w:p>
        </w:tc>
      </w:tr>
      <w:tr>
        <w:tc>
          <w:tcPr>
            <w:tcW w:type="dxa" w:w="19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Methodology</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For each AUM level, simulate the strategy with per-trade impact applied. Impact model: cost_bps = α × √(trade_size / ADV), with α calibrated per tier from execution-desk realized fills (Experiment 9). Track gross PnL (no costs), net PnL (with costs), IR, and dollar alpha = net IR × volatility × AUM. Identify the AUM that maximizes dollar alpha and the AUM that drops net IR below 0.4. Bootstrap confidence intervals on the net IR estimates.</w:t>
            </w:r>
          </w:p>
        </w:tc>
      </w:tr>
      <w:tr>
        <w:tc>
          <w:tcPr>
            <w:tcW w:type="dxa" w:w="19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Statistical test</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Confidence intervals on net IR at each AUM via bootstrap. Comparison of optimal AUM to the committee-committed range ($300-500M) via paired test on the dollar alpha function.</w:t>
            </w:r>
          </w:p>
        </w:tc>
      </w:tr>
      <w:tr>
        <w:tc>
          <w:tcPr>
            <w:tcW w:type="dxa" w:w="1900"/>
            <w:tcBorders>
              <w:top w:val="single" w:color="CCCCCC" w:sz="4"/>
              <w:left w:val="single" w:color="CCCCCC" w:sz="4"/>
              <w:bottom w:val="single" w:color="CCCCCC" w:sz="4"/>
              <w:right w:val="single" w:color="CCCCCC" w:sz="4"/>
            </w:tcBorders>
            <w:shd w:fill="E5F2E5" w:val="clear"/>
            <w:tcMar>
              <w:top w:type="dxa" w:w="80"/>
              <w:left w:type="dxa" w:w="130"/>
              <w:bottom w:type="dxa" w:w="80"/>
              <w:right w:type="dxa" w:w="130"/>
            </w:tcMar>
            <w:vAlign w:val="top"/>
          </w:tcPr>
          <w:p>
            <w:pPr>
              <w:spacing w:after="30"/>
            </w:pPr>
            <w:r>
              <w:rPr>
                <w:b/>
                <w:bCs/>
                <w:i w:val="false"/>
                <w:iCs w:val="false"/>
                <w:color w:val="1B5E20"/>
                <w:sz w:val="18"/>
                <w:szCs w:val="18"/>
              </w:rPr>
              <w:t xml:space="preserve">Pass criteria</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(a) Net IR at $300M AUM ≥0.5. (b) Net dollar alpha at $300M ≥$15M/yr. (c) Optimal AUM in the [$300M, $600M] range. (d) Net IR remains positive at $500M.</w:t>
            </w:r>
          </w:p>
        </w:tc>
      </w:tr>
      <w:tr>
        <w:tc>
          <w:tcPr>
            <w:tcW w:type="dxa" w:w="1900"/>
            <w:tcBorders>
              <w:top w:val="single" w:color="CCCCCC" w:sz="4"/>
              <w:left w:val="single" w:color="CCCCCC" w:sz="4"/>
              <w:bottom w:val="single" w:color="CCCCCC" w:sz="4"/>
              <w:right w:val="single" w:color="CCCCCC" w:sz="4"/>
            </w:tcBorders>
            <w:shd w:fill="F5E5E5" w:val="clear"/>
            <w:tcMar>
              <w:top w:type="dxa" w:w="80"/>
              <w:left w:type="dxa" w:w="130"/>
              <w:bottom w:type="dxa" w:w="80"/>
              <w:right w:type="dxa" w:w="130"/>
            </w:tcMar>
            <w:vAlign w:val="top"/>
          </w:tcPr>
          <w:p>
            <w:pPr>
              <w:spacing w:after="30"/>
            </w:pPr>
            <w:r>
              <w:rPr>
                <w:b/>
                <w:bCs/>
                <w:i w:val="false"/>
                <w:iCs w:val="false"/>
                <w:color w:val="8E2F2F"/>
                <w:sz w:val="18"/>
                <w:szCs w:val="18"/>
              </w:rPr>
              <w:t xml:space="preserve">Failure criteria</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(a) Net IR drops below 0.3 at $250M AUM — strategy is capacity-constrained below the committed range. (b) Net dollar alpha non-monotonic at low AUM — suggests numerical artifact. (c) Optimal AUM below $200M — strategy cannot justify FTE allocation.</w:t>
            </w:r>
          </w:p>
        </w:tc>
      </w:tr>
      <w:tr>
        <w:tc>
          <w:tcPr>
            <w:tcW w:type="dxa" w:w="19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Interpretation</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Capacity analysis defines the production sizing. The committee approves AUM, not Sharpe. A well-characterized capacity curve is the operational handover from research to portfolio management.</w:t>
            </w:r>
          </w:p>
        </w:tc>
      </w:tr>
      <w:tr>
        <w:tc>
          <w:tcPr>
            <w:tcW w:type="dxa" w:w="1900"/>
            <w:tcBorders>
              <w:top w:val="single" w:color="CCCCCC" w:sz="4"/>
              <w:left w:val="single" w:color="CCCCCC" w:sz="4"/>
              <w:bottom w:val="single" w:color="CCCCCC" w:sz="4"/>
              <w:right w:val="single" w:color="CCCCCC" w:sz="4"/>
            </w:tcBorders>
            <w:shd w:fill="F8F1DD" w:val="clear"/>
            <w:tcMar>
              <w:top w:type="dxa" w:w="80"/>
              <w:left w:type="dxa" w:w="130"/>
              <w:bottom w:type="dxa" w:w="80"/>
              <w:right w:type="dxa" w:w="130"/>
            </w:tcMar>
            <w:vAlign w:val="top"/>
          </w:tcPr>
          <w:p>
            <w:pPr>
              <w:spacing w:after="30"/>
            </w:pPr>
            <w:r>
              <w:rPr>
                <w:b/>
                <w:bCs/>
                <w:i w:val="false"/>
                <w:iCs w:val="false"/>
                <w:color w:val="B8862E"/>
                <w:sz w:val="18"/>
                <w:szCs w:val="18"/>
              </w:rPr>
              <w:t xml:space="preserve">Why a PM cares</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Sizes the bet. Tells the PM how much to allocate and where the cliff is.</w:t>
            </w:r>
          </w:p>
        </w:tc>
      </w:tr>
      <w:tr>
        <w:tc>
          <w:tcPr>
            <w:tcW w:type="dxa" w:w="1900"/>
            <w:tcBorders>
              <w:top w:val="single" w:color="CCCCCC" w:sz="4"/>
              <w:left w:val="single" w:color="CCCCCC" w:sz="4"/>
              <w:bottom w:val="single" w:color="CCCCCC" w:sz="4"/>
              <w:right w:val="single" w:color="CCCCCC" w:sz="4"/>
            </w:tcBorders>
            <w:shd w:fill="F8F1DD" w:val="clear"/>
            <w:tcMar>
              <w:top w:type="dxa" w:w="80"/>
              <w:left w:type="dxa" w:w="130"/>
              <w:bottom w:type="dxa" w:w="80"/>
              <w:right w:type="dxa" w:w="130"/>
            </w:tcMar>
            <w:vAlign w:val="top"/>
          </w:tcPr>
          <w:p>
            <w:pPr>
              <w:spacing w:after="30"/>
            </w:pPr>
            <w:r>
              <w:rPr>
                <w:b/>
                <w:bCs/>
                <w:i w:val="false"/>
                <w:iCs w:val="false"/>
                <w:color w:val="B8862E"/>
                <w:sz w:val="18"/>
                <w:szCs w:val="18"/>
              </w:rPr>
              <w:t xml:space="preserve">What invalidates the hypothesis</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Realistic capacity below the committed range. The strategy may exist statistically but cannot be deployed at meaningful scale.</w:t>
            </w:r>
          </w:p>
        </w:tc>
      </w:tr>
      <w:tr>
        <w:tc>
          <w:tcPr>
            <w:tcW w:type="dxa" w:w="1900"/>
            <w:tcBorders>
              <w:top w:val="single" w:color="CCCCCC" w:sz="4"/>
              <w:left w:val="single" w:color="CCCCCC" w:sz="4"/>
              <w:bottom w:val="single" w:color="CCCCCC" w:sz="4"/>
              <w:right w:val="single" w:color="CCCCCC" w:sz="4"/>
            </w:tcBorders>
            <w:shd w:fill="F8F1DD" w:val="clear"/>
            <w:tcMar>
              <w:top w:type="dxa" w:w="80"/>
              <w:left w:type="dxa" w:w="130"/>
              <w:bottom w:type="dxa" w:w="80"/>
              <w:right w:type="dxa" w:w="130"/>
            </w:tcMar>
            <w:vAlign w:val="top"/>
          </w:tcPr>
          <w:p>
            <w:pPr>
              <w:spacing w:after="30"/>
            </w:pPr>
            <w:r>
              <w:rPr>
                <w:b/>
                <w:bCs/>
                <w:i w:val="false"/>
                <w:iCs w:val="false"/>
                <w:color w:val="B8862E"/>
                <w:sz w:val="18"/>
                <w:szCs w:val="18"/>
              </w:rPr>
              <w:t xml:space="preserve">Visualization</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(a) Net IR vs AUM with gross IR overlay (the capacity curve). (b) Net dollar alpha vs AUM with the maximum marked. (c) Cost-decomposition stacked bar at $300M AUM showing spread/impact/borrow contributions. (d) Tier-specific net IR vs AUM (showing the SP600 layer fails first).</w:t>
            </w:r>
          </w:p>
        </w:tc>
      </w:tr>
    </w:tbl>
    <w:p>
      <w:r>
        <w:br w:type="page"/>
      </w:r>
    </w:p>
    <w:p>
      <w:pPr>
        <w:pStyle w:val="Heading1"/>
      </w:pPr>
      <w:r>
        <w:rPr>
          <w:b w:val="false"/>
          <w:bCs w:val="false"/>
          <w:i w:val="false"/>
          <w:iCs w:val="false"/>
          <w:sz w:val="22"/>
          <w:szCs w:val="22"/>
        </w:rPr>
        <w:t xml:space="preserve">Experiment 9 — Transaction Cost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9360"/>
            <w:gridSpan w:val="2"/>
            <w:tcBorders>
              <w:top w:val="single" w:color="CCCCCC" w:sz="4"/>
              <w:left w:val="single" w:color="CCCCCC" w:sz="4"/>
              <w:bottom w:val="single" w:color="CCCCCC" w:sz="4"/>
              <w:right w:val="single" w:color="CCCCCC" w:sz="4"/>
            </w:tcBorders>
            <w:shd w:fill="1F3A5F" w:val="clear"/>
            <w:tcMar>
              <w:top w:type="dxa" w:w="100"/>
              <w:left w:type="dxa" w:w="150"/>
              <w:bottom w:type="dxa" w:w="100"/>
              <w:right w:type="dxa" w:w="150"/>
            </w:tcMar>
          </w:tcPr>
          <w:p>
            <w:pPr>
              <w:spacing w:after="0"/>
            </w:pPr>
            <w:r>
              <w:rPr>
                <w:b/>
                <w:bCs/>
                <w:i w:val="false"/>
                <w:iCs w:val="false"/>
                <w:color w:val="FFFFFF"/>
                <w:sz w:val="24"/>
                <w:szCs w:val="24"/>
              </w:rPr>
              <w:t xml:space="preserve">Experiment 9 — Transaction Cost Analysis</w:t>
            </w:r>
          </w:p>
        </w:tc>
      </w:tr>
      <w:tr>
        <w:tc>
          <w:tcPr>
            <w:tcW w:type="dxa" w:w="19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Objective</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Calibrate the transaction cost model against execution-desk realized fills, decompose costs by component (spread, impact, borrow), and confirm that the gross-to-net IR ratio supports the strategy's economics.</w:t>
            </w:r>
          </w:p>
        </w:tc>
      </w:tr>
      <w:tr>
        <w:tc>
          <w:tcPr>
            <w:tcW w:type="dxa" w:w="19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Economic intuition</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At 2,000-2,500% annualized turnover, transaction costs are the single largest determinant of net IR. A miscalibrated cost model invalidates every downstream conclusion. Costs vary by tier and by side (long vs short) and are not symmetric.</w:t>
            </w:r>
          </w:p>
        </w:tc>
      </w:tr>
      <w:tr>
        <w:tc>
          <w:tcPr>
            <w:tcW w:type="dxa" w:w="19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Inputs</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Execution-desk realized fills over the prior 12 months (with name, side, size, fill price, mid at submission); short-borrow rates from prime broker; dollar-volume distribution per name.</w:t>
            </w:r>
          </w:p>
        </w:tc>
      </w:tr>
      <w:tr>
        <w:tc>
          <w:tcPr>
            <w:tcW w:type="dxa" w:w="19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Outputs</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(a) Calibrated impact-model parameter α per tier (SP500, SP400, SP600). (b) Empirical bid-ask spread distribution per tier. (c) Borrow-cost distribution per tier and per side. (d) Total round-trip cost estimate per (tier, side). (e) Cost-attributed PnL decomposition. (f) Gross-to-net IR ratio.</w:t>
            </w:r>
          </w:p>
        </w:tc>
      </w:tr>
      <w:tr>
        <w:tc>
          <w:tcPr>
            <w:tcW w:type="dxa" w:w="19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Methodology</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From the realized-fills database, compute implementation shortfall per fill: (fill_price − mid_at_submission) / mid_at_submission × sign(side). Regress shortfall on √(size / ADV) to extract α per tier. Compute bid-ask half-spread per tier as the median shortfall on small (low participation-rate) trades. Borrow costs sourced directly from prime broker reports. Apply the calibrated model to the backtest and decompose realized cost into spread / impact / borrow.</w:t>
            </w:r>
          </w:p>
        </w:tc>
      </w:tr>
      <w:tr>
        <w:tc>
          <w:tcPr>
            <w:tcW w:type="dxa" w:w="19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Statistical test</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Standard error on α via bootstrap of the realized-fills regression. Comparison of model-implied costs to a held-out window of realized fills — model error should be within 20% of realized.</w:t>
            </w:r>
          </w:p>
        </w:tc>
      </w:tr>
      <w:tr>
        <w:tc>
          <w:tcPr>
            <w:tcW w:type="dxa" w:w="1900"/>
            <w:tcBorders>
              <w:top w:val="single" w:color="CCCCCC" w:sz="4"/>
              <w:left w:val="single" w:color="CCCCCC" w:sz="4"/>
              <w:bottom w:val="single" w:color="CCCCCC" w:sz="4"/>
              <w:right w:val="single" w:color="CCCCCC" w:sz="4"/>
            </w:tcBorders>
            <w:shd w:fill="E5F2E5" w:val="clear"/>
            <w:tcMar>
              <w:top w:type="dxa" w:w="80"/>
              <w:left w:type="dxa" w:w="130"/>
              <w:bottom w:type="dxa" w:w="80"/>
              <w:right w:type="dxa" w:w="130"/>
            </w:tcMar>
            <w:vAlign w:val="top"/>
          </w:tcPr>
          <w:p>
            <w:pPr>
              <w:spacing w:after="30"/>
            </w:pPr>
            <w:r>
              <w:rPr>
                <w:b/>
                <w:bCs/>
                <w:i w:val="false"/>
                <w:iCs w:val="false"/>
                <w:color w:val="1B5E20"/>
                <w:sz w:val="18"/>
                <w:szCs w:val="18"/>
              </w:rPr>
              <w:t xml:space="preserve">Pass criteria</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(a) α_SP500 in [4, 8] bps; α_SP400 in [10, 16]; α_SP600 in [18, 28]. (b) Blended round-trip cost ≤22 bps. (c) Gross-to-net IR ratio ≥0.5. (d) Cost-model error against held-out fills ≤25%.</w:t>
            </w:r>
          </w:p>
        </w:tc>
      </w:tr>
      <w:tr>
        <w:tc>
          <w:tcPr>
            <w:tcW w:type="dxa" w:w="1900"/>
            <w:tcBorders>
              <w:top w:val="single" w:color="CCCCCC" w:sz="4"/>
              <w:left w:val="single" w:color="CCCCCC" w:sz="4"/>
              <w:bottom w:val="single" w:color="CCCCCC" w:sz="4"/>
              <w:right w:val="single" w:color="CCCCCC" w:sz="4"/>
            </w:tcBorders>
            <w:shd w:fill="F5E5E5" w:val="clear"/>
            <w:tcMar>
              <w:top w:type="dxa" w:w="80"/>
              <w:left w:type="dxa" w:w="130"/>
              <w:bottom w:type="dxa" w:w="80"/>
              <w:right w:type="dxa" w:w="130"/>
            </w:tcMar>
            <w:vAlign w:val="top"/>
          </w:tcPr>
          <w:p>
            <w:pPr>
              <w:spacing w:after="30"/>
            </w:pPr>
            <w:r>
              <w:rPr>
                <w:b/>
                <w:bCs/>
                <w:i w:val="false"/>
                <w:iCs w:val="false"/>
                <w:color w:val="8E2F2F"/>
                <w:sz w:val="18"/>
                <w:szCs w:val="18"/>
              </w:rPr>
              <w:t xml:space="preserve">Failure criteria</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(a) α materially higher than committed (&gt;50%) — strategy economics collapse. (b) Gross-to-net IR ratio &lt;0.3 — cost dominates alpha. (c) Cost model unable to predict realized fills within 50% — model is unfit and any backtest is uncalibrated.</w:t>
            </w:r>
          </w:p>
        </w:tc>
      </w:tr>
      <w:tr>
        <w:tc>
          <w:tcPr>
            <w:tcW w:type="dxa" w:w="1900"/>
            <w:tcBorders>
              <w:top w:val="single" w:color="CCCCCC" w:sz="4"/>
              <w:left w:val="single" w:color="CCCCCC" w:sz="4"/>
              <w:bottom w:val="single" w:color="CCCCCC" w:sz="4"/>
              <w:right w:val="single" w:color="CCCCCC" w:sz="4"/>
            </w:tcBorders>
            <w:shd w:fill="E8EEF5" w:val="clear"/>
            <w:tcMar>
              <w:top w:type="dxa" w:w="80"/>
              <w:left w:type="dxa" w:w="130"/>
              <w:bottom w:type="dxa" w:w="80"/>
              <w:right w:type="dxa" w:w="130"/>
            </w:tcMar>
            <w:vAlign w:val="top"/>
          </w:tcPr>
          <w:p>
            <w:pPr>
              <w:spacing w:after="30"/>
            </w:pPr>
            <w:r>
              <w:rPr>
                <w:b/>
                <w:bCs/>
                <w:i w:val="false"/>
                <w:iCs w:val="false"/>
                <w:color w:val="1F3A5F"/>
                <w:sz w:val="18"/>
                <w:szCs w:val="18"/>
              </w:rPr>
              <w:t xml:space="preserve">Interpretation</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Transaction cost calibration is the bridge between backtest and production. A defensible cost model is the basis on which the committee approves allocation. An unrealistic model triggers re-scoping toward higher-tier (SP500-only) names or longer holding periods.</w:t>
            </w:r>
          </w:p>
        </w:tc>
      </w:tr>
      <w:tr>
        <w:tc>
          <w:tcPr>
            <w:tcW w:type="dxa" w:w="1900"/>
            <w:tcBorders>
              <w:top w:val="single" w:color="CCCCCC" w:sz="4"/>
              <w:left w:val="single" w:color="CCCCCC" w:sz="4"/>
              <w:bottom w:val="single" w:color="CCCCCC" w:sz="4"/>
              <w:right w:val="single" w:color="CCCCCC" w:sz="4"/>
            </w:tcBorders>
            <w:shd w:fill="F8F1DD" w:val="clear"/>
            <w:tcMar>
              <w:top w:type="dxa" w:w="80"/>
              <w:left w:type="dxa" w:w="130"/>
              <w:bottom w:type="dxa" w:w="80"/>
              <w:right w:type="dxa" w:w="130"/>
            </w:tcMar>
            <w:vAlign w:val="top"/>
          </w:tcPr>
          <w:p>
            <w:pPr>
              <w:spacing w:after="30"/>
            </w:pPr>
            <w:r>
              <w:rPr>
                <w:b/>
                <w:bCs/>
                <w:i w:val="false"/>
                <w:iCs w:val="false"/>
                <w:color w:val="B8862E"/>
                <w:sz w:val="18"/>
                <w:szCs w:val="18"/>
              </w:rPr>
              <w:t xml:space="preserve">Why a PM cares</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Net IR is what gets paid. Misestimating costs is the most common reason a backtest looks good and live trading does not.</w:t>
            </w:r>
          </w:p>
        </w:tc>
      </w:tr>
      <w:tr>
        <w:tc>
          <w:tcPr>
            <w:tcW w:type="dxa" w:w="1900"/>
            <w:tcBorders>
              <w:top w:val="single" w:color="CCCCCC" w:sz="4"/>
              <w:left w:val="single" w:color="CCCCCC" w:sz="4"/>
              <w:bottom w:val="single" w:color="CCCCCC" w:sz="4"/>
              <w:right w:val="single" w:color="CCCCCC" w:sz="4"/>
            </w:tcBorders>
            <w:shd w:fill="F8F1DD" w:val="clear"/>
            <w:tcMar>
              <w:top w:type="dxa" w:w="80"/>
              <w:left w:type="dxa" w:w="130"/>
              <w:bottom w:type="dxa" w:w="80"/>
              <w:right w:type="dxa" w:w="130"/>
            </w:tcMar>
            <w:vAlign w:val="top"/>
          </w:tcPr>
          <w:p>
            <w:pPr>
              <w:spacing w:after="30"/>
            </w:pPr>
            <w:r>
              <w:rPr>
                <w:b/>
                <w:bCs/>
                <w:i w:val="false"/>
                <w:iCs w:val="false"/>
                <w:color w:val="B8862E"/>
                <w:sz w:val="18"/>
                <w:szCs w:val="18"/>
              </w:rPr>
              <w:t xml:space="preserve">What invalidates the hypothesis</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Cost calibration that destroys the net economics. The strategy may produce gross alpha but if the gross-to-net ratio is below 0.3, the alpha is not capturable.</w:t>
            </w:r>
          </w:p>
        </w:tc>
      </w:tr>
      <w:tr>
        <w:tc>
          <w:tcPr>
            <w:tcW w:type="dxa" w:w="1900"/>
            <w:tcBorders>
              <w:top w:val="single" w:color="CCCCCC" w:sz="4"/>
              <w:left w:val="single" w:color="CCCCCC" w:sz="4"/>
              <w:bottom w:val="single" w:color="CCCCCC" w:sz="4"/>
              <w:right w:val="single" w:color="CCCCCC" w:sz="4"/>
            </w:tcBorders>
            <w:shd w:fill="F8F1DD" w:val="clear"/>
            <w:tcMar>
              <w:top w:type="dxa" w:w="80"/>
              <w:left w:type="dxa" w:w="130"/>
              <w:bottom w:type="dxa" w:w="80"/>
              <w:right w:type="dxa" w:w="130"/>
            </w:tcMar>
            <w:vAlign w:val="top"/>
          </w:tcPr>
          <w:p>
            <w:pPr>
              <w:spacing w:after="30"/>
            </w:pPr>
            <w:r>
              <w:rPr>
                <w:b/>
                <w:bCs/>
                <w:i w:val="false"/>
                <w:iCs w:val="false"/>
                <w:color w:val="B8862E"/>
                <w:sz w:val="18"/>
                <w:szCs w:val="18"/>
              </w:rPr>
              <w:t xml:space="preserve">Visualization</w:t>
            </w:r>
          </w:p>
        </w:tc>
        <w:tc>
          <w:tcPr>
            <w:tcW w:type="dxa" w:w="74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20"/>
                <w:szCs w:val="20"/>
              </w:rPr>
              <w:t xml:space="preserve">(a) α per tier with confidence intervals (bar chart). (b) Implementation shortfall vs √(size / ADV) scatter with fitted curve, one per tier. (c) Cost decomposition stacked bar (spread/impact/borrow) per tier. (d) Gross vs net equity curve overlay showing realized cost drag.</w:t>
            </w:r>
          </w:p>
        </w:tc>
      </w:tr>
    </w:tbl>
    <w:p>
      <w:r>
        <w:br w:type="page"/>
      </w:r>
    </w:p>
    <w:p>
      <w:pPr>
        <w:pStyle w:val="Heading1"/>
      </w:pPr>
      <w:r>
        <w:rPr>
          <w:b w:val="false"/>
          <w:bCs w:val="false"/>
          <w:i w:val="false"/>
          <w:iCs w:val="false"/>
          <w:sz w:val="22"/>
          <w:szCs w:val="22"/>
        </w:rPr>
        <w:t xml:space="preserve">Dependency map and execution sequence</w:t>
      </w:r>
    </w:p>
    <w:p>
      <w:pPr>
        <w:spacing w:after="100"/>
      </w:pPr>
      <w:r>
        <w:rPr>
          <w:b w:val="false"/>
          <w:bCs w:val="false"/>
          <w:i w:val="false"/>
          <w:iCs w:val="false"/>
          <w:sz w:val="22"/>
          <w:szCs w:val="22"/>
        </w:rPr>
        <w:t xml:space="preserve">The experiments form a directed acyclic graph in which each experiment depends on the validated outputs of those upstream. The sequence is fixed in advance to prevent post-hoc test selection. The execution plan, with the gates that each experiment must clear before the next is started, is listed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00"/>
        <w:gridCol w:w="4760"/>
        <w:gridCol w:w="1600"/>
        <w:gridCol w:w="1700"/>
      </w:tblGrid>
      <w:tr>
        <w:trPr>
          <w:tblHeader/>
        </w:trPr>
        <w:tc>
          <w:tcPr>
            <w:tcW w:type="dxa" w:w="600"/>
            <w:tcBorders>
              <w:top w:val="single" w:color="CCCCCC" w:sz="4"/>
              <w:left w:val="single" w:color="CCCCCC" w:sz="4"/>
              <w:bottom w:val="single" w:color="CCCCCC" w:sz="4"/>
              <w:right w:val="single" w:color="CCCCCC" w:sz="4"/>
            </w:tcBorders>
            <w:shd w:fill="1F3A5F" w:val="clear"/>
            <w:tcMar>
              <w:top w:type="dxa" w:w="80"/>
              <w:left w:type="dxa" w:w="130"/>
              <w:bottom w:type="dxa" w:w="80"/>
              <w:right w:type="dxa" w:w="130"/>
            </w:tcMar>
            <w:vAlign w:val="top"/>
          </w:tcPr>
          <w:p>
            <w:pPr>
              <w:spacing w:after="30"/>
              <w:jc w:val="center"/>
            </w:pPr>
            <w:r>
              <w:rPr>
                <w:b/>
                <w:bCs/>
                <w:i w:val="false"/>
                <w:iCs w:val="false"/>
                <w:color w:val="FFFFFF"/>
                <w:sz w:val="18"/>
                <w:szCs w:val="18"/>
              </w:rPr>
              <w:t xml:space="preserve">#</w:t>
            </w:r>
          </w:p>
        </w:tc>
        <w:tc>
          <w:tcPr>
            <w:tcW w:type="dxa" w:w="700"/>
            <w:tcBorders>
              <w:top w:val="single" w:color="CCCCCC" w:sz="4"/>
              <w:left w:val="single" w:color="CCCCCC" w:sz="4"/>
              <w:bottom w:val="single" w:color="CCCCCC" w:sz="4"/>
              <w:right w:val="single" w:color="CCCCCC" w:sz="4"/>
            </w:tcBorders>
            <w:shd w:fill="1F3A5F" w:val="clear"/>
            <w:tcMar>
              <w:top w:type="dxa" w:w="80"/>
              <w:left w:type="dxa" w:w="130"/>
              <w:bottom w:type="dxa" w:w="80"/>
              <w:right w:type="dxa" w:w="130"/>
            </w:tcMar>
            <w:vAlign w:val="top"/>
          </w:tcPr>
          <w:p>
            <w:pPr>
              <w:spacing w:after="30"/>
              <w:jc w:val="center"/>
            </w:pPr>
            <w:r>
              <w:rPr>
                <w:b/>
                <w:bCs/>
                <w:i w:val="false"/>
                <w:iCs w:val="false"/>
                <w:color w:val="FFFFFF"/>
                <w:sz w:val="18"/>
                <w:szCs w:val="18"/>
              </w:rPr>
              <w:t xml:space="preserve">Week</w:t>
            </w:r>
          </w:p>
        </w:tc>
        <w:tc>
          <w:tcPr>
            <w:tcW w:type="dxa" w:w="4760"/>
            <w:tcBorders>
              <w:top w:val="single" w:color="CCCCCC" w:sz="4"/>
              <w:left w:val="single" w:color="CCCCCC" w:sz="4"/>
              <w:bottom w:val="single" w:color="CCCCCC" w:sz="4"/>
              <w:right w:val="single" w:color="CCCCCC" w:sz="4"/>
            </w:tcBorders>
            <w:shd w:fill="1F3A5F" w:val="clear"/>
            <w:tcMar>
              <w:top w:type="dxa" w:w="80"/>
              <w:left w:type="dxa" w:w="130"/>
              <w:bottom w:type="dxa" w:w="80"/>
              <w:right w:type="dxa" w:w="130"/>
            </w:tcMar>
            <w:vAlign w:val="top"/>
          </w:tcPr>
          <w:p>
            <w:pPr>
              <w:spacing w:after="30"/>
            </w:pPr>
            <w:r>
              <w:rPr>
                <w:b/>
                <w:bCs/>
                <w:i w:val="false"/>
                <w:iCs w:val="false"/>
                <w:color w:val="FFFFFF"/>
                <w:sz w:val="18"/>
                <w:szCs w:val="18"/>
              </w:rPr>
              <w:t xml:space="preserve">Experiment</w:t>
            </w:r>
          </w:p>
        </w:tc>
        <w:tc>
          <w:tcPr>
            <w:tcW w:type="dxa" w:w="1600"/>
            <w:tcBorders>
              <w:top w:val="single" w:color="CCCCCC" w:sz="4"/>
              <w:left w:val="single" w:color="CCCCCC" w:sz="4"/>
              <w:bottom w:val="single" w:color="CCCCCC" w:sz="4"/>
              <w:right w:val="single" w:color="CCCCCC" w:sz="4"/>
            </w:tcBorders>
            <w:shd w:fill="1F3A5F" w:val="clear"/>
            <w:tcMar>
              <w:top w:type="dxa" w:w="80"/>
              <w:left w:type="dxa" w:w="130"/>
              <w:bottom w:type="dxa" w:w="80"/>
              <w:right w:type="dxa" w:w="130"/>
            </w:tcMar>
            <w:vAlign w:val="top"/>
          </w:tcPr>
          <w:p>
            <w:pPr>
              <w:spacing w:after="30"/>
            </w:pPr>
            <w:r>
              <w:rPr>
                <w:b/>
                <w:bCs/>
                <w:i w:val="false"/>
                <w:iCs w:val="false"/>
                <w:color w:val="FFFFFF"/>
                <w:sz w:val="18"/>
                <w:szCs w:val="18"/>
              </w:rPr>
              <w:t xml:space="preserve">Depends on</w:t>
            </w:r>
          </w:p>
        </w:tc>
        <w:tc>
          <w:tcPr>
            <w:tcW w:type="dxa" w:w="1700"/>
            <w:tcBorders>
              <w:top w:val="single" w:color="CCCCCC" w:sz="4"/>
              <w:left w:val="single" w:color="CCCCCC" w:sz="4"/>
              <w:bottom w:val="single" w:color="CCCCCC" w:sz="4"/>
              <w:right w:val="single" w:color="CCCCCC" w:sz="4"/>
            </w:tcBorders>
            <w:shd w:fill="1F3A5F" w:val="clear"/>
            <w:tcMar>
              <w:top w:type="dxa" w:w="80"/>
              <w:left w:type="dxa" w:w="130"/>
              <w:bottom w:type="dxa" w:w="80"/>
              <w:right w:type="dxa" w:w="130"/>
            </w:tcMar>
            <w:vAlign w:val="top"/>
          </w:tcPr>
          <w:p>
            <w:pPr>
              <w:spacing w:after="30"/>
            </w:pPr>
            <w:r>
              <w:rPr>
                <w:b/>
                <w:bCs/>
                <w:i w:val="false"/>
                <w:iCs w:val="false"/>
                <w:color w:val="FFFFFF"/>
                <w:sz w:val="18"/>
                <w:szCs w:val="18"/>
              </w:rPr>
              <w:t xml:space="preserve">Gate decision</w:t>
            </w:r>
          </w:p>
        </w:tc>
      </w:tr>
      <w:tr>
        <w:tc>
          <w:tcPr>
            <w:tcW w:type="dxa" w:w="60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jc w:val="center"/>
            </w:pPr>
            <w:r>
              <w:rPr>
                <w:b w:val="false"/>
                <w:bCs w:val="false"/>
                <w:i w:val="false"/>
                <w:iCs w:val="false"/>
                <w:sz w:val="19"/>
                <w:szCs w:val="19"/>
              </w:rPr>
              <w:t xml:space="preserve">1</w:t>
            </w:r>
          </w:p>
        </w:tc>
        <w:tc>
          <w:tcPr>
            <w:tcW w:type="dxa" w:w="70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jc w:val="center"/>
            </w:pPr>
            <w:r>
              <w:rPr>
                <w:b w:val="false"/>
                <w:bCs w:val="false"/>
                <w:i w:val="false"/>
                <w:iCs w:val="false"/>
                <w:sz w:val="19"/>
                <w:szCs w:val="19"/>
              </w:rPr>
              <w:t xml:space="preserve">W1-2</w:t>
            </w:r>
          </w:p>
        </w:tc>
        <w:tc>
          <w:tcPr>
            <w:tcW w:type="dxa" w:w="47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19"/>
                <w:szCs w:val="19"/>
              </w:rPr>
              <w:t xml:space="preserve">Leader Identification Validation</w:t>
            </w:r>
          </w:p>
        </w:tc>
        <w:tc>
          <w:tcPr>
            <w:tcW w:type="dxa" w:w="160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19"/>
                <w:szCs w:val="19"/>
              </w:rPr>
              <w:t xml:space="preserve">—</w:t>
            </w:r>
          </w:p>
        </w:tc>
        <w:tc>
          <w:tcPr>
            <w:tcW w:type="dxa" w:w="170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19"/>
                <w:szCs w:val="19"/>
              </w:rPr>
              <w:t xml:space="preserve">Proceed / Re-define leader</w:t>
            </w:r>
          </w:p>
        </w:tc>
      </w:tr>
      <w:tr>
        <w:tc>
          <w:tcPr>
            <w:tcW w:type="dxa" w:w="600"/>
            <w:tcBorders>
              <w:top w:val="single" w:color="CCCCCC" w:sz="4"/>
              <w:left w:val="single" w:color="CCCCCC" w:sz="4"/>
              <w:bottom w:val="single" w:color="CCCCCC" w:sz="4"/>
              <w:right w:val="single" w:color="CCCCCC" w:sz="4"/>
            </w:tcBorders>
            <w:shd w:fill="F7F9FC" w:val="clear"/>
            <w:tcMar>
              <w:top w:type="dxa" w:w="80"/>
              <w:left w:type="dxa" w:w="130"/>
              <w:bottom w:type="dxa" w:w="80"/>
              <w:right w:type="dxa" w:w="130"/>
            </w:tcMar>
            <w:vAlign w:val="top"/>
          </w:tcPr>
          <w:p>
            <w:pPr>
              <w:spacing w:after="30"/>
              <w:jc w:val="center"/>
            </w:pPr>
            <w:r>
              <w:rPr>
                <w:b w:val="false"/>
                <w:bCs w:val="false"/>
                <w:i w:val="false"/>
                <w:iCs w:val="false"/>
                <w:sz w:val="19"/>
                <w:szCs w:val="19"/>
              </w:rPr>
              <w:t xml:space="preserve">2</w:t>
            </w:r>
          </w:p>
        </w:tc>
        <w:tc>
          <w:tcPr>
            <w:tcW w:type="dxa" w:w="700"/>
            <w:tcBorders>
              <w:top w:val="single" w:color="CCCCCC" w:sz="4"/>
              <w:left w:val="single" w:color="CCCCCC" w:sz="4"/>
              <w:bottom w:val="single" w:color="CCCCCC" w:sz="4"/>
              <w:right w:val="single" w:color="CCCCCC" w:sz="4"/>
            </w:tcBorders>
            <w:shd w:fill="F7F9FC" w:val="clear"/>
            <w:tcMar>
              <w:top w:type="dxa" w:w="80"/>
              <w:left w:type="dxa" w:w="130"/>
              <w:bottom w:type="dxa" w:w="80"/>
              <w:right w:type="dxa" w:w="130"/>
            </w:tcMar>
            <w:vAlign w:val="top"/>
          </w:tcPr>
          <w:p>
            <w:pPr>
              <w:spacing w:after="30"/>
              <w:jc w:val="center"/>
            </w:pPr>
            <w:r>
              <w:rPr>
                <w:b w:val="false"/>
                <w:bCs w:val="false"/>
                <w:i w:val="false"/>
                <w:iCs w:val="false"/>
                <w:sz w:val="19"/>
                <w:szCs w:val="19"/>
              </w:rPr>
              <w:t xml:space="preserve">W2-3</w:t>
            </w:r>
          </w:p>
        </w:tc>
        <w:tc>
          <w:tcPr>
            <w:tcW w:type="dxa" w:w="4760"/>
            <w:tcBorders>
              <w:top w:val="single" w:color="CCCCCC" w:sz="4"/>
              <w:left w:val="single" w:color="CCCCCC" w:sz="4"/>
              <w:bottom w:val="single" w:color="CCCCCC" w:sz="4"/>
              <w:right w:val="single" w:color="CCCCCC" w:sz="4"/>
            </w:tcBorders>
            <w:shd w:fill="F7F9FC" w:val="clear"/>
            <w:tcMar>
              <w:top w:type="dxa" w:w="80"/>
              <w:left w:type="dxa" w:w="130"/>
              <w:bottom w:type="dxa" w:w="80"/>
              <w:right w:type="dxa" w:w="130"/>
            </w:tcMar>
            <w:vAlign w:val="top"/>
          </w:tcPr>
          <w:p>
            <w:pPr>
              <w:spacing w:after="30"/>
            </w:pPr>
            <w:r>
              <w:rPr>
                <w:b w:val="false"/>
                <w:bCs w:val="false"/>
                <w:i w:val="false"/>
                <w:iCs w:val="false"/>
                <w:sz w:val="19"/>
                <w:szCs w:val="19"/>
              </w:rPr>
              <w:t xml:space="preserve">Residualization Validation</w:t>
            </w:r>
          </w:p>
        </w:tc>
        <w:tc>
          <w:tcPr>
            <w:tcW w:type="dxa" w:w="1600"/>
            <w:tcBorders>
              <w:top w:val="single" w:color="CCCCCC" w:sz="4"/>
              <w:left w:val="single" w:color="CCCCCC" w:sz="4"/>
              <w:bottom w:val="single" w:color="CCCCCC" w:sz="4"/>
              <w:right w:val="single" w:color="CCCCCC" w:sz="4"/>
            </w:tcBorders>
            <w:shd w:fill="F7F9FC" w:val="clear"/>
            <w:tcMar>
              <w:top w:type="dxa" w:w="80"/>
              <w:left w:type="dxa" w:w="130"/>
              <w:bottom w:type="dxa" w:w="80"/>
              <w:right w:type="dxa" w:w="130"/>
            </w:tcMar>
            <w:vAlign w:val="top"/>
          </w:tcPr>
          <w:p>
            <w:pPr>
              <w:spacing w:after="30"/>
            </w:pPr>
            <w:r>
              <w:rPr>
                <w:b w:val="false"/>
                <w:bCs w:val="false"/>
                <w:i w:val="false"/>
                <w:iCs w:val="false"/>
                <w:sz w:val="19"/>
                <w:szCs w:val="19"/>
              </w:rPr>
              <w:t xml:space="preserve">—</w:t>
            </w:r>
          </w:p>
        </w:tc>
        <w:tc>
          <w:tcPr>
            <w:tcW w:type="dxa" w:w="1700"/>
            <w:tcBorders>
              <w:top w:val="single" w:color="CCCCCC" w:sz="4"/>
              <w:left w:val="single" w:color="CCCCCC" w:sz="4"/>
              <w:bottom w:val="single" w:color="CCCCCC" w:sz="4"/>
              <w:right w:val="single" w:color="CCCCCC" w:sz="4"/>
            </w:tcBorders>
            <w:shd w:fill="F7F9FC" w:val="clear"/>
            <w:tcMar>
              <w:top w:type="dxa" w:w="80"/>
              <w:left w:type="dxa" w:w="130"/>
              <w:bottom w:type="dxa" w:w="80"/>
              <w:right w:type="dxa" w:w="130"/>
            </w:tcMar>
            <w:vAlign w:val="top"/>
          </w:tcPr>
          <w:p>
            <w:pPr>
              <w:spacing w:after="30"/>
            </w:pPr>
            <w:r>
              <w:rPr>
                <w:b w:val="false"/>
                <w:bCs w:val="false"/>
                <w:i w:val="false"/>
                <w:iCs w:val="false"/>
                <w:sz w:val="19"/>
                <w:szCs w:val="19"/>
              </w:rPr>
              <w:t xml:space="preserve">Proceed / Switch benchmark</w:t>
            </w:r>
          </w:p>
        </w:tc>
      </w:tr>
      <w:tr>
        <w:tc>
          <w:tcPr>
            <w:tcW w:type="dxa" w:w="60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jc w:val="center"/>
            </w:pPr>
            <w:r>
              <w:rPr>
                <w:b w:val="false"/>
                <w:bCs w:val="false"/>
                <w:i w:val="false"/>
                <w:iCs w:val="false"/>
                <w:sz w:val="19"/>
                <w:szCs w:val="19"/>
              </w:rPr>
              <w:t xml:space="preserve">3</w:t>
            </w:r>
          </w:p>
        </w:tc>
        <w:tc>
          <w:tcPr>
            <w:tcW w:type="dxa" w:w="70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jc w:val="center"/>
            </w:pPr>
            <w:r>
              <w:rPr>
                <w:b w:val="false"/>
                <w:bCs w:val="false"/>
                <w:i w:val="false"/>
                <w:iCs w:val="false"/>
                <w:sz w:val="19"/>
                <w:szCs w:val="19"/>
              </w:rPr>
              <w:t xml:space="preserve">W4-5</w:t>
            </w:r>
          </w:p>
        </w:tc>
        <w:tc>
          <w:tcPr>
            <w:tcW w:type="dxa" w:w="47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19"/>
                <w:szCs w:val="19"/>
              </w:rPr>
              <w:t xml:space="preserve">Lead-Lag Relationship Validation</w:t>
            </w:r>
          </w:p>
        </w:tc>
        <w:tc>
          <w:tcPr>
            <w:tcW w:type="dxa" w:w="160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19"/>
                <w:szCs w:val="19"/>
              </w:rPr>
              <w:t xml:space="preserve">1, 2</w:t>
            </w:r>
          </w:p>
        </w:tc>
        <w:tc>
          <w:tcPr>
            <w:tcW w:type="dxa" w:w="170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19"/>
                <w:szCs w:val="19"/>
              </w:rPr>
              <w:t xml:space="preserve">Proceed / Terminate</w:t>
            </w:r>
          </w:p>
        </w:tc>
      </w:tr>
      <w:tr>
        <w:tc>
          <w:tcPr>
            <w:tcW w:type="dxa" w:w="600"/>
            <w:tcBorders>
              <w:top w:val="single" w:color="CCCCCC" w:sz="4"/>
              <w:left w:val="single" w:color="CCCCCC" w:sz="4"/>
              <w:bottom w:val="single" w:color="CCCCCC" w:sz="4"/>
              <w:right w:val="single" w:color="CCCCCC" w:sz="4"/>
            </w:tcBorders>
            <w:shd w:fill="F7F9FC" w:val="clear"/>
            <w:tcMar>
              <w:top w:type="dxa" w:w="80"/>
              <w:left w:type="dxa" w:w="130"/>
              <w:bottom w:type="dxa" w:w="80"/>
              <w:right w:type="dxa" w:w="130"/>
            </w:tcMar>
            <w:vAlign w:val="top"/>
          </w:tcPr>
          <w:p>
            <w:pPr>
              <w:spacing w:after="30"/>
              <w:jc w:val="center"/>
            </w:pPr>
            <w:r>
              <w:rPr>
                <w:b w:val="false"/>
                <w:bCs w:val="false"/>
                <w:i w:val="false"/>
                <w:iCs w:val="false"/>
                <w:sz w:val="19"/>
                <w:szCs w:val="19"/>
              </w:rPr>
              <w:t xml:space="preserve">4</w:t>
            </w:r>
          </w:p>
        </w:tc>
        <w:tc>
          <w:tcPr>
            <w:tcW w:type="dxa" w:w="700"/>
            <w:tcBorders>
              <w:top w:val="single" w:color="CCCCCC" w:sz="4"/>
              <w:left w:val="single" w:color="CCCCCC" w:sz="4"/>
              <w:bottom w:val="single" w:color="CCCCCC" w:sz="4"/>
              <w:right w:val="single" w:color="CCCCCC" w:sz="4"/>
            </w:tcBorders>
            <w:shd w:fill="F7F9FC" w:val="clear"/>
            <w:tcMar>
              <w:top w:type="dxa" w:w="80"/>
              <w:left w:type="dxa" w:w="130"/>
              <w:bottom w:type="dxa" w:w="80"/>
              <w:right w:type="dxa" w:w="130"/>
            </w:tcMar>
            <w:vAlign w:val="top"/>
          </w:tcPr>
          <w:p>
            <w:pPr>
              <w:spacing w:after="30"/>
              <w:jc w:val="center"/>
            </w:pPr>
            <w:r>
              <w:rPr>
                <w:b w:val="false"/>
                <w:bCs w:val="false"/>
                <w:i w:val="false"/>
                <w:iCs w:val="false"/>
                <w:sz w:val="19"/>
                <w:szCs w:val="19"/>
              </w:rPr>
              <w:t xml:space="preserve">W5-6</w:t>
            </w:r>
          </w:p>
        </w:tc>
        <w:tc>
          <w:tcPr>
            <w:tcW w:type="dxa" w:w="4760"/>
            <w:tcBorders>
              <w:top w:val="single" w:color="CCCCCC" w:sz="4"/>
              <w:left w:val="single" w:color="CCCCCC" w:sz="4"/>
              <w:bottom w:val="single" w:color="CCCCCC" w:sz="4"/>
              <w:right w:val="single" w:color="CCCCCC" w:sz="4"/>
            </w:tcBorders>
            <w:shd w:fill="F7F9FC" w:val="clear"/>
            <w:tcMar>
              <w:top w:type="dxa" w:w="80"/>
              <w:left w:type="dxa" w:w="130"/>
              <w:bottom w:type="dxa" w:w="80"/>
              <w:right w:type="dxa" w:w="130"/>
            </w:tcMar>
            <w:vAlign w:val="top"/>
          </w:tcPr>
          <w:p>
            <w:pPr>
              <w:spacing w:after="30"/>
            </w:pPr>
            <w:r>
              <w:rPr>
                <w:b w:val="false"/>
                <w:bCs w:val="false"/>
                <w:i w:val="false"/>
                <w:iCs w:val="false"/>
                <w:sz w:val="19"/>
                <w:szCs w:val="19"/>
              </w:rPr>
              <w:t xml:space="preserve">Signal Decay Analysis</w:t>
            </w:r>
          </w:p>
        </w:tc>
        <w:tc>
          <w:tcPr>
            <w:tcW w:type="dxa" w:w="1600"/>
            <w:tcBorders>
              <w:top w:val="single" w:color="CCCCCC" w:sz="4"/>
              <w:left w:val="single" w:color="CCCCCC" w:sz="4"/>
              <w:bottom w:val="single" w:color="CCCCCC" w:sz="4"/>
              <w:right w:val="single" w:color="CCCCCC" w:sz="4"/>
            </w:tcBorders>
            <w:shd w:fill="F7F9FC" w:val="clear"/>
            <w:tcMar>
              <w:top w:type="dxa" w:w="80"/>
              <w:left w:type="dxa" w:w="130"/>
              <w:bottom w:type="dxa" w:w="80"/>
              <w:right w:type="dxa" w:w="130"/>
            </w:tcMar>
            <w:vAlign w:val="top"/>
          </w:tcPr>
          <w:p>
            <w:pPr>
              <w:spacing w:after="30"/>
            </w:pPr>
            <w:r>
              <w:rPr>
                <w:b w:val="false"/>
                <w:bCs w:val="false"/>
                <w:i w:val="false"/>
                <w:iCs w:val="false"/>
                <w:sz w:val="19"/>
                <w:szCs w:val="19"/>
              </w:rPr>
              <w:t xml:space="preserve">3</w:t>
            </w:r>
          </w:p>
        </w:tc>
        <w:tc>
          <w:tcPr>
            <w:tcW w:type="dxa" w:w="1700"/>
            <w:tcBorders>
              <w:top w:val="single" w:color="CCCCCC" w:sz="4"/>
              <w:left w:val="single" w:color="CCCCCC" w:sz="4"/>
              <w:bottom w:val="single" w:color="CCCCCC" w:sz="4"/>
              <w:right w:val="single" w:color="CCCCCC" w:sz="4"/>
            </w:tcBorders>
            <w:shd w:fill="F7F9FC" w:val="clear"/>
            <w:tcMar>
              <w:top w:type="dxa" w:w="80"/>
              <w:left w:type="dxa" w:w="130"/>
              <w:bottom w:type="dxa" w:w="80"/>
              <w:right w:type="dxa" w:w="130"/>
            </w:tcMar>
            <w:vAlign w:val="top"/>
          </w:tcPr>
          <w:p>
            <w:pPr>
              <w:spacing w:after="30"/>
            </w:pPr>
            <w:r>
              <w:rPr>
                <w:b w:val="false"/>
                <w:bCs w:val="false"/>
                <w:i w:val="false"/>
                <w:iCs w:val="false"/>
                <w:sz w:val="19"/>
                <w:szCs w:val="19"/>
              </w:rPr>
              <w:t xml:space="preserve">Proceed / Re-scope horizon</w:t>
            </w:r>
          </w:p>
        </w:tc>
      </w:tr>
      <w:tr>
        <w:tc>
          <w:tcPr>
            <w:tcW w:type="dxa" w:w="60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jc w:val="center"/>
            </w:pPr>
            <w:r>
              <w:rPr>
                <w:b w:val="false"/>
                <w:bCs w:val="false"/>
                <w:i w:val="false"/>
                <w:iCs w:val="false"/>
                <w:sz w:val="19"/>
                <w:szCs w:val="19"/>
              </w:rPr>
              <w:t xml:space="preserve">5</w:t>
            </w:r>
          </w:p>
        </w:tc>
        <w:tc>
          <w:tcPr>
            <w:tcW w:type="dxa" w:w="70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jc w:val="center"/>
            </w:pPr>
            <w:r>
              <w:rPr>
                <w:b w:val="false"/>
                <w:bCs w:val="false"/>
                <w:i w:val="false"/>
                <w:iCs w:val="false"/>
                <w:sz w:val="19"/>
                <w:szCs w:val="19"/>
              </w:rPr>
              <w:t xml:space="preserve">W6-7</w:t>
            </w:r>
          </w:p>
        </w:tc>
        <w:tc>
          <w:tcPr>
            <w:tcW w:type="dxa" w:w="47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19"/>
                <w:szCs w:val="19"/>
              </w:rPr>
              <w:t xml:space="preserve">Liquidity Analysis</w:t>
            </w:r>
          </w:p>
        </w:tc>
        <w:tc>
          <w:tcPr>
            <w:tcW w:type="dxa" w:w="160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19"/>
                <w:szCs w:val="19"/>
              </w:rPr>
              <w:t xml:space="preserve">1</w:t>
            </w:r>
          </w:p>
        </w:tc>
        <w:tc>
          <w:tcPr>
            <w:tcW w:type="dxa" w:w="170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19"/>
                <w:szCs w:val="19"/>
              </w:rPr>
              <w:t xml:space="preserve">Proceed / Reduce target AUM</w:t>
            </w:r>
          </w:p>
        </w:tc>
      </w:tr>
      <w:tr>
        <w:tc>
          <w:tcPr>
            <w:tcW w:type="dxa" w:w="600"/>
            <w:tcBorders>
              <w:top w:val="single" w:color="CCCCCC" w:sz="4"/>
              <w:left w:val="single" w:color="CCCCCC" w:sz="4"/>
              <w:bottom w:val="single" w:color="CCCCCC" w:sz="4"/>
              <w:right w:val="single" w:color="CCCCCC" w:sz="4"/>
            </w:tcBorders>
            <w:shd w:fill="F7F9FC" w:val="clear"/>
            <w:tcMar>
              <w:top w:type="dxa" w:w="80"/>
              <w:left w:type="dxa" w:w="130"/>
              <w:bottom w:type="dxa" w:w="80"/>
              <w:right w:type="dxa" w:w="130"/>
            </w:tcMar>
            <w:vAlign w:val="top"/>
          </w:tcPr>
          <w:p>
            <w:pPr>
              <w:spacing w:after="30"/>
              <w:jc w:val="center"/>
            </w:pPr>
            <w:r>
              <w:rPr>
                <w:b w:val="false"/>
                <w:bCs w:val="false"/>
                <w:i w:val="false"/>
                <w:iCs w:val="false"/>
                <w:sz w:val="19"/>
                <w:szCs w:val="19"/>
              </w:rPr>
              <w:t xml:space="preserve">6</w:t>
            </w:r>
          </w:p>
        </w:tc>
        <w:tc>
          <w:tcPr>
            <w:tcW w:type="dxa" w:w="700"/>
            <w:tcBorders>
              <w:top w:val="single" w:color="CCCCCC" w:sz="4"/>
              <w:left w:val="single" w:color="CCCCCC" w:sz="4"/>
              <w:bottom w:val="single" w:color="CCCCCC" w:sz="4"/>
              <w:right w:val="single" w:color="CCCCCC" w:sz="4"/>
            </w:tcBorders>
            <w:shd w:fill="F7F9FC" w:val="clear"/>
            <w:tcMar>
              <w:top w:type="dxa" w:w="80"/>
              <w:left w:type="dxa" w:w="130"/>
              <w:bottom w:type="dxa" w:w="80"/>
              <w:right w:type="dxa" w:w="130"/>
            </w:tcMar>
            <w:vAlign w:val="top"/>
          </w:tcPr>
          <w:p>
            <w:pPr>
              <w:spacing w:after="30"/>
              <w:jc w:val="center"/>
            </w:pPr>
            <w:r>
              <w:rPr>
                <w:b w:val="false"/>
                <w:bCs w:val="false"/>
                <w:i w:val="false"/>
                <w:iCs w:val="false"/>
                <w:sz w:val="19"/>
                <w:szCs w:val="19"/>
              </w:rPr>
              <w:t xml:space="preserve">W7-8</w:t>
            </w:r>
          </w:p>
        </w:tc>
        <w:tc>
          <w:tcPr>
            <w:tcW w:type="dxa" w:w="4760"/>
            <w:tcBorders>
              <w:top w:val="single" w:color="CCCCCC" w:sz="4"/>
              <w:left w:val="single" w:color="CCCCCC" w:sz="4"/>
              <w:bottom w:val="single" w:color="CCCCCC" w:sz="4"/>
              <w:right w:val="single" w:color="CCCCCC" w:sz="4"/>
            </w:tcBorders>
            <w:shd w:fill="F7F9FC" w:val="clear"/>
            <w:tcMar>
              <w:top w:type="dxa" w:w="80"/>
              <w:left w:type="dxa" w:w="130"/>
              <w:bottom w:type="dxa" w:w="80"/>
              <w:right w:type="dxa" w:w="130"/>
            </w:tcMar>
            <w:vAlign w:val="top"/>
          </w:tcPr>
          <w:p>
            <w:pPr>
              <w:spacing w:after="30"/>
            </w:pPr>
            <w:r>
              <w:rPr>
                <w:b w:val="false"/>
                <w:bCs w:val="false"/>
                <w:i w:val="false"/>
                <w:iCs w:val="false"/>
                <w:sz w:val="19"/>
                <w:szCs w:val="19"/>
              </w:rPr>
              <w:t xml:space="preserve">Sector Neutrality Analysis</w:t>
            </w:r>
          </w:p>
        </w:tc>
        <w:tc>
          <w:tcPr>
            <w:tcW w:type="dxa" w:w="1600"/>
            <w:tcBorders>
              <w:top w:val="single" w:color="CCCCCC" w:sz="4"/>
              <w:left w:val="single" w:color="CCCCCC" w:sz="4"/>
              <w:bottom w:val="single" w:color="CCCCCC" w:sz="4"/>
              <w:right w:val="single" w:color="CCCCCC" w:sz="4"/>
            </w:tcBorders>
            <w:shd w:fill="F7F9FC" w:val="clear"/>
            <w:tcMar>
              <w:top w:type="dxa" w:w="80"/>
              <w:left w:type="dxa" w:w="130"/>
              <w:bottom w:type="dxa" w:w="80"/>
              <w:right w:type="dxa" w:w="130"/>
            </w:tcMar>
            <w:vAlign w:val="top"/>
          </w:tcPr>
          <w:p>
            <w:pPr>
              <w:spacing w:after="30"/>
            </w:pPr>
            <w:r>
              <w:rPr>
                <w:b w:val="false"/>
                <w:bCs w:val="false"/>
                <w:i w:val="false"/>
                <w:iCs w:val="false"/>
                <w:sz w:val="19"/>
                <w:szCs w:val="19"/>
              </w:rPr>
              <w:t xml:space="preserve">3, 4</w:t>
            </w:r>
          </w:p>
        </w:tc>
        <w:tc>
          <w:tcPr>
            <w:tcW w:type="dxa" w:w="1700"/>
            <w:tcBorders>
              <w:top w:val="single" w:color="CCCCCC" w:sz="4"/>
              <w:left w:val="single" w:color="CCCCCC" w:sz="4"/>
              <w:bottom w:val="single" w:color="CCCCCC" w:sz="4"/>
              <w:right w:val="single" w:color="CCCCCC" w:sz="4"/>
            </w:tcBorders>
            <w:shd w:fill="F7F9FC" w:val="clear"/>
            <w:tcMar>
              <w:top w:type="dxa" w:w="80"/>
              <w:left w:type="dxa" w:w="130"/>
              <w:bottom w:type="dxa" w:w="80"/>
              <w:right w:type="dxa" w:w="130"/>
            </w:tcMar>
            <w:vAlign w:val="top"/>
          </w:tcPr>
          <w:p>
            <w:pPr>
              <w:spacing w:after="30"/>
            </w:pPr>
            <w:r>
              <w:rPr>
                <w:b w:val="false"/>
                <w:bCs w:val="false"/>
                <w:i w:val="false"/>
                <w:iCs w:val="false"/>
                <w:sz w:val="19"/>
                <w:szCs w:val="19"/>
              </w:rPr>
              <w:t xml:space="preserve">Proceed / Add explicit sector neut</w:t>
            </w:r>
          </w:p>
        </w:tc>
      </w:tr>
      <w:tr>
        <w:tc>
          <w:tcPr>
            <w:tcW w:type="dxa" w:w="60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jc w:val="center"/>
            </w:pPr>
            <w:r>
              <w:rPr>
                <w:b w:val="false"/>
                <w:bCs w:val="false"/>
                <w:i w:val="false"/>
                <w:iCs w:val="false"/>
                <w:sz w:val="19"/>
                <w:szCs w:val="19"/>
              </w:rPr>
              <w:t xml:space="preserve">7</w:t>
            </w:r>
          </w:p>
        </w:tc>
        <w:tc>
          <w:tcPr>
            <w:tcW w:type="dxa" w:w="70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jc w:val="center"/>
            </w:pPr>
            <w:r>
              <w:rPr>
                <w:b w:val="false"/>
                <w:bCs w:val="false"/>
                <w:i w:val="false"/>
                <w:iCs w:val="false"/>
                <w:sz w:val="19"/>
                <w:szCs w:val="19"/>
              </w:rPr>
              <w:t xml:space="preserve">W8-9</w:t>
            </w:r>
          </w:p>
        </w:tc>
        <w:tc>
          <w:tcPr>
            <w:tcW w:type="dxa" w:w="47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19"/>
                <w:szCs w:val="19"/>
              </w:rPr>
              <w:t xml:space="preserve">Time Stability Analysis</w:t>
            </w:r>
          </w:p>
        </w:tc>
        <w:tc>
          <w:tcPr>
            <w:tcW w:type="dxa" w:w="160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19"/>
                <w:szCs w:val="19"/>
              </w:rPr>
              <w:t xml:space="preserve">3</w:t>
            </w:r>
          </w:p>
        </w:tc>
        <w:tc>
          <w:tcPr>
            <w:tcW w:type="dxa" w:w="170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19"/>
                <w:szCs w:val="19"/>
              </w:rPr>
              <w:t xml:space="preserve">Proceed / Add regime conditioning</w:t>
            </w:r>
          </w:p>
        </w:tc>
      </w:tr>
      <w:tr>
        <w:tc>
          <w:tcPr>
            <w:tcW w:type="dxa" w:w="600"/>
            <w:tcBorders>
              <w:top w:val="single" w:color="CCCCCC" w:sz="4"/>
              <w:left w:val="single" w:color="CCCCCC" w:sz="4"/>
              <w:bottom w:val="single" w:color="CCCCCC" w:sz="4"/>
              <w:right w:val="single" w:color="CCCCCC" w:sz="4"/>
            </w:tcBorders>
            <w:shd w:fill="F7F9FC" w:val="clear"/>
            <w:tcMar>
              <w:top w:type="dxa" w:w="80"/>
              <w:left w:type="dxa" w:w="130"/>
              <w:bottom w:type="dxa" w:w="80"/>
              <w:right w:type="dxa" w:w="130"/>
            </w:tcMar>
            <w:vAlign w:val="top"/>
          </w:tcPr>
          <w:p>
            <w:pPr>
              <w:spacing w:after="30"/>
              <w:jc w:val="center"/>
            </w:pPr>
            <w:r>
              <w:rPr>
                <w:b w:val="false"/>
                <w:bCs w:val="false"/>
                <w:i w:val="false"/>
                <w:iCs w:val="false"/>
                <w:sz w:val="19"/>
                <w:szCs w:val="19"/>
              </w:rPr>
              <w:t xml:space="preserve">8</w:t>
            </w:r>
          </w:p>
        </w:tc>
        <w:tc>
          <w:tcPr>
            <w:tcW w:type="dxa" w:w="700"/>
            <w:tcBorders>
              <w:top w:val="single" w:color="CCCCCC" w:sz="4"/>
              <w:left w:val="single" w:color="CCCCCC" w:sz="4"/>
              <w:bottom w:val="single" w:color="CCCCCC" w:sz="4"/>
              <w:right w:val="single" w:color="CCCCCC" w:sz="4"/>
            </w:tcBorders>
            <w:shd w:fill="F7F9FC" w:val="clear"/>
            <w:tcMar>
              <w:top w:type="dxa" w:w="80"/>
              <w:left w:type="dxa" w:w="130"/>
              <w:bottom w:type="dxa" w:w="80"/>
              <w:right w:type="dxa" w:w="130"/>
            </w:tcMar>
            <w:vAlign w:val="top"/>
          </w:tcPr>
          <w:p>
            <w:pPr>
              <w:spacing w:after="30"/>
              <w:jc w:val="center"/>
            </w:pPr>
            <w:r>
              <w:rPr>
                <w:b w:val="false"/>
                <w:bCs w:val="false"/>
                <w:i w:val="false"/>
                <w:iCs w:val="false"/>
                <w:sz w:val="19"/>
                <w:szCs w:val="19"/>
              </w:rPr>
              <w:t xml:space="preserve">W10-11</w:t>
            </w:r>
          </w:p>
        </w:tc>
        <w:tc>
          <w:tcPr>
            <w:tcW w:type="dxa" w:w="4760"/>
            <w:tcBorders>
              <w:top w:val="single" w:color="CCCCCC" w:sz="4"/>
              <w:left w:val="single" w:color="CCCCCC" w:sz="4"/>
              <w:bottom w:val="single" w:color="CCCCCC" w:sz="4"/>
              <w:right w:val="single" w:color="CCCCCC" w:sz="4"/>
            </w:tcBorders>
            <w:shd w:fill="F7F9FC" w:val="clear"/>
            <w:tcMar>
              <w:top w:type="dxa" w:w="80"/>
              <w:left w:type="dxa" w:w="130"/>
              <w:bottom w:type="dxa" w:w="80"/>
              <w:right w:type="dxa" w:w="130"/>
            </w:tcMar>
            <w:vAlign w:val="top"/>
          </w:tcPr>
          <w:p>
            <w:pPr>
              <w:spacing w:after="30"/>
            </w:pPr>
            <w:r>
              <w:rPr>
                <w:b w:val="false"/>
                <w:bCs w:val="false"/>
                <w:i w:val="false"/>
                <w:iCs w:val="false"/>
                <w:sz w:val="19"/>
                <w:szCs w:val="19"/>
              </w:rPr>
              <w:t xml:space="preserve">Capacity Analysis</w:t>
            </w:r>
          </w:p>
        </w:tc>
        <w:tc>
          <w:tcPr>
            <w:tcW w:type="dxa" w:w="1600"/>
            <w:tcBorders>
              <w:top w:val="single" w:color="CCCCCC" w:sz="4"/>
              <w:left w:val="single" w:color="CCCCCC" w:sz="4"/>
              <w:bottom w:val="single" w:color="CCCCCC" w:sz="4"/>
              <w:right w:val="single" w:color="CCCCCC" w:sz="4"/>
            </w:tcBorders>
            <w:shd w:fill="F7F9FC" w:val="clear"/>
            <w:tcMar>
              <w:top w:type="dxa" w:w="80"/>
              <w:left w:type="dxa" w:w="130"/>
              <w:bottom w:type="dxa" w:w="80"/>
              <w:right w:type="dxa" w:w="130"/>
            </w:tcMar>
            <w:vAlign w:val="top"/>
          </w:tcPr>
          <w:p>
            <w:pPr>
              <w:spacing w:after="30"/>
            </w:pPr>
            <w:r>
              <w:rPr>
                <w:b w:val="false"/>
                <w:bCs w:val="false"/>
                <w:i w:val="false"/>
                <w:iCs w:val="false"/>
                <w:sz w:val="19"/>
                <w:szCs w:val="19"/>
              </w:rPr>
              <w:t xml:space="preserve">4, 5, 9</w:t>
            </w:r>
          </w:p>
        </w:tc>
        <w:tc>
          <w:tcPr>
            <w:tcW w:type="dxa" w:w="1700"/>
            <w:tcBorders>
              <w:top w:val="single" w:color="CCCCCC" w:sz="4"/>
              <w:left w:val="single" w:color="CCCCCC" w:sz="4"/>
              <w:bottom w:val="single" w:color="CCCCCC" w:sz="4"/>
              <w:right w:val="single" w:color="CCCCCC" w:sz="4"/>
            </w:tcBorders>
            <w:shd w:fill="F7F9FC" w:val="clear"/>
            <w:tcMar>
              <w:top w:type="dxa" w:w="80"/>
              <w:left w:type="dxa" w:w="130"/>
              <w:bottom w:type="dxa" w:w="80"/>
              <w:right w:type="dxa" w:w="130"/>
            </w:tcMar>
            <w:vAlign w:val="top"/>
          </w:tcPr>
          <w:p>
            <w:pPr>
              <w:spacing w:after="30"/>
            </w:pPr>
            <w:r>
              <w:rPr>
                <w:b w:val="false"/>
                <w:bCs w:val="false"/>
                <w:i w:val="false"/>
                <w:iCs w:val="false"/>
                <w:sz w:val="19"/>
                <w:szCs w:val="19"/>
              </w:rPr>
              <w:t xml:space="preserve">Proceed / Cap AUM</w:t>
            </w:r>
          </w:p>
        </w:tc>
      </w:tr>
      <w:tr>
        <w:tc>
          <w:tcPr>
            <w:tcW w:type="dxa" w:w="60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jc w:val="center"/>
            </w:pPr>
            <w:r>
              <w:rPr>
                <w:b w:val="false"/>
                <w:bCs w:val="false"/>
                <w:i w:val="false"/>
                <w:iCs w:val="false"/>
                <w:sz w:val="19"/>
                <w:szCs w:val="19"/>
              </w:rPr>
              <w:t xml:space="preserve">9</w:t>
            </w:r>
          </w:p>
        </w:tc>
        <w:tc>
          <w:tcPr>
            <w:tcW w:type="dxa" w:w="70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jc w:val="center"/>
            </w:pPr>
            <w:r>
              <w:rPr>
                <w:b w:val="false"/>
                <w:bCs w:val="false"/>
                <w:i w:val="false"/>
                <w:iCs w:val="false"/>
                <w:sz w:val="19"/>
                <w:szCs w:val="19"/>
              </w:rPr>
              <w:t xml:space="preserve">W9-10</w:t>
            </w:r>
          </w:p>
        </w:tc>
        <w:tc>
          <w:tcPr>
            <w:tcW w:type="dxa" w:w="47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19"/>
                <w:szCs w:val="19"/>
              </w:rPr>
              <w:t xml:space="preserve">Transaction Cost Analysis</w:t>
            </w:r>
          </w:p>
        </w:tc>
        <w:tc>
          <w:tcPr>
            <w:tcW w:type="dxa" w:w="160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19"/>
                <w:szCs w:val="19"/>
              </w:rPr>
              <w:t xml:space="preserve">—</w:t>
            </w:r>
          </w:p>
        </w:tc>
        <w:tc>
          <w:tcPr>
            <w:tcW w:type="dxa" w:w="170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19"/>
                <w:szCs w:val="19"/>
              </w:rPr>
              <w:t xml:space="preserve">Proceed / Recalibrate</w:t>
            </w:r>
          </w:p>
        </w:tc>
      </w:tr>
    </w:tbl>
    <w:p>
      <w:pPr>
        <w:spacing w:after="100"/>
      </w:pPr>
      <w:r>
        <w:rPr>
          <w:b w:val="false"/>
          <w:bCs w:val="false"/>
          <w:i w:val="false"/>
          <w:iCs w:val="false"/>
          <w:sz w:val="22"/>
          <w:szCs w:val="22"/>
        </w:rPr>
        <w:t xml:space="preserve"/>
      </w:r>
    </w:p>
    <w:p>
      <w:pPr>
        <w:spacing w:after="100"/>
      </w:pPr>
      <w:r>
        <w:rPr>
          <w:b w:val="false"/>
          <w:bCs w:val="false"/>
          <w:i w:val="false"/>
          <w:iCs w:val="false"/>
          <w:sz w:val="22"/>
          <w:szCs w:val="22"/>
        </w:rPr>
        <w:t xml:space="preserve">Experiment 3 is the binary kill gate for the program. Experiments 1 and 2 are the foundation it stands on; if either fails, Experiment 3 should not be run. Experiments 4-9 elaborate the trading economics once the central effect is established. Experiments 5 and 9 can run in parallel with the latter half of the validation chain. The full sequence completes in 11 weeks of single-researcher effort, with weeks 12-14 reserved for backtest construction, paper trading setup, and the operational handover.</w:t>
      </w:r>
    </w:p>
    <w:p>
      <w:pPr>
        <w:pStyle w:val="Heading2"/>
      </w:pPr>
      <w:r>
        <w:rPr>
          <w:b w:val="false"/>
          <w:bCs w:val="false"/>
          <w:i w:val="false"/>
          <w:iCs w:val="false"/>
          <w:sz w:val="22"/>
          <w:szCs w:val="22"/>
        </w:rPr>
        <w:t xml:space="preserve">Pre-registration discipline</w:t>
      </w:r>
    </w:p>
    <w:p>
      <w:pPr>
        <w:spacing w:after="100"/>
      </w:pPr>
      <w:r>
        <w:rPr>
          <w:b w:val="false"/>
          <w:bCs w:val="false"/>
          <w:i w:val="false"/>
          <w:iCs w:val="false"/>
          <w:sz w:val="22"/>
          <w:szCs w:val="22"/>
        </w:rPr>
        <w:t xml:space="preserve">Every experiment is logged in the research register before data is queried. Methodology, pass and fail criteria, and visualization specifications are committed in writing. Modifications during the experiment require a written amendment with reason. The research register is reviewed at each phase gate; experiments whose criteria were modified during execution are flagged for senior review and may be discounted in the committee's evaluation.</w:t>
      </w:r>
    </w:p>
    <w:p>
      <w:pPr>
        <w:pStyle w:val="Heading2"/>
      </w:pPr>
      <w:r>
        <w:rPr>
          <w:b w:val="false"/>
          <w:bCs w:val="false"/>
          <w:i w:val="false"/>
          <w:iCs w:val="false"/>
          <w:sz w:val="22"/>
          <w:szCs w:val="22"/>
        </w:rPr>
        <w:t xml:space="preserve">Artifact requirements</w:t>
      </w:r>
    </w:p>
    <w:p>
      <w:pPr>
        <w:spacing w:after="100"/>
      </w:pPr>
      <w:r>
        <w:rPr>
          <w:b w:val="false"/>
          <w:bCs w:val="false"/>
          <w:i w:val="false"/>
          <w:iCs w:val="false"/>
          <w:sz w:val="22"/>
          <w:szCs w:val="22"/>
        </w:rPr>
        <w:t xml:space="preserve">Each experiment must produce four artifacts: (a) a methodology note describing what was actually done, (b) the raw results in machine-readable form, (c) the canonical visualization as specified in this blueprint, and (d) a one-paragraph interpretation. The committee deck for the final review is constructed from the canonical visualizations across all nine experiments — no exploratory charts, no after-the-fact figures.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b w:val="false"/>
        <w:bCs w:val="false"/>
        <w:i w:val="false"/>
        <w:iCs w:val="false"/>
        <w:sz w:val="18"/>
        <w:szCs w:val="18"/>
      </w:rPr>
      <w:t xml:space="preserve">Page </w:t>
    </w:r>
    <w:r>
      <w:rPr>
        <w:sz w:val="18"/>
        <w:szCs w:val="18"/>
      </w:rPr>
      <w:fldChar w:fldCharType="begin"/>
      <w:instrText xml:space="preserve">PAGE</w:instrText>
      <w:fldChar w:fldCharType="separate"/>
      <w:fldChar w:fldCharType="end"/>
    </w:r>
    <w:r>
      <w:rPr>
        <w:b w:val="false"/>
        <w:bCs w:val="false"/>
        <w:i w:val="false"/>
        <w:iCs w:val="false"/>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val="false"/>
        <w:bCs w:val="false"/>
        <w:i/>
        <w:iCs/>
        <w:color w:val="1F3A5F"/>
        <w:sz w:val="18"/>
        <w:szCs w:val="18"/>
      </w:rPr>
      <w:t xml:space="preserve">Experimental Framework — Sub-Industry Leader-Follower Lead-Lag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A5F"/>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1F3A5F"/>
      <w:sz w:val="26"/>
      <w:szCs w:val="26"/>
    </w:rPr>
  </w:style>
  <w:style w:type="paragraph" w:styleId="Heading3">
    <w:name w:val="Heading 3"/>
    <w:basedOn w:val="Normal"/>
    <w:next w:val="Normal"/>
    <w:qFormat/>
    <w:pPr>
      <w:spacing w:after="60" w:before="140"/>
      <w:outlineLvl w:val="2"/>
    </w:pPr>
    <w:rPr>
      <w:rFonts w:ascii="Calibri" w:cs="Calibri" w:eastAsia="Calibri" w:hAnsi="Calibri"/>
      <w:b/>
      <w:bCs/>
      <w:i/>
      <w:iCs/>
      <w:color w:val="B886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2026-06-08T08:58:32.870Z</dcterms:created>
  <dcterms:modified xsi:type="dcterms:W3CDTF">2026-06-08T08:58:32.870Z</dcterms:modified>
</cp:coreProperties>
</file>

<file path=docProps/custom.xml><?xml version="1.0" encoding="utf-8"?>
<Properties xmlns="http://schemas.openxmlformats.org/officeDocument/2006/custom-properties" xmlns:vt="http://schemas.openxmlformats.org/officeDocument/2006/docPropsVTypes"/>
</file>