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500"/>
        <w:jc w:val="center"/>
      </w:pPr>
      <w:r>
        <w:rPr>
          <w:b/>
          <w:bCs/>
          <w:i w:val="false"/>
          <w:iCs w:val="false"/>
          <w:color w:val="1F3A5F"/>
          <w:sz w:val="60"/>
          <w:szCs w:val="60"/>
        </w:rPr>
        <w:t xml:space="preserve">Investment Review</w:t>
      </w:r>
    </w:p>
    <w:p>
      <w:pPr>
        <w:spacing w:after="120"/>
        <w:jc w:val="center"/>
      </w:pPr>
      <w:r>
        <w:rPr>
          <w:b w:val="false"/>
          <w:bCs w:val="false"/>
          <w:i w:val="false"/>
          <w:iCs w:val="false"/>
          <w:color w:val="1F3A5F"/>
          <w:sz w:val="36"/>
          <w:szCs w:val="36"/>
        </w:rPr>
        <w:t xml:space="preserve">Results Interpretation Framework</w:t>
      </w:r>
    </w:p>
    <w:p>
      <w:pPr>
        <w:spacing w:after="600"/>
        <w:jc w:val="center"/>
      </w:pPr>
      <w:r>
        <w:rPr>
          <w:b w:val="false"/>
          <w:bCs w:val="false"/>
          <w:i/>
          <w:iCs/>
          <w:sz w:val="26"/>
          <w:szCs w:val="26"/>
        </w:rPr>
        <w:t xml:space="preserve">Sub-Industry Leader-Follower Information Diffusion (H6)</w:t>
      </w:r>
    </w:p>
    <w:p>
      <w:pPr>
        <w:spacing w:after="80"/>
        <w:jc w:val="center"/>
      </w:pPr>
      <w:r>
        <w:rPr>
          <w:b w:val="false"/>
          <w:bCs w:val="false"/>
          <w:i w:val="false"/>
          <w:iCs w:val="false"/>
          <w:sz w:val="22"/>
          <w:szCs w:val="22"/>
        </w:rPr>
        <w:t xml:space="preserve">Reviewer: Chief Investment Officer</w:t>
      </w:r>
    </w:p>
    <w:p>
      <w:pPr>
        <w:spacing w:after="80"/>
        <w:jc w:val="center"/>
      </w:pPr>
      <w:r>
        <w:rPr>
          <w:b w:val="false"/>
          <w:bCs w:val="false"/>
          <w:i w:val="false"/>
          <w:iCs w:val="false"/>
          <w:sz w:val="22"/>
          <w:szCs w:val="22"/>
        </w:rPr>
        <w:t xml:space="preserve">Universe: S&amp;P 1500   |   Mandate: Long-short, dollar- &amp; industry-neutral</w:t>
      </w:r>
    </w:p>
    <w:p>
      <w:pPr>
        <w:spacing w:after="80"/>
        <w:jc w:val="center"/>
      </w:pPr>
      <w:r>
        <w:rPr>
          <w:b w:val="false"/>
          <w:bCs w:val="false"/>
          <w:i/>
          <w:iCs/>
          <w:sz w:val="22"/>
          <w:szCs w:val="22"/>
        </w:rPr>
        <w:t xml:space="preserve">Document type: Internal investment review</w:t>
      </w:r>
    </w:p>
    <w:p>
      <w:r>
        <w:br w:type="page"/>
      </w:r>
    </w:p>
    <w:p>
      <w:pPr>
        <w:pStyle w:val="Heading1"/>
      </w:pPr>
      <w:r>
        <w:rPr>
          <w:b w:val="false"/>
          <w:bCs w:val="false"/>
          <w:i w:val="false"/>
          <w:iCs w:val="false"/>
          <w:sz w:val="22"/>
          <w:szCs w:val="22"/>
        </w:rPr>
        <w:t xml:space="preserve">Executive Summary</w:t>
      </w:r>
    </w:p>
    <w:p>
      <w:pPr>
        <w:spacing w:after="100"/>
      </w:pPr>
      <w:r>
        <w:rPr>
          <w:b w:val="false"/>
          <w:bCs w:val="false"/>
          <w:i w:val="false"/>
          <w:iCs w:val="false"/>
          <w:sz w:val="22"/>
          <w:szCs w:val="22"/>
        </w:rPr>
        <w:t xml:space="preserve">This document is the institutional framework used to evaluate the H6 Sub-Industry Leader-Follower strategy ahead of capital allocation. It is not a verdict on the strategy. It is the set of standards against which the strategy's backtest results are measured, and the decision matrix the Investment Committee uses to translate those results into a capital deployment recommendation.</w:t>
      </w:r>
    </w:p>
    <w:p>
      <w:pPr>
        <w:spacing w:after="100"/>
      </w:pPr>
      <w:r>
        <w:rPr>
          <w:b w:val="false"/>
          <w:bCs w:val="false"/>
          <w:i w:val="false"/>
          <w:iCs w:val="false"/>
          <w:sz w:val="22"/>
          <w:szCs w:val="22"/>
        </w:rPr>
        <w:t xml:space="preserve">The framework has three parts. First, twelve performance metrics with pre-committed Excellent / Good / Acceptable / Poor bands, plus a portfolio-manager interpretation and allocation implication for each. Second, six robustness tests with binary pass/fail thresholds. Third, the Go/No-Go decision matrix, the IC checklist, and the Green/Red flag inventory that close out the review.</w:t>
      </w:r>
    </w:p>
    <w:p>
      <w:pPr>
        <w:spacing w:after="100"/>
      </w:pPr>
      <w:r>
        <w:rPr>
          <w:b w:val="false"/>
          <w:bCs w:val="false"/>
          <w:i w:val="false"/>
          <w:iCs w:val="false"/>
          <w:sz w:val="22"/>
          <w:szCs w:val="22"/>
        </w:rPr>
        <w:t xml:space="preserve">All ranges below are calibrated to a daily-rebalanced US equity long-short strategy at $300-500M AUM with documented economic mechanism and pre-registered research design. Ranges should be adjusted for materially different mandates.</w:t>
      </w:r>
    </w:p>
    <w:p>
      <w:r>
        <w:br w:type="page"/>
      </w:r>
    </w:p>
    <w:p>
      <w:pPr>
        <w:pStyle w:val="Heading1"/>
      </w:pPr>
      <w:r>
        <w:rPr>
          <w:b w:val="false"/>
          <w:bCs w:val="false"/>
          <w:i w:val="false"/>
          <w:iCs w:val="false"/>
          <w:sz w:val="22"/>
          <w:szCs w:val="22"/>
        </w:rPr>
        <w:t xml:space="preserve">1. Per-Metric Evaluation</w:t>
      </w:r>
    </w:p>
    <w:p>
      <w:pPr>
        <w:spacing w:after="100"/>
      </w:pPr>
      <w:r>
        <w:rPr>
          <w:b w:val="false"/>
          <w:bCs w:val="false"/>
          <w:i w:val="false"/>
          <w:iCs w:val="false"/>
          <w:sz w:val="22"/>
          <w:szCs w:val="22"/>
        </w:rPr>
        <w:t xml:space="preserve">Twelve metrics, each evaluated on a four-tier scale. The Excellent band is the production-allocation threshold. The Good band is the conviction-allocation threshold. Acceptable triggers further diligence. Poor triggers reduction or kill.</w:t>
      </w:r>
    </w:p>
    <w:p>
      <w:pPr>
        <w:pStyle w:val="Heading2"/>
      </w:pPr>
      <w:r>
        <w:rPr>
          <w:b w:val="false"/>
          <w:bCs w:val="false"/>
          <w:i w:val="false"/>
          <w:iCs w:val="false"/>
          <w:sz w:val="22"/>
          <w:szCs w:val="22"/>
        </w:rPr>
        <w:t xml:space="preserve">1.1 CAGR (Compound Annual Growth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90"/>
              <w:left w:type="dxa" w:w="140"/>
              <w:bottom w:type="dxa" w:w="90"/>
              <w:right w:type="dxa" w:w="140"/>
            </w:tcMar>
          </w:tcPr>
          <w:p>
            <w:pPr>
              <w:spacing w:after="0"/>
            </w:pPr>
            <w:r>
              <w:rPr>
                <w:b/>
                <w:bCs/>
                <w:i w:val="false"/>
                <w:iCs w:val="false"/>
                <w:color w:val="FFFFFF"/>
                <w:sz w:val="24"/>
                <w:szCs w:val="24"/>
              </w:rPr>
              <w:t xml:space="preserve">CAGR</w:t>
            </w:r>
            <w:r>
              <w:rPr>
                <w:b w:val="false"/>
                <w:bCs w:val="false"/>
                <w:i w:val="false"/>
                <w:iCs w:val="false"/>
                <w:color w:val="DDDDDD"/>
                <w:sz w:val="20"/>
                <w:szCs w:val="20"/>
              </w:rPr>
              <w:t xml:space="preserve">   (% / yr)</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Why it matters</w:t>
            </w:r>
          </w:p>
        </w:tc>
        <w:tc>
          <w:tcPr>
            <w:tcW w:type="dxa" w:w="6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Long-run compounded total return. The headline number every allocator looks at first; the only number that translates directly into investor dollars.</w:t>
            </w:r>
          </w:p>
        </w:tc>
      </w:tr>
      <w:tr>
        <w:tc>
          <w:tcPr>
            <w:tcW w:type="dxa" w:w="9360"/>
            <w:gridSpan w:val="2"/>
            <w:tcBorders>
              <w:top w:val="single" w:color="CCCCCC" w:sz="4"/>
              <w:left w:val="single" w:color="CCCCCC" w:sz="4"/>
              <w:bottom w:val="single" w:color="CCCCCC" w:sz="4"/>
              <w:right w:val="single" w:color="CCCCCC" w:sz="4"/>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700"/>
              <w:gridCol w:w="1700"/>
              <w:gridCol w:w="2660"/>
            </w:tblGrid>
            <w:tr>
              <w:trPr>
                <w:tblHeader/>
              </w:trPr>
              <w:tc>
                <w:tcPr>
                  <w:tcW w:type="dxa" w:w="1600"/>
                  <w:tcBorders>
                    <w:top w:val="single" w:color="CCCCCC" w:sz="4"/>
                    <w:left w:val="single" w:color="CCCCCC" w:sz="4"/>
                    <w:bottom w:val="single" w:color="CCCCCC" w:sz="4"/>
                    <w:right w:val="single" w:color="CCCCCC" w:sz="4"/>
                  </w:tcBorders>
                  <w:shd w:fill="1F3A5F" w:val="clear"/>
                  <w:tcMar>
                    <w:top w:type="dxa" w:w="80"/>
                    <w:left w:type="dxa" w:w="130"/>
                    <w:bottom w:type="dxa" w:w="80"/>
                    <w:right w:type="dxa" w:w="130"/>
                  </w:tcMar>
                  <w:vAlign w:val="top"/>
                </w:tcPr>
                <w:p>
                  <w:pPr>
                    <w:spacing w:after="30"/>
                  </w:pPr>
                  <w:r>
                    <w:rPr>
                      <w:b/>
                      <w:bCs/>
                      <w:i w:val="false"/>
                      <w:iCs w:val="false"/>
                      <w:color w:val="FFFFFF"/>
                      <w:sz w:val="18"/>
                      <w:szCs w:val="18"/>
                    </w:rPr>
                    <w:t xml:space="preserve">Tier</w:t>
                  </w:r>
                </w:p>
              </w:tc>
              <w:tc>
                <w:tcPr>
                  <w:tcW w:type="dxa" w:w="17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bCs/>
                      <w:i w:val="false"/>
                      <w:iCs w:val="false"/>
                      <w:color w:val="1B5E20"/>
                      <w:sz w:val="18"/>
                      <w:szCs w:val="18"/>
                    </w:rPr>
                    <w:t xml:space="preserve">Excellent</w:t>
                  </w:r>
                </w:p>
              </w:tc>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bCs/>
                      <w:i w:val="false"/>
                      <w:iCs w:val="false"/>
                      <w:color w:val="1F3A5F"/>
                      <w:sz w:val="18"/>
                      <w:szCs w:val="18"/>
                    </w:rPr>
                    <w:t xml:space="preserve">Good</w:t>
                  </w:r>
                </w:p>
              </w:tc>
              <w:tc>
                <w:tcPr>
                  <w:tcW w:type="dxa" w:w="1700"/>
                  <w:tcBorders>
                    <w:top w:val="single" w:color="CCCCCC" w:sz="4"/>
                    <w:left w:val="single" w:color="CCCCCC" w:sz="4"/>
                    <w:bottom w:val="single" w:color="CCCCCC" w:sz="4"/>
                    <w:right w:val="single" w:color="CCCCCC" w:sz="4"/>
                  </w:tcBorders>
                  <w:shd w:fill="FBEEDA" w:val="clear"/>
                  <w:tcMar>
                    <w:top w:type="dxa" w:w="80"/>
                    <w:left w:type="dxa" w:w="130"/>
                    <w:bottom w:type="dxa" w:w="80"/>
                    <w:right w:type="dxa" w:w="130"/>
                  </w:tcMar>
                  <w:vAlign w:val="top"/>
                </w:tcPr>
                <w:p>
                  <w:pPr>
                    <w:spacing w:after="30"/>
                  </w:pPr>
                  <w:r>
                    <w:rPr>
                      <w:b/>
                      <w:bCs/>
                      <w:i w:val="false"/>
                      <w:iCs w:val="false"/>
                      <w:color w:val="E07A1F"/>
                      <w:sz w:val="18"/>
                      <w:szCs w:val="18"/>
                    </w:rPr>
                    <w:t xml:space="preserve">Acceptable</w:t>
                  </w:r>
                </w:p>
              </w:tc>
              <w:tc>
                <w:tcPr>
                  <w:tcW w:type="dxa" w:w="266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bCs/>
                      <w:i w:val="false"/>
                      <w:iCs w:val="false"/>
                      <w:color w:val="8E2F2F"/>
                      <w:sz w:val="18"/>
                      <w:szCs w:val="18"/>
                    </w:rPr>
                    <w:t xml:space="preserve">Poor</w:t>
                  </w:r>
                </w:p>
              </w:tc>
            </w:tr>
            <w:tr>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bCs/>
                      <w:i w:val="false"/>
                      <w:iCs w:val="false"/>
                      <w:sz w:val="18"/>
                      <w:szCs w:val="18"/>
                    </w:rPr>
                    <w:t xml:space="preserve">Range</w:t>
                  </w:r>
                </w:p>
              </w:tc>
              <w:tc>
                <w:tcPr>
                  <w:tcW w:type="dxa" w:w="17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val="false"/>
                      <w:bCs w:val="false"/>
                      <w:i w:val="false"/>
                      <w:iCs w:val="false"/>
                      <w:sz w:val="18"/>
                      <w:szCs w:val="18"/>
                    </w:rPr>
                    <w:t xml:space="preserve">&gt; 12% net</w:t>
                  </w:r>
                </w:p>
              </w:tc>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8"/>
                      <w:szCs w:val="18"/>
                    </w:rPr>
                    <w:t xml:space="preserve">8–12% net</w:t>
                  </w:r>
                </w:p>
              </w:tc>
              <w:tc>
                <w:tcPr>
                  <w:tcW w:type="dxa" w:w="1700"/>
                  <w:tcBorders>
                    <w:top w:val="single" w:color="CCCCCC" w:sz="4"/>
                    <w:left w:val="single" w:color="CCCCCC" w:sz="4"/>
                    <w:bottom w:val="single" w:color="CCCCCC" w:sz="4"/>
                    <w:right w:val="single" w:color="CCCCCC" w:sz="4"/>
                  </w:tcBorders>
                  <w:shd w:fill="FBEEDA" w:val="clear"/>
                  <w:tcMar>
                    <w:top w:type="dxa" w:w="80"/>
                    <w:left w:type="dxa" w:w="130"/>
                    <w:bottom w:type="dxa" w:w="80"/>
                    <w:right w:type="dxa" w:w="130"/>
                  </w:tcMar>
                  <w:vAlign w:val="top"/>
                </w:tcPr>
                <w:p>
                  <w:pPr>
                    <w:spacing w:after="30"/>
                  </w:pPr>
                  <w:r>
                    <w:rPr>
                      <w:b w:val="false"/>
                      <w:bCs w:val="false"/>
                      <w:i w:val="false"/>
                      <w:iCs w:val="false"/>
                      <w:sz w:val="18"/>
                      <w:szCs w:val="18"/>
                    </w:rPr>
                    <w:t xml:space="preserve">4–8% net</w:t>
                  </w:r>
                </w:p>
              </w:tc>
              <w:tc>
                <w:tcPr>
                  <w:tcW w:type="dxa" w:w="266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val="false"/>
                      <w:bCs w:val="false"/>
                      <w:i w:val="false"/>
                      <w:iCs w:val="false"/>
                      <w:sz w:val="18"/>
                      <w:szCs w:val="18"/>
                    </w:rPr>
                    <w:t xml:space="preserve">&lt; 4% net</w:t>
                  </w:r>
                </w:p>
              </w:tc>
            </w:tr>
          </w:tbl>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PM interpretation</w:t>
            </w:r>
          </w:p>
        </w:tc>
        <w:tc>
          <w:tcPr>
            <w:tcW w:type="dxa" w:w="6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CAGR &gt; 12% is rare for a market-neutral strategy and is usually a sign of either an exceptionally strong signal or hidden leverage. Verify gross exposure and confirm Sharpe is consistent. CAGR &lt; 4% net is hard to justify operationally — the cost of running the strategy (FTE, data, infrastructure) is typically 1-2% of AUM annualized.</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Allocation implications</w:t>
            </w:r>
          </w:p>
        </w:tc>
        <w:tc>
          <w:tcPr>
            <w:tcW w:type="dxa" w:w="6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Excellent CAGR → full allocation candidate at target AUM. Good CAGR → conviction allocation, pending other metrics. Acceptable CAGR → small allocation only, dependent on cost of capital alternatives. Poor CAGR → kill unless other metrics (Sharpe, capacity, diversification) compensate.</w:t>
            </w:r>
          </w:p>
        </w:tc>
      </w:tr>
    </w:tbl>
    <w:p>
      <w:pPr>
        <w:spacing w:after="100"/>
      </w:pPr>
      <w:r>
        <w:rPr>
          <w:b w:val="false"/>
          <w:bCs w:val="false"/>
          <w:i w:val="false"/>
          <w:iCs w:val="false"/>
          <w:sz w:val="22"/>
          <w:szCs w:val="22"/>
        </w:rPr>
        <w:t xml:space="preserve"/>
      </w:r>
    </w:p>
    <w:p>
      <w:pPr>
        <w:pStyle w:val="Heading2"/>
      </w:pPr>
      <w:r>
        <w:rPr>
          <w:b w:val="false"/>
          <w:bCs w:val="false"/>
          <w:i w:val="false"/>
          <w:iCs w:val="false"/>
          <w:sz w:val="22"/>
          <w:szCs w:val="22"/>
        </w:rPr>
        <w:t xml:space="preserve">1.2 Annualized Volatility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90"/>
              <w:left w:type="dxa" w:w="140"/>
              <w:bottom w:type="dxa" w:w="90"/>
              <w:right w:type="dxa" w:w="140"/>
            </w:tcMar>
          </w:tcPr>
          <w:p>
            <w:pPr>
              <w:spacing w:after="0"/>
            </w:pPr>
            <w:r>
              <w:rPr>
                <w:b/>
                <w:bCs/>
                <w:i w:val="false"/>
                <w:iCs w:val="false"/>
                <w:color w:val="FFFFFF"/>
                <w:sz w:val="24"/>
                <w:szCs w:val="24"/>
              </w:rPr>
              <w:t xml:space="preserve">Annualized Volatility</w:t>
            </w:r>
            <w:r>
              <w:rPr>
                <w:b w:val="false"/>
                <w:bCs w:val="false"/>
                <w:i w:val="false"/>
                <w:iCs w:val="false"/>
                <w:color w:val="DDDDDD"/>
                <w:sz w:val="20"/>
                <w:szCs w:val="20"/>
              </w:rPr>
              <w:t xml:space="preserve">   (% / yr)</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Why it matters</w:t>
            </w:r>
          </w:p>
        </w:tc>
        <w:tc>
          <w:tcPr>
            <w:tcW w:type="dxa" w:w="6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Standard deviation of daily returns × √252. Measures how noisy the strategy is. For a market-neutral product, low volatility is a feature — investors expect that the absence of beta means smoother returns.</w:t>
            </w:r>
          </w:p>
        </w:tc>
      </w:tr>
      <w:tr>
        <w:tc>
          <w:tcPr>
            <w:tcW w:type="dxa" w:w="9360"/>
            <w:gridSpan w:val="2"/>
            <w:tcBorders>
              <w:top w:val="single" w:color="CCCCCC" w:sz="4"/>
              <w:left w:val="single" w:color="CCCCCC" w:sz="4"/>
              <w:bottom w:val="single" w:color="CCCCCC" w:sz="4"/>
              <w:right w:val="single" w:color="CCCCCC" w:sz="4"/>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700"/>
              <w:gridCol w:w="1700"/>
              <w:gridCol w:w="2660"/>
            </w:tblGrid>
            <w:tr>
              <w:trPr>
                <w:tblHeader/>
              </w:trPr>
              <w:tc>
                <w:tcPr>
                  <w:tcW w:type="dxa" w:w="1600"/>
                  <w:tcBorders>
                    <w:top w:val="single" w:color="CCCCCC" w:sz="4"/>
                    <w:left w:val="single" w:color="CCCCCC" w:sz="4"/>
                    <w:bottom w:val="single" w:color="CCCCCC" w:sz="4"/>
                    <w:right w:val="single" w:color="CCCCCC" w:sz="4"/>
                  </w:tcBorders>
                  <w:shd w:fill="1F3A5F" w:val="clear"/>
                  <w:tcMar>
                    <w:top w:type="dxa" w:w="80"/>
                    <w:left w:type="dxa" w:w="130"/>
                    <w:bottom w:type="dxa" w:w="80"/>
                    <w:right w:type="dxa" w:w="130"/>
                  </w:tcMar>
                  <w:vAlign w:val="top"/>
                </w:tcPr>
                <w:p>
                  <w:pPr>
                    <w:spacing w:after="30"/>
                  </w:pPr>
                  <w:r>
                    <w:rPr>
                      <w:b/>
                      <w:bCs/>
                      <w:i w:val="false"/>
                      <w:iCs w:val="false"/>
                      <w:color w:val="FFFFFF"/>
                      <w:sz w:val="18"/>
                      <w:szCs w:val="18"/>
                    </w:rPr>
                    <w:t xml:space="preserve">Tier</w:t>
                  </w:r>
                </w:p>
              </w:tc>
              <w:tc>
                <w:tcPr>
                  <w:tcW w:type="dxa" w:w="17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bCs/>
                      <w:i w:val="false"/>
                      <w:iCs w:val="false"/>
                      <w:color w:val="1B5E20"/>
                      <w:sz w:val="18"/>
                      <w:szCs w:val="18"/>
                    </w:rPr>
                    <w:t xml:space="preserve">Excellent</w:t>
                  </w:r>
                </w:p>
              </w:tc>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bCs/>
                      <w:i w:val="false"/>
                      <w:iCs w:val="false"/>
                      <w:color w:val="1F3A5F"/>
                      <w:sz w:val="18"/>
                      <w:szCs w:val="18"/>
                    </w:rPr>
                    <w:t xml:space="preserve">Good</w:t>
                  </w:r>
                </w:p>
              </w:tc>
              <w:tc>
                <w:tcPr>
                  <w:tcW w:type="dxa" w:w="1700"/>
                  <w:tcBorders>
                    <w:top w:val="single" w:color="CCCCCC" w:sz="4"/>
                    <w:left w:val="single" w:color="CCCCCC" w:sz="4"/>
                    <w:bottom w:val="single" w:color="CCCCCC" w:sz="4"/>
                    <w:right w:val="single" w:color="CCCCCC" w:sz="4"/>
                  </w:tcBorders>
                  <w:shd w:fill="FBEEDA" w:val="clear"/>
                  <w:tcMar>
                    <w:top w:type="dxa" w:w="80"/>
                    <w:left w:type="dxa" w:w="130"/>
                    <w:bottom w:type="dxa" w:w="80"/>
                    <w:right w:type="dxa" w:w="130"/>
                  </w:tcMar>
                  <w:vAlign w:val="top"/>
                </w:tcPr>
                <w:p>
                  <w:pPr>
                    <w:spacing w:after="30"/>
                  </w:pPr>
                  <w:r>
                    <w:rPr>
                      <w:b/>
                      <w:bCs/>
                      <w:i w:val="false"/>
                      <w:iCs w:val="false"/>
                      <w:color w:val="E07A1F"/>
                      <w:sz w:val="18"/>
                      <w:szCs w:val="18"/>
                    </w:rPr>
                    <w:t xml:space="preserve">Acceptable</w:t>
                  </w:r>
                </w:p>
              </w:tc>
              <w:tc>
                <w:tcPr>
                  <w:tcW w:type="dxa" w:w="266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bCs/>
                      <w:i w:val="false"/>
                      <w:iCs w:val="false"/>
                      <w:color w:val="8E2F2F"/>
                      <w:sz w:val="18"/>
                      <w:szCs w:val="18"/>
                    </w:rPr>
                    <w:t xml:space="preserve">Poor</w:t>
                  </w:r>
                </w:p>
              </w:tc>
            </w:tr>
            <w:tr>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bCs/>
                      <w:i w:val="false"/>
                      <w:iCs w:val="false"/>
                      <w:sz w:val="18"/>
                      <w:szCs w:val="18"/>
                    </w:rPr>
                    <w:t xml:space="preserve">Range</w:t>
                  </w:r>
                </w:p>
              </w:tc>
              <w:tc>
                <w:tcPr>
                  <w:tcW w:type="dxa" w:w="17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val="false"/>
                      <w:bCs w:val="false"/>
                      <w:i w:val="false"/>
                      <w:iCs w:val="false"/>
                      <w:sz w:val="18"/>
                      <w:szCs w:val="18"/>
                    </w:rPr>
                    <w:t xml:space="preserve">6–10% (low-vol, high IR)</w:t>
                  </w:r>
                </w:p>
              </w:tc>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8"/>
                      <w:szCs w:val="18"/>
                    </w:rPr>
                    <w:t xml:space="preserve">10–15% (standard L/S range)</w:t>
                  </w:r>
                </w:p>
              </w:tc>
              <w:tc>
                <w:tcPr>
                  <w:tcW w:type="dxa" w:w="1700"/>
                  <w:tcBorders>
                    <w:top w:val="single" w:color="CCCCCC" w:sz="4"/>
                    <w:left w:val="single" w:color="CCCCCC" w:sz="4"/>
                    <w:bottom w:val="single" w:color="CCCCCC" w:sz="4"/>
                    <w:right w:val="single" w:color="CCCCCC" w:sz="4"/>
                  </w:tcBorders>
                  <w:shd w:fill="FBEEDA" w:val="clear"/>
                  <w:tcMar>
                    <w:top w:type="dxa" w:w="80"/>
                    <w:left w:type="dxa" w:w="130"/>
                    <w:bottom w:type="dxa" w:w="80"/>
                    <w:right w:type="dxa" w:w="130"/>
                  </w:tcMar>
                  <w:vAlign w:val="top"/>
                </w:tcPr>
                <w:p>
                  <w:pPr>
                    <w:spacing w:after="30"/>
                  </w:pPr>
                  <w:r>
                    <w:rPr>
                      <w:b w:val="false"/>
                      <w:bCs w:val="false"/>
                      <w:i w:val="false"/>
                      <w:iCs w:val="false"/>
                      <w:sz w:val="18"/>
                      <w:szCs w:val="18"/>
                    </w:rPr>
                    <w:t xml:space="preserve">15–20% (high but justifiable)</w:t>
                  </w:r>
                </w:p>
              </w:tc>
              <w:tc>
                <w:tcPr>
                  <w:tcW w:type="dxa" w:w="266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val="false"/>
                      <w:bCs w:val="false"/>
                      <w:i w:val="false"/>
                      <w:iCs w:val="false"/>
                      <w:sz w:val="18"/>
                      <w:szCs w:val="18"/>
                    </w:rPr>
                    <w:t xml:space="preserve">&gt; 20% or &lt; 4%</w:t>
                  </w:r>
                </w:p>
              </w:tc>
            </w:tr>
          </w:tbl>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PM interpretation</w:t>
            </w:r>
          </w:p>
        </w:tc>
        <w:tc>
          <w:tcPr>
            <w:tcW w:type="dxa" w:w="6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volatility below 6% on a real strategy usually means either too-tight position sizing (under-deployed) or a misreporting of gross. Above 20% means the strategy has equity-like risk without equity-like reward and will be ranked behind cheaper passive exposure.</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Allocation implications</w:t>
            </w:r>
          </w:p>
        </w:tc>
        <w:tc>
          <w:tcPr>
            <w:tcW w:type="dxa" w:w="6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Low vol (Excellent/Good) supports larger allocation per unit of risk budget. High vol (Acceptable/Poor) means a smaller dollar allocation for the same risk allocation; the strategy must compete for a smaller share of the risk budget.</w:t>
            </w:r>
          </w:p>
        </w:tc>
      </w:tr>
    </w:tbl>
    <w:p>
      <w:pPr>
        <w:spacing w:after="100"/>
      </w:pPr>
      <w:r>
        <w:rPr>
          <w:b w:val="false"/>
          <w:bCs w:val="false"/>
          <w:i w:val="false"/>
          <w:iCs w:val="false"/>
          <w:sz w:val="22"/>
          <w:szCs w:val="22"/>
        </w:rPr>
        <w:t xml:space="preserve"/>
      </w:r>
    </w:p>
    <w:p>
      <w:pPr>
        <w:pStyle w:val="Heading2"/>
      </w:pPr>
      <w:r>
        <w:rPr>
          <w:b w:val="false"/>
          <w:bCs w:val="false"/>
          <w:i w:val="false"/>
          <w:iCs w:val="false"/>
          <w:sz w:val="22"/>
          <w:szCs w:val="22"/>
        </w:rPr>
        <w:t xml:space="preserve">1.3 Sharpe Ratio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90"/>
              <w:left w:type="dxa" w:w="140"/>
              <w:bottom w:type="dxa" w:w="90"/>
              <w:right w:type="dxa" w:w="140"/>
            </w:tcMar>
          </w:tcPr>
          <w:p>
            <w:pPr>
              <w:spacing w:after="0"/>
            </w:pPr>
            <w:r>
              <w:rPr>
                <w:b/>
                <w:bCs/>
                <w:i w:val="false"/>
                <w:iCs w:val="false"/>
                <w:color w:val="FFFFFF"/>
                <w:sz w:val="24"/>
                <w:szCs w:val="24"/>
              </w:rPr>
              <w:t xml:space="preserve">Sharpe Ratio (net of costs)</w:t>
            </w:r>
            <w:r>
              <w:rPr>
                <w:b w:val="false"/>
                <w:bCs w:val="false"/>
                <w:i w:val="false"/>
                <w:iCs w:val="false"/>
                <w:color w:val="DDDDDD"/>
                <w:sz w:val="20"/>
                <w:szCs w:val="20"/>
              </w:rPr>
              <w:t xml:space="preserve"/>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Why it matters</w:t>
            </w:r>
          </w:p>
        </w:tc>
        <w:tc>
          <w:tcPr>
            <w:tcW w:type="dxa" w:w="6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Risk-adjusted return: (mean − rf) / std × √252. The single most-used institutional comparison metric. Net of transaction costs and borrow.</w:t>
            </w:r>
          </w:p>
        </w:tc>
      </w:tr>
      <w:tr>
        <w:tc>
          <w:tcPr>
            <w:tcW w:type="dxa" w:w="9360"/>
            <w:gridSpan w:val="2"/>
            <w:tcBorders>
              <w:top w:val="single" w:color="CCCCCC" w:sz="4"/>
              <w:left w:val="single" w:color="CCCCCC" w:sz="4"/>
              <w:bottom w:val="single" w:color="CCCCCC" w:sz="4"/>
              <w:right w:val="single" w:color="CCCCCC" w:sz="4"/>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700"/>
              <w:gridCol w:w="1700"/>
              <w:gridCol w:w="2660"/>
            </w:tblGrid>
            <w:tr>
              <w:trPr>
                <w:tblHeader/>
              </w:trPr>
              <w:tc>
                <w:tcPr>
                  <w:tcW w:type="dxa" w:w="1600"/>
                  <w:tcBorders>
                    <w:top w:val="single" w:color="CCCCCC" w:sz="4"/>
                    <w:left w:val="single" w:color="CCCCCC" w:sz="4"/>
                    <w:bottom w:val="single" w:color="CCCCCC" w:sz="4"/>
                    <w:right w:val="single" w:color="CCCCCC" w:sz="4"/>
                  </w:tcBorders>
                  <w:shd w:fill="1F3A5F" w:val="clear"/>
                  <w:tcMar>
                    <w:top w:type="dxa" w:w="80"/>
                    <w:left w:type="dxa" w:w="130"/>
                    <w:bottom w:type="dxa" w:w="80"/>
                    <w:right w:type="dxa" w:w="130"/>
                  </w:tcMar>
                  <w:vAlign w:val="top"/>
                </w:tcPr>
                <w:p>
                  <w:pPr>
                    <w:spacing w:after="30"/>
                  </w:pPr>
                  <w:r>
                    <w:rPr>
                      <w:b/>
                      <w:bCs/>
                      <w:i w:val="false"/>
                      <w:iCs w:val="false"/>
                      <w:color w:val="FFFFFF"/>
                      <w:sz w:val="18"/>
                      <w:szCs w:val="18"/>
                    </w:rPr>
                    <w:t xml:space="preserve">Tier</w:t>
                  </w:r>
                </w:p>
              </w:tc>
              <w:tc>
                <w:tcPr>
                  <w:tcW w:type="dxa" w:w="17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bCs/>
                      <w:i w:val="false"/>
                      <w:iCs w:val="false"/>
                      <w:color w:val="1B5E20"/>
                      <w:sz w:val="18"/>
                      <w:szCs w:val="18"/>
                    </w:rPr>
                    <w:t xml:space="preserve">Excellent</w:t>
                  </w:r>
                </w:p>
              </w:tc>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bCs/>
                      <w:i w:val="false"/>
                      <w:iCs w:val="false"/>
                      <w:color w:val="1F3A5F"/>
                      <w:sz w:val="18"/>
                      <w:szCs w:val="18"/>
                    </w:rPr>
                    <w:t xml:space="preserve">Good</w:t>
                  </w:r>
                </w:p>
              </w:tc>
              <w:tc>
                <w:tcPr>
                  <w:tcW w:type="dxa" w:w="1700"/>
                  <w:tcBorders>
                    <w:top w:val="single" w:color="CCCCCC" w:sz="4"/>
                    <w:left w:val="single" w:color="CCCCCC" w:sz="4"/>
                    <w:bottom w:val="single" w:color="CCCCCC" w:sz="4"/>
                    <w:right w:val="single" w:color="CCCCCC" w:sz="4"/>
                  </w:tcBorders>
                  <w:shd w:fill="FBEEDA" w:val="clear"/>
                  <w:tcMar>
                    <w:top w:type="dxa" w:w="80"/>
                    <w:left w:type="dxa" w:w="130"/>
                    <w:bottom w:type="dxa" w:w="80"/>
                    <w:right w:type="dxa" w:w="130"/>
                  </w:tcMar>
                  <w:vAlign w:val="top"/>
                </w:tcPr>
                <w:p>
                  <w:pPr>
                    <w:spacing w:after="30"/>
                  </w:pPr>
                  <w:r>
                    <w:rPr>
                      <w:b/>
                      <w:bCs/>
                      <w:i w:val="false"/>
                      <w:iCs w:val="false"/>
                      <w:color w:val="E07A1F"/>
                      <w:sz w:val="18"/>
                      <w:szCs w:val="18"/>
                    </w:rPr>
                    <w:t xml:space="preserve">Acceptable</w:t>
                  </w:r>
                </w:p>
              </w:tc>
              <w:tc>
                <w:tcPr>
                  <w:tcW w:type="dxa" w:w="266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bCs/>
                      <w:i w:val="false"/>
                      <w:iCs w:val="false"/>
                      <w:color w:val="8E2F2F"/>
                      <w:sz w:val="18"/>
                      <w:szCs w:val="18"/>
                    </w:rPr>
                    <w:t xml:space="preserve">Poor</w:t>
                  </w:r>
                </w:p>
              </w:tc>
            </w:tr>
            <w:tr>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bCs/>
                      <w:i w:val="false"/>
                      <w:iCs w:val="false"/>
                      <w:sz w:val="18"/>
                      <w:szCs w:val="18"/>
                    </w:rPr>
                    <w:t xml:space="preserve">Range</w:t>
                  </w:r>
                </w:p>
              </w:tc>
              <w:tc>
                <w:tcPr>
                  <w:tcW w:type="dxa" w:w="17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val="false"/>
                      <w:bCs w:val="false"/>
                      <w:i w:val="false"/>
                      <w:iCs w:val="false"/>
                      <w:sz w:val="18"/>
                      <w:szCs w:val="18"/>
                    </w:rPr>
                    <w:t xml:space="preserve">&gt; 1.5</w:t>
                  </w:r>
                </w:p>
              </w:tc>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8"/>
                      <w:szCs w:val="18"/>
                    </w:rPr>
                    <w:t xml:space="preserve">1.0 – 1.5</w:t>
                  </w:r>
                </w:p>
              </w:tc>
              <w:tc>
                <w:tcPr>
                  <w:tcW w:type="dxa" w:w="1700"/>
                  <w:tcBorders>
                    <w:top w:val="single" w:color="CCCCCC" w:sz="4"/>
                    <w:left w:val="single" w:color="CCCCCC" w:sz="4"/>
                    <w:bottom w:val="single" w:color="CCCCCC" w:sz="4"/>
                    <w:right w:val="single" w:color="CCCCCC" w:sz="4"/>
                  </w:tcBorders>
                  <w:shd w:fill="FBEEDA" w:val="clear"/>
                  <w:tcMar>
                    <w:top w:type="dxa" w:w="80"/>
                    <w:left w:type="dxa" w:w="130"/>
                    <w:bottom w:type="dxa" w:w="80"/>
                    <w:right w:type="dxa" w:w="130"/>
                  </w:tcMar>
                  <w:vAlign w:val="top"/>
                </w:tcPr>
                <w:p>
                  <w:pPr>
                    <w:spacing w:after="30"/>
                  </w:pPr>
                  <w:r>
                    <w:rPr>
                      <w:b w:val="false"/>
                      <w:bCs w:val="false"/>
                      <w:i w:val="false"/>
                      <w:iCs w:val="false"/>
                      <w:sz w:val="18"/>
                      <w:szCs w:val="18"/>
                    </w:rPr>
                    <w:t xml:space="preserve">0.5 – 1.0</w:t>
                  </w:r>
                </w:p>
              </w:tc>
              <w:tc>
                <w:tcPr>
                  <w:tcW w:type="dxa" w:w="266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val="false"/>
                      <w:bCs w:val="false"/>
                      <w:i w:val="false"/>
                      <w:iCs w:val="false"/>
                      <w:sz w:val="18"/>
                      <w:szCs w:val="18"/>
                    </w:rPr>
                    <w:t xml:space="preserve">&lt; 0.5</w:t>
                  </w:r>
                </w:p>
              </w:tc>
            </w:tr>
          </w:tbl>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PM interpretation</w:t>
            </w:r>
          </w:p>
        </w:tc>
        <w:tc>
          <w:tcPr>
            <w:tcW w:type="dxa" w:w="6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Sharpe &gt; 2.0 with no documented mechanism is the canonical overfitting signature. Sharpe of 1.0 to 1.5 with a clear economic story is more credible than Sharpe of 2.5 from data mining. A Sharpe below 0.5 means the strategy fails to clear the cost-of-capital and operational hurdle.</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Allocation implications</w:t>
            </w:r>
          </w:p>
        </w:tc>
        <w:tc>
          <w:tcPr>
            <w:tcW w:type="dxa" w:w="6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Sharpe ≥ 1.0 → conviction allocation. Sharpe 0.5–1.0 → small allocation only and only if portfolio-level diversification (low correlation to existing book) is high. Sharpe &lt; 0.5 → no allocation, return to research.</w:t>
            </w:r>
          </w:p>
        </w:tc>
      </w:tr>
    </w:tbl>
    <w:p>
      <w:pPr>
        <w:spacing w:after="100"/>
      </w:pPr>
      <w:r>
        <w:rPr>
          <w:b w:val="false"/>
          <w:bCs w:val="false"/>
          <w:i w:val="false"/>
          <w:iCs w:val="false"/>
          <w:sz w:val="22"/>
          <w:szCs w:val="22"/>
        </w:rPr>
        <w:t xml:space="preserve"/>
      </w:r>
    </w:p>
    <w:p>
      <w:pPr>
        <w:pStyle w:val="Heading2"/>
      </w:pPr>
      <w:r>
        <w:rPr>
          <w:b w:val="false"/>
          <w:bCs w:val="false"/>
          <w:i w:val="false"/>
          <w:iCs w:val="false"/>
          <w:sz w:val="22"/>
          <w:szCs w:val="22"/>
        </w:rPr>
        <w:t xml:space="preserve">1.4 Sortino Ratio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90"/>
              <w:left w:type="dxa" w:w="140"/>
              <w:bottom w:type="dxa" w:w="90"/>
              <w:right w:type="dxa" w:w="140"/>
            </w:tcMar>
          </w:tcPr>
          <w:p>
            <w:pPr>
              <w:spacing w:after="0"/>
            </w:pPr>
            <w:r>
              <w:rPr>
                <w:b/>
                <w:bCs/>
                <w:i w:val="false"/>
                <w:iCs w:val="false"/>
                <w:color w:val="FFFFFF"/>
                <w:sz w:val="24"/>
                <w:szCs w:val="24"/>
              </w:rPr>
              <w:t xml:space="preserve">Sortino Ratio</w:t>
            </w:r>
            <w:r>
              <w:rPr>
                <w:b w:val="false"/>
                <w:bCs w:val="false"/>
                <w:i w:val="false"/>
                <w:iCs w:val="false"/>
                <w:color w:val="DDDDDD"/>
                <w:sz w:val="20"/>
                <w:szCs w:val="20"/>
              </w:rPr>
              <w:t xml:space="preserve"/>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Why it matters</w:t>
            </w:r>
          </w:p>
        </w:tc>
        <w:tc>
          <w:tcPr>
            <w:tcW w:type="dxa" w:w="6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Like Sharpe but uses downside deviation only. Captures the asymmetric risk preference: upside volatility is good, downside volatility is bad.</w:t>
            </w:r>
          </w:p>
        </w:tc>
      </w:tr>
      <w:tr>
        <w:tc>
          <w:tcPr>
            <w:tcW w:type="dxa" w:w="9360"/>
            <w:gridSpan w:val="2"/>
            <w:tcBorders>
              <w:top w:val="single" w:color="CCCCCC" w:sz="4"/>
              <w:left w:val="single" w:color="CCCCCC" w:sz="4"/>
              <w:bottom w:val="single" w:color="CCCCCC" w:sz="4"/>
              <w:right w:val="single" w:color="CCCCCC" w:sz="4"/>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700"/>
              <w:gridCol w:w="1700"/>
              <w:gridCol w:w="2660"/>
            </w:tblGrid>
            <w:tr>
              <w:trPr>
                <w:tblHeader/>
              </w:trPr>
              <w:tc>
                <w:tcPr>
                  <w:tcW w:type="dxa" w:w="1600"/>
                  <w:tcBorders>
                    <w:top w:val="single" w:color="CCCCCC" w:sz="4"/>
                    <w:left w:val="single" w:color="CCCCCC" w:sz="4"/>
                    <w:bottom w:val="single" w:color="CCCCCC" w:sz="4"/>
                    <w:right w:val="single" w:color="CCCCCC" w:sz="4"/>
                  </w:tcBorders>
                  <w:shd w:fill="1F3A5F" w:val="clear"/>
                  <w:tcMar>
                    <w:top w:type="dxa" w:w="80"/>
                    <w:left w:type="dxa" w:w="130"/>
                    <w:bottom w:type="dxa" w:w="80"/>
                    <w:right w:type="dxa" w:w="130"/>
                  </w:tcMar>
                  <w:vAlign w:val="top"/>
                </w:tcPr>
                <w:p>
                  <w:pPr>
                    <w:spacing w:after="30"/>
                  </w:pPr>
                  <w:r>
                    <w:rPr>
                      <w:b/>
                      <w:bCs/>
                      <w:i w:val="false"/>
                      <w:iCs w:val="false"/>
                      <w:color w:val="FFFFFF"/>
                      <w:sz w:val="18"/>
                      <w:szCs w:val="18"/>
                    </w:rPr>
                    <w:t xml:space="preserve">Tier</w:t>
                  </w:r>
                </w:p>
              </w:tc>
              <w:tc>
                <w:tcPr>
                  <w:tcW w:type="dxa" w:w="17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bCs/>
                      <w:i w:val="false"/>
                      <w:iCs w:val="false"/>
                      <w:color w:val="1B5E20"/>
                      <w:sz w:val="18"/>
                      <w:szCs w:val="18"/>
                    </w:rPr>
                    <w:t xml:space="preserve">Excellent</w:t>
                  </w:r>
                </w:p>
              </w:tc>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bCs/>
                      <w:i w:val="false"/>
                      <w:iCs w:val="false"/>
                      <w:color w:val="1F3A5F"/>
                      <w:sz w:val="18"/>
                      <w:szCs w:val="18"/>
                    </w:rPr>
                    <w:t xml:space="preserve">Good</w:t>
                  </w:r>
                </w:p>
              </w:tc>
              <w:tc>
                <w:tcPr>
                  <w:tcW w:type="dxa" w:w="1700"/>
                  <w:tcBorders>
                    <w:top w:val="single" w:color="CCCCCC" w:sz="4"/>
                    <w:left w:val="single" w:color="CCCCCC" w:sz="4"/>
                    <w:bottom w:val="single" w:color="CCCCCC" w:sz="4"/>
                    <w:right w:val="single" w:color="CCCCCC" w:sz="4"/>
                  </w:tcBorders>
                  <w:shd w:fill="FBEEDA" w:val="clear"/>
                  <w:tcMar>
                    <w:top w:type="dxa" w:w="80"/>
                    <w:left w:type="dxa" w:w="130"/>
                    <w:bottom w:type="dxa" w:w="80"/>
                    <w:right w:type="dxa" w:w="130"/>
                  </w:tcMar>
                  <w:vAlign w:val="top"/>
                </w:tcPr>
                <w:p>
                  <w:pPr>
                    <w:spacing w:after="30"/>
                  </w:pPr>
                  <w:r>
                    <w:rPr>
                      <w:b/>
                      <w:bCs/>
                      <w:i w:val="false"/>
                      <w:iCs w:val="false"/>
                      <w:color w:val="E07A1F"/>
                      <w:sz w:val="18"/>
                      <w:szCs w:val="18"/>
                    </w:rPr>
                    <w:t xml:space="preserve">Acceptable</w:t>
                  </w:r>
                </w:p>
              </w:tc>
              <w:tc>
                <w:tcPr>
                  <w:tcW w:type="dxa" w:w="266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bCs/>
                      <w:i w:val="false"/>
                      <w:iCs w:val="false"/>
                      <w:color w:val="8E2F2F"/>
                      <w:sz w:val="18"/>
                      <w:szCs w:val="18"/>
                    </w:rPr>
                    <w:t xml:space="preserve">Poor</w:t>
                  </w:r>
                </w:p>
              </w:tc>
            </w:tr>
            <w:tr>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bCs/>
                      <w:i w:val="false"/>
                      <w:iCs w:val="false"/>
                      <w:sz w:val="18"/>
                      <w:szCs w:val="18"/>
                    </w:rPr>
                    <w:t xml:space="preserve">Range</w:t>
                  </w:r>
                </w:p>
              </w:tc>
              <w:tc>
                <w:tcPr>
                  <w:tcW w:type="dxa" w:w="17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val="false"/>
                      <w:bCs w:val="false"/>
                      <w:i w:val="false"/>
                      <w:iCs w:val="false"/>
                      <w:sz w:val="18"/>
                      <w:szCs w:val="18"/>
                    </w:rPr>
                    <w:t xml:space="preserve">&gt; 2.0</w:t>
                  </w:r>
                </w:p>
              </w:tc>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8"/>
                      <w:szCs w:val="18"/>
                    </w:rPr>
                    <w:t xml:space="preserve">1.3 – 2.0</w:t>
                  </w:r>
                </w:p>
              </w:tc>
              <w:tc>
                <w:tcPr>
                  <w:tcW w:type="dxa" w:w="1700"/>
                  <w:tcBorders>
                    <w:top w:val="single" w:color="CCCCCC" w:sz="4"/>
                    <w:left w:val="single" w:color="CCCCCC" w:sz="4"/>
                    <w:bottom w:val="single" w:color="CCCCCC" w:sz="4"/>
                    <w:right w:val="single" w:color="CCCCCC" w:sz="4"/>
                  </w:tcBorders>
                  <w:shd w:fill="FBEEDA" w:val="clear"/>
                  <w:tcMar>
                    <w:top w:type="dxa" w:w="80"/>
                    <w:left w:type="dxa" w:w="130"/>
                    <w:bottom w:type="dxa" w:w="80"/>
                    <w:right w:type="dxa" w:w="130"/>
                  </w:tcMar>
                  <w:vAlign w:val="top"/>
                </w:tcPr>
                <w:p>
                  <w:pPr>
                    <w:spacing w:after="30"/>
                  </w:pPr>
                  <w:r>
                    <w:rPr>
                      <w:b w:val="false"/>
                      <w:bCs w:val="false"/>
                      <w:i w:val="false"/>
                      <w:iCs w:val="false"/>
                      <w:sz w:val="18"/>
                      <w:szCs w:val="18"/>
                    </w:rPr>
                    <w:t xml:space="preserve">0.7 – 1.3</w:t>
                  </w:r>
                </w:p>
              </w:tc>
              <w:tc>
                <w:tcPr>
                  <w:tcW w:type="dxa" w:w="266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val="false"/>
                      <w:bCs w:val="false"/>
                      <w:i w:val="false"/>
                      <w:iCs w:val="false"/>
                      <w:sz w:val="18"/>
                      <w:szCs w:val="18"/>
                    </w:rPr>
                    <w:t xml:space="preserve">&lt; 0.7</w:t>
                  </w:r>
                </w:p>
              </w:tc>
            </w:tr>
          </w:tbl>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PM interpretation</w:t>
            </w:r>
          </w:p>
        </w:tc>
        <w:tc>
          <w:tcPr>
            <w:tcW w:type="dxa" w:w="6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Sortino-to-Sharpe ratio matters. A Sortino materially higher than Sharpe (e.g., Sortino 2.5 vs Sharpe 1.5) is a positively-skewed strategy — desirable, suggests good trade asymmetry. A Sortino at or below Sharpe means the strategy has fat left tails, raising questions about hidden gap risk.</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Allocation implications</w:t>
            </w:r>
          </w:p>
        </w:tc>
        <w:tc>
          <w:tcPr>
            <w:tcW w:type="dxa" w:w="6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High Sortino with moderate Sharpe is a positive flag for full allocation. Low Sortino with respectable Sharpe → assess tail-risk hedging needs; consider sizing down or hedging the downside.</w:t>
            </w:r>
          </w:p>
        </w:tc>
      </w:tr>
    </w:tbl>
    <w:p>
      <w:pPr>
        <w:spacing w:after="100"/>
      </w:pPr>
      <w:r>
        <w:rPr>
          <w:b w:val="false"/>
          <w:bCs w:val="false"/>
          <w:i w:val="false"/>
          <w:iCs w:val="false"/>
          <w:sz w:val="22"/>
          <w:szCs w:val="22"/>
        </w:rPr>
        <w:t xml:space="preserve"/>
      </w:r>
    </w:p>
    <w:p>
      <w:pPr>
        <w:pStyle w:val="Heading2"/>
      </w:pPr>
      <w:r>
        <w:rPr>
          <w:b w:val="false"/>
          <w:bCs w:val="false"/>
          <w:i w:val="false"/>
          <w:iCs w:val="false"/>
          <w:sz w:val="22"/>
          <w:szCs w:val="22"/>
        </w:rPr>
        <w:t xml:space="preserve">1.5 Calmar Ratio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90"/>
              <w:left w:type="dxa" w:w="140"/>
              <w:bottom w:type="dxa" w:w="90"/>
              <w:right w:type="dxa" w:w="140"/>
            </w:tcMar>
          </w:tcPr>
          <w:p>
            <w:pPr>
              <w:spacing w:after="0"/>
            </w:pPr>
            <w:r>
              <w:rPr>
                <w:b/>
                <w:bCs/>
                <w:i w:val="false"/>
                <w:iCs w:val="false"/>
                <w:color w:val="FFFFFF"/>
                <w:sz w:val="24"/>
                <w:szCs w:val="24"/>
              </w:rPr>
              <w:t xml:space="preserve">Calmar Ratio</w:t>
            </w:r>
            <w:r>
              <w:rPr>
                <w:b w:val="false"/>
                <w:bCs w:val="false"/>
                <w:i w:val="false"/>
                <w:iCs w:val="false"/>
                <w:color w:val="DDDDDD"/>
                <w:sz w:val="20"/>
                <w:szCs w:val="20"/>
              </w:rPr>
              <w:t xml:space="preserve"/>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Why it matters</w:t>
            </w:r>
          </w:p>
        </w:tc>
        <w:tc>
          <w:tcPr>
            <w:tcW w:type="dxa" w:w="6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CAGR / |Max Drawdown|. Translates return into drawdown-adjusted risk. Critical for investor experience: a 12% CAGR with 30% drawdown trades worse than 8% CAGR with 10% drawdown.</w:t>
            </w:r>
          </w:p>
        </w:tc>
      </w:tr>
      <w:tr>
        <w:tc>
          <w:tcPr>
            <w:tcW w:type="dxa" w:w="9360"/>
            <w:gridSpan w:val="2"/>
            <w:tcBorders>
              <w:top w:val="single" w:color="CCCCCC" w:sz="4"/>
              <w:left w:val="single" w:color="CCCCCC" w:sz="4"/>
              <w:bottom w:val="single" w:color="CCCCCC" w:sz="4"/>
              <w:right w:val="single" w:color="CCCCCC" w:sz="4"/>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700"/>
              <w:gridCol w:w="1700"/>
              <w:gridCol w:w="2660"/>
            </w:tblGrid>
            <w:tr>
              <w:trPr>
                <w:tblHeader/>
              </w:trPr>
              <w:tc>
                <w:tcPr>
                  <w:tcW w:type="dxa" w:w="1600"/>
                  <w:tcBorders>
                    <w:top w:val="single" w:color="CCCCCC" w:sz="4"/>
                    <w:left w:val="single" w:color="CCCCCC" w:sz="4"/>
                    <w:bottom w:val="single" w:color="CCCCCC" w:sz="4"/>
                    <w:right w:val="single" w:color="CCCCCC" w:sz="4"/>
                  </w:tcBorders>
                  <w:shd w:fill="1F3A5F" w:val="clear"/>
                  <w:tcMar>
                    <w:top w:type="dxa" w:w="80"/>
                    <w:left w:type="dxa" w:w="130"/>
                    <w:bottom w:type="dxa" w:w="80"/>
                    <w:right w:type="dxa" w:w="130"/>
                  </w:tcMar>
                  <w:vAlign w:val="top"/>
                </w:tcPr>
                <w:p>
                  <w:pPr>
                    <w:spacing w:after="30"/>
                  </w:pPr>
                  <w:r>
                    <w:rPr>
                      <w:b/>
                      <w:bCs/>
                      <w:i w:val="false"/>
                      <w:iCs w:val="false"/>
                      <w:color w:val="FFFFFF"/>
                      <w:sz w:val="18"/>
                      <w:szCs w:val="18"/>
                    </w:rPr>
                    <w:t xml:space="preserve">Tier</w:t>
                  </w:r>
                </w:p>
              </w:tc>
              <w:tc>
                <w:tcPr>
                  <w:tcW w:type="dxa" w:w="17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bCs/>
                      <w:i w:val="false"/>
                      <w:iCs w:val="false"/>
                      <w:color w:val="1B5E20"/>
                      <w:sz w:val="18"/>
                      <w:szCs w:val="18"/>
                    </w:rPr>
                    <w:t xml:space="preserve">Excellent</w:t>
                  </w:r>
                </w:p>
              </w:tc>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bCs/>
                      <w:i w:val="false"/>
                      <w:iCs w:val="false"/>
                      <w:color w:val="1F3A5F"/>
                      <w:sz w:val="18"/>
                      <w:szCs w:val="18"/>
                    </w:rPr>
                    <w:t xml:space="preserve">Good</w:t>
                  </w:r>
                </w:p>
              </w:tc>
              <w:tc>
                <w:tcPr>
                  <w:tcW w:type="dxa" w:w="1700"/>
                  <w:tcBorders>
                    <w:top w:val="single" w:color="CCCCCC" w:sz="4"/>
                    <w:left w:val="single" w:color="CCCCCC" w:sz="4"/>
                    <w:bottom w:val="single" w:color="CCCCCC" w:sz="4"/>
                    <w:right w:val="single" w:color="CCCCCC" w:sz="4"/>
                  </w:tcBorders>
                  <w:shd w:fill="FBEEDA" w:val="clear"/>
                  <w:tcMar>
                    <w:top w:type="dxa" w:w="80"/>
                    <w:left w:type="dxa" w:w="130"/>
                    <w:bottom w:type="dxa" w:w="80"/>
                    <w:right w:type="dxa" w:w="130"/>
                  </w:tcMar>
                  <w:vAlign w:val="top"/>
                </w:tcPr>
                <w:p>
                  <w:pPr>
                    <w:spacing w:after="30"/>
                  </w:pPr>
                  <w:r>
                    <w:rPr>
                      <w:b/>
                      <w:bCs/>
                      <w:i w:val="false"/>
                      <w:iCs w:val="false"/>
                      <w:color w:val="E07A1F"/>
                      <w:sz w:val="18"/>
                      <w:szCs w:val="18"/>
                    </w:rPr>
                    <w:t xml:space="preserve">Acceptable</w:t>
                  </w:r>
                </w:p>
              </w:tc>
              <w:tc>
                <w:tcPr>
                  <w:tcW w:type="dxa" w:w="266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bCs/>
                      <w:i w:val="false"/>
                      <w:iCs w:val="false"/>
                      <w:color w:val="8E2F2F"/>
                      <w:sz w:val="18"/>
                      <w:szCs w:val="18"/>
                    </w:rPr>
                    <w:t xml:space="preserve">Poor</w:t>
                  </w:r>
                </w:p>
              </w:tc>
            </w:tr>
            <w:tr>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bCs/>
                      <w:i w:val="false"/>
                      <w:iCs w:val="false"/>
                      <w:sz w:val="18"/>
                      <w:szCs w:val="18"/>
                    </w:rPr>
                    <w:t xml:space="preserve">Range</w:t>
                  </w:r>
                </w:p>
              </w:tc>
              <w:tc>
                <w:tcPr>
                  <w:tcW w:type="dxa" w:w="17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val="false"/>
                      <w:bCs w:val="false"/>
                      <w:i w:val="false"/>
                      <w:iCs w:val="false"/>
                      <w:sz w:val="18"/>
                      <w:szCs w:val="18"/>
                    </w:rPr>
                    <w:t xml:space="preserve">&gt; 1.0</w:t>
                  </w:r>
                </w:p>
              </w:tc>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8"/>
                      <w:szCs w:val="18"/>
                    </w:rPr>
                    <w:t xml:space="preserve">0.6 – 1.0</w:t>
                  </w:r>
                </w:p>
              </w:tc>
              <w:tc>
                <w:tcPr>
                  <w:tcW w:type="dxa" w:w="1700"/>
                  <w:tcBorders>
                    <w:top w:val="single" w:color="CCCCCC" w:sz="4"/>
                    <w:left w:val="single" w:color="CCCCCC" w:sz="4"/>
                    <w:bottom w:val="single" w:color="CCCCCC" w:sz="4"/>
                    <w:right w:val="single" w:color="CCCCCC" w:sz="4"/>
                  </w:tcBorders>
                  <w:shd w:fill="FBEEDA" w:val="clear"/>
                  <w:tcMar>
                    <w:top w:type="dxa" w:w="80"/>
                    <w:left w:type="dxa" w:w="130"/>
                    <w:bottom w:type="dxa" w:w="80"/>
                    <w:right w:type="dxa" w:w="130"/>
                  </w:tcMar>
                  <w:vAlign w:val="top"/>
                </w:tcPr>
                <w:p>
                  <w:pPr>
                    <w:spacing w:after="30"/>
                  </w:pPr>
                  <w:r>
                    <w:rPr>
                      <w:b w:val="false"/>
                      <w:bCs w:val="false"/>
                      <w:i w:val="false"/>
                      <w:iCs w:val="false"/>
                      <w:sz w:val="18"/>
                      <w:szCs w:val="18"/>
                    </w:rPr>
                    <w:t xml:space="preserve">0.3 – 0.6</w:t>
                  </w:r>
                </w:p>
              </w:tc>
              <w:tc>
                <w:tcPr>
                  <w:tcW w:type="dxa" w:w="266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val="false"/>
                      <w:bCs w:val="false"/>
                      <w:i w:val="false"/>
                      <w:iCs w:val="false"/>
                      <w:sz w:val="18"/>
                      <w:szCs w:val="18"/>
                    </w:rPr>
                    <w:t xml:space="preserve">&lt; 0.3</w:t>
                  </w:r>
                </w:p>
              </w:tc>
            </w:tr>
          </w:tbl>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PM interpretation</w:t>
            </w:r>
          </w:p>
        </w:tc>
        <w:tc>
          <w:tcPr>
            <w:tcW w:type="dxa" w:w="6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Calmar &gt; 1.0 is exceptional. Calmar &lt; 0.3 means investors will redeem after the first significant drawdown — a strategy can be statistically real but commercially unviable on this metric.</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Allocation implications</w:t>
            </w:r>
          </w:p>
        </w:tc>
        <w:tc>
          <w:tcPr>
            <w:tcW w:type="dxa" w:w="6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Calmar primarily affects allocation pacing. Excellent Calmar → faster ramp from small to full allocation. Poor Calmar → keep allocation small and add only after a drawdown-recovery cycle is observed.</w:t>
            </w:r>
          </w:p>
        </w:tc>
      </w:tr>
    </w:tbl>
    <w:p>
      <w:pPr>
        <w:spacing w:after="100"/>
      </w:pPr>
      <w:r>
        <w:rPr>
          <w:b w:val="false"/>
          <w:bCs w:val="false"/>
          <w:i w:val="false"/>
          <w:iCs w:val="false"/>
          <w:sz w:val="22"/>
          <w:szCs w:val="22"/>
        </w:rPr>
        <w:t xml:space="preserve"/>
      </w:r>
    </w:p>
    <w:p>
      <w:r>
        <w:br w:type="page"/>
      </w:r>
    </w:p>
    <w:p>
      <w:pPr>
        <w:pStyle w:val="Heading2"/>
      </w:pPr>
      <w:r>
        <w:rPr>
          <w:b w:val="false"/>
          <w:bCs w:val="false"/>
          <w:i w:val="false"/>
          <w:iCs w:val="false"/>
          <w:sz w:val="22"/>
          <w:szCs w:val="22"/>
        </w:rPr>
        <w:t xml:space="preserve">1.6 Maximum Drawdown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90"/>
              <w:left w:type="dxa" w:w="140"/>
              <w:bottom w:type="dxa" w:w="90"/>
              <w:right w:type="dxa" w:w="140"/>
            </w:tcMar>
          </w:tcPr>
          <w:p>
            <w:pPr>
              <w:spacing w:after="0"/>
            </w:pPr>
            <w:r>
              <w:rPr>
                <w:b/>
                <w:bCs/>
                <w:i w:val="false"/>
                <w:iCs w:val="false"/>
                <w:color w:val="FFFFFF"/>
                <w:sz w:val="24"/>
                <w:szCs w:val="24"/>
              </w:rPr>
              <w:t xml:space="preserve">Max Drawdown (peak-to-trough)</w:t>
            </w:r>
            <w:r>
              <w:rPr>
                <w:b w:val="false"/>
                <w:bCs w:val="false"/>
                <w:i w:val="false"/>
                <w:iCs w:val="false"/>
                <w:color w:val="DDDDDD"/>
                <w:sz w:val="20"/>
                <w:szCs w:val="20"/>
              </w:rPr>
              <w:t xml:space="preserve">   (%)</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Why it matters</w:t>
            </w:r>
          </w:p>
        </w:tc>
        <w:tc>
          <w:tcPr>
            <w:tcW w:type="dxa" w:w="6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Worst peak-to-trough decline observed in the equity curve. Defines the investor's worst-case experience.</w:t>
            </w:r>
          </w:p>
        </w:tc>
      </w:tr>
      <w:tr>
        <w:tc>
          <w:tcPr>
            <w:tcW w:type="dxa" w:w="9360"/>
            <w:gridSpan w:val="2"/>
            <w:tcBorders>
              <w:top w:val="single" w:color="CCCCCC" w:sz="4"/>
              <w:left w:val="single" w:color="CCCCCC" w:sz="4"/>
              <w:bottom w:val="single" w:color="CCCCCC" w:sz="4"/>
              <w:right w:val="single" w:color="CCCCCC" w:sz="4"/>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700"/>
              <w:gridCol w:w="1700"/>
              <w:gridCol w:w="2660"/>
            </w:tblGrid>
            <w:tr>
              <w:trPr>
                <w:tblHeader/>
              </w:trPr>
              <w:tc>
                <w:tcPr>
                  <w:tcW w:type="dxa" w:w="1600"/>
                  <w:tcBorders>
                    <w:top w:val="single" w:color="CCCCCC" w:sz="4"/>
                    <w:left w:val="single" w:color="CCCCCC" w:sz="4"/>
                    <w:bottom w:val="single" w:color="CCCCCC" w:sz="4"/>
                    <w:right w:val="single" w:color="CCCCCC" w:sz="4"/>
                  </w:tcBorders>
                  <w:shd w:fill="1F3A5F" w:val="clear"/>
                  <w:tcMar>
                    <w:top w:type="dxa" w:w="80"/>
                    <w:left w:type="dxa" w:w="130"/>
                    <w:bottom w:type="dxa" w:w="80"/>
                    <w:right w:type="dxa" w:w="130"/>
                  </w:tcMar>
                  <w:vAlign w:val="top"/>
                </w:tcPr>
                <w:p>
                  <w:pPr>
                    <w:spacing w:after="30"/>
                  </w:pPr>
                  <w:r>
                    <w:rPr>
                      <w:b/>
                      <w:bCs/>
                      <w:i w:val="false"/>
                      <w:iCs w:val="false"/>
                      <w:color w:val="FFFFFF"/>
                      <w:sz w:val="18"/>
                      <w:szCs w:val="18"/>
                    </w:rPr>
                    <w:t xml:space="preserve">Tier</w:t>
                  </w:r>
                </w:p>
              </w:tc>
              <w:tc>
                <w:tcPr>
                  <w:tcW w:type="dxa" w:w="17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bCs/>
                      <w:i w:val="false"/>
                      <w:iCs w:val="false"/>
                      <w:color w:val="1B5E20"/>
                      <w:sz w:val="18"/>
                      <w:szCs w:val="18"/>
                    </w:rPr>
                    <w:t xml:space="preserve">Excellent</w:t>
                  </w:r>
                </w:p>
              </w:tc>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bCs/>
                      <w:i w:val="false"/>
                      <w:iCs w:val="false"/>
                      <w:color w:val="1F3A5F"/>
                      <w:sz w:val="18"/>
                      <w:szCs w:val="18"/>
                    </w:rPr>
                    <w:t xml:space="preserve">Good</w:t>
                  </w:r>
                </w:p>
              </w:tc>
              <w:tc>
                <w:tcPr>
                  <w:tcW w:type="dxa" w:w="1700"/>
                  <w:tcBorders>
                    <w:top w:val="single" w:color="CCCCCC" w:sz="4"/>
                    <w:left w:val="single" w:color="CCCCCC" w:sz="4"/>
                    <w:bottom w:val="single" w:color="CCCCCC" w:sz="4"/>
                    <w:right w:val="single" w:color="CCCCCC" w:sz="4"/>
                  </w:tcBorders>
                  <w:shd w:fill="FBEEDA" w:val="clear"/>
                  <w:tcMar>
                    <w:top w:type="dxa" w:w="80"/>
                    <w:left w:type="dxa" w:w="130"/>
                    <w:bottom w:type="dxa" w:w="80"/>
                    <w:right w:type="dxa" w:w="130"/>
                  </w:tcMar>
                  <w:vAlign w:val="top"/>
                </w:tcPr>
                <w:p>
                  <w:pPr>
                    <w:spacing w:after="30"/>
                  </w:pPr>
                  <w:r>
                    <w:rPr>
                      <w:b/>
                      <w:bCs/>
                      <w:i w:val="false"/>
                      <w:iCs w:val="false"/>
                      <w:color w:val="E07A1F"/>
                      <w:sz w:val="18"/>
                      <w:szCs w:val="18"/>
                    </w:rPr>
                    <w:t xml:space="preserve">Acceptable</w:t>
                  </w:r>
                </w:p>
              </w:tc>
              <w:tc>
                <w:tcPr>
                  <w:tcW w:type="dxa" w:w="266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bCs/>
                      <w:i w:val="false"/>
                      <w:iCs w:val="false"/>
                      <w:color w:val="8E2F2F"/>
                      <w:sz w:val="18"/>
                      <w:szCs w:val="18"/>
                    </w:rPr>
                    <w:t xml:space="preserve">Poor</w:t>
                  </w:r>
                </w:p>
              </w:tc>
            </w:tr>
            <w:tr>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bCs/>
                      <w:i w:val="false"/>
                      <w:iCs w:val="false"/>
                      <w:sz w:val="18"/>
                      <w:szCs w:val="18"/>
                    </w:rPr>
                    <w:t xml:space="preserve">Range</w:t>
                  </w:r>
                </w:p>
              </w:tc>
              <w:tc>
                <w:tcPr>
                  <w:tcW w:type="dxa" w:w="17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val="false"/>
                      <w:bCs w:val="false"/>
                      <w:i w:val="false"/>
                      <w:iCs w:val="false"/>
                      <w:sz w:val="18"/>
                      <w:szCs w:val="18"/>
                    </w:rPr>
                    <w:t xml:space="preserve">&lt; 8%</w:t>
                  </w:r>
                </w:p>
              </w:tc>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8"/>
                      <w:szCs w:val="18"/>
                    </w:rPr>
                    <w:t xml:space="preserve">8–15%</w:t>
                  </w:r>
                </w:p>
              </w:tc>
              <w:tc>
                <w:tcPr>
                  <w:tcW w:type="dxa" w:w="1700"/>
                  <w:tcBorders>
                    <w:top w:val="single" w:color="CCCCCC" w:sz="4"/>
                    <w:left w:val="single" w:color="CCCCCC" w:sz="4"/>
                    <w:bottom w:val="single" w:color="CCCCCC" w:sz="4"/>
                    <w:right w:val="single" w:color="CCCCCC" w:sz="4"/>
                  </w:tcBorders>
                  <w:shd w:fill="FBEEDA" w:val="clear"/>
                  <w:tcMar>
                    <w:top w:type="dxa" w:w="80"/>
                    <w:left w:type="dxa" w:w="130"/>
                    <w:bottom w:type="dxa" w:w="80"/>
                    <w:right w:type="dxa" w:w="130"/>
                  </w:tcMar>
                  <w:vAlign w:val="top"/>
                </w:tcPr>
                <w:p>
                  <w:pPr>
                    <w:spacing w:after="30"/>
                  </w:pPr>
                  <w:r>
                    <w:rPr>
                      <w:b w:val="false"/>
                      <w:bCs w:val="false"/>
                      <w:i w:val="false"/>
                      <w:iCs w:val="false"/>
                      <w:sz w:val="18"/>
                      <w:szCs w:val="18"/>
                    </w:rPr>
                    <w:t xml:space="preserve">15–25%</w:t>
                  </w:r>
                </w:p>
              </w:tc>
              <w:tc>
                <w:tcPr>
                  <w:tcW w:type="dxa" w:w="266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val="false"/>
                      <w:bCs w:val="false"/>
                      <w:i w:val="false"/>
                      <w:iCs w:val="false"/>
                      <w:sz w:val="18"/>
                      <w:szCs w:val="18"/>
                    </w:rPr>
                    <w:t xml:space="preserve">&gt; 25%</w:t>
                  </w:r>
                </w:p>
              </w:tc>
            </w:tr>
          </w:tbl>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PM interpretation</w:t>
            </w:r>
          </w:p>
        </w:tc>
        <w:tc>
          <w:tcPr>
            <w:tcW w:type="dxa" w:w="6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MDD &gt; 25% is the standard institutional threshold for 'too risky to fund'. MDD &lt; 8% with a real Sharpe is exceptional — usually only seen in market-neutral statistical-arbitrage strategies at low capacity. The DD's recovery period matters as much as its depth: 6 months to recover is far better than 18 months.</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Allocation implications</w:t>
            </w:r>
          </w:p>
        </w:tc>
        <w:tc>
          <w:tcPr>
            <w:tcW w:type="dxa" w:w="6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MDD bounds the maximum risk the fund will absorb. Allocation sizing should ensure (strategy_DD × allocation_share) is within the fund-level risk budget. Excellent MDD → larger nominal allocation; Poor MDD → small allocation regardless of Sharpe.</w:t>
            </w:r>
          </w:p>
        </w:tc>
      </w:tr>
    </w:tbl>
    <w:p>
      <w:pPr>
        <w:spacing w:after="100"/>
      </w:pPr>
      <w:r>
        <w:rPr>
          <w:b w:val="false"/>
          <w:bCs w:val="false"/>
          <w:i w:val="false"/>
          <w:iCs w:val="false"/>
          <w:sz w:val="22"/>
          <w:szCs w:val="22"/>
        </w:rPr>
        <w:t xml:space="preserve"/>
      </w:r>
    </w:p>
    <w:p>
      <w:pPr>
        <w:pStyle w:val="Heading2"/>
      </w:pPr>
      <w:r>
        <w:rPr>
          <w:b w:val="false"/>
          <w:bCs w:val="false"/>
          <w:i w:val="false"/>
          <w:iCs w:val="false"/>
          <w:sz w:val="22"/>
          <w:szCs w:val="22"/>
        </w:rPr>
        <w:t xml:space="preserve">1.7 Annualized Turnover (one-way)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90"/>
              <w:left w:type="dxa" w:w="140"/>
              <w:bottom w:type="dxa" w:w="90"/>
              <w:right w:type="dxa" w:w="140"/>
            </w:tcMar>
          </w:tcPr>
          <w:p>
            <w:pPr>
              <w:spacing w:after="0"/>
            </w:pPr>
            <w:r>
              <w:rPr>
                <w:b/>
                <w:bCs/>
                <w:i w:val="false"/>
                <w:iCs w:val="false"/>
                <w:color w:val="FFFFFF"/>
                <w:sz w:val="24"/>
                <w:szCs w:val="24"/>
              </w:rPr>
              <w:t xml:space="preserve">Annualized Turnover</w:t>
            </w:r>
            <w:r>
              <w:rPr>
                <w:b w:val="false"/>
                <w:bCs w:val="false"/>
                <w:i w:val="false"/>
                <w:iCs w:val="false"/>
                <w:color w:val="DDDDDD"/>
                <w:sz w:val="20"/>
                <w:szCs w:val="20"/>
              </w:rPr>
              <w:t xml:space="preserve">   (% / yr)</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Why it matters</w:t>
            </w:r>
          </w:p>
        </w:tc>
        <w:tc>
          <w:tcPr>
            <w:tcW w:type="dxa" w:w="6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Σ|trades| / 2 × 252. Measures how much trading the strategy requires. Higher turnover means higher cost sensitivity and capacity constraints.</w:t>
            </w:r>
          </w:p>
        </w:tc>
      </w:tr>
      <w:tr>
        <w:tc>
          <w:tcPr>
            <w:tcW w:type="dxa" w:w="9360"/>
            <w:gridSpan w:val="2"/>
            <w:tcBorders>
              <w:top w:val="single" w:color="CCCCCC" w:sz="4"/>
              <w:left w:val="single" w:color="CCCCCC" w:sz="4"/>
              <w:bottom w:val="single" w:color="CCCCCC" w:sz="4"/>
              <w:right w:val="single" w:color="CCCCCC" w:sz="4"/>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700"/>
              <w:gridCol w:w="1700"/>
              <w:gridCol w:w="2660"/>
            </w:tblGrid>
            <w:tr>
              <w:trPr>
                <w:tblHeader/>
              </w:trPr>
              <w:tc>
                <w:tcPr>
                  <w:tcW w:type="dxa" w:w="1600"/>
                  <w:tcBorders>
                    <w:top w:val="single" w:color="CCCCCC" w:sz="4"/>
                    <w:left w:val="single" w:color="CCCCCC" w:sz="4"/>
                    <w:bottom w:val="single" w:color="CCCCCC" w:sz="4"/>
                    <w:right w:val="single" w:color="CCCCCC" w:sz="4"/>
                  </w:tcBorders>
                  <w:shd w:fill="1F3A5F" w:val="clear"/>
                  <w:tcMar>
                    <w:top w:type="dxa" w:w="80"/>
                    <w:left w:type="dxa" w:w="130"/>
                    <w:bottom w:type="dxa" w:w="80"/>
                    <w:right w:type="dxa" w:w="130"/>
                  </w:tcMar>
                  <w:vAlign w:val="top"/>
                </w:tcPr>
                <w:p>
                  <w:pPr>
                    <w:spacing w:after="30"/>
                  </w:pPr>
                  <w:r>
                    <w:rPr>
                      <w:b/>
                      <w:bCs/>
                      <w:i w:val="false"/>
                      <w:iCs w:val="false"/>
                      <w:color w:val="FFFFFF"/>
                      <w:sz w:val="18"/>
                      <w:szCs w:val="18"/>
                    </w:rPr>
                    <w:t xml:space="preserve">Tier</w:t>
                  </w:r>
                </w:p>
              </w:tc>
              <w:tc>
                <w:tcPr>
                  <w:tcW w:type="dxa" w:w="17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bCs/>
                      <w:i w:val="false"/>
                      <w:iCs w:val="false"/>
                      <w:color w:val="1B5E20"/>
                      <w:sz w:val="18"/>
                      <w:szCs w:val="18"/>
                    </w:rPr>
                    <w:t xml:space="preserve">Excellent</w:t>
                  </w:r>
                </w:p>
              </w:tc>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bCs/>
                      <w:i w:val="false"/>
                      <w:iCs w:val="false"/>
                      <w:color w:val="1F3A5F"/>
                      <w:sz w:val="18"/>
                      <w:szCs w:val="18"/>
                    </w:rPr>
                    <w:t xml:space="preserve">Good</w:t>
                  </w:r>
                </w:p>
              </w:tc>
              <w:tc>
                <w:tcPr>
                  <w:tcW w:type="dxa" w:w="1700"/>
                  <w:tcBorders>
                    <w:top w:val="single" w:color="CCCCCC" w:sz="4"/>
                    <w:left w:val="single" w:color="CCCCCC" w:sz="4"/>
                    <w:bottom w:val="single" w:color="CCCCCC" w:sz="4"/>
                    <w:right w:val="single" w:color="CCCCCC" w:sz="4"/>
                  </w:tcBorders>
                  <w:shd w:fill="FBEEDA" w:val="clear"/>
                  <w:tcMar>
                    <w:top w:type="dxa" w:w="80"/>
                    <w:left w:type="dxa" w:w="130"/>
                    <w:bottom w:type="dxa" w:w="80"/>
                    <w:right w:type="dxa" w:w="130"/>
                  </w:tcMar>
                  <w:vAlign w:val="top"/>
                </w:tcPr>
                <w:p>
                  <w:pPr>
                    <w:spacing w:after="30"/>
                  </w:pPr>
                  <w:r>
                    <w:rPr>
                      <w:b/>
                      <w:bCs/>
                      <w:i w:val="false"/>
                      <w:iCs w:val="false"/>
                      <w:color w:val="E07A1F"/>
                      <w:sz w:val="18"/>
                      <w:szCs w:val="18"/>
                    </w:rPr>
                    <w:t xml:space="preserve">Acceptable</w:t>
                  </w:r>
                </w:p>
              </w:tc>
              <w:tc>
                <w:tcPr>
                  <w:tcW w:type="dxa" w:w="266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bCs/>
                      <w:i w:val="false"/>
                      <w:iCs w:val="false"/>
                      <w:color w:val="8E2F2F"/>
                      <w:sz w:val="18"/>
                      <w:szCs w:val="18"/>
                    </w:rPr>
                    <w:t xml:space="preserve">Poor</w:t>
                  </w:r>
                </w:p>
              </w:tc>
            </w:tr>
            <w:tr>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bCs/>
                      <w:i w:val="false"/>
                      <w:iCs w:val="false"/>
                      <w:sz w:val="18"/>
                      <w:szCs w:val="18"/>
                    </w:rPr>
                    <w:t xml:space="preserve">Range</w:t>
                  </w:r>
                </w:p>
              </w:tc>
              <w:tc>
                <w:tcPr>
                  <w:tcW w:type="dxa" w:w="17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val="false"/>
                      <w:bCs w:val="false"/>
                      <w:i w:val="false"/>
                      <w:iCs w:val="false"/>
                      <w:sz w:val="18"/>
                      <w:szCs w:val="18"/>
                    </w:rPr>
                    <w:t xml:space="preserve">&lt; 800%</w:t>
                  </w:r>
                </w:p>
              </w:tc>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8"/>
                      <w:szCs w:val="18"/>
                    </w:rPr>
                    <w:t xml:space="preserve">800 – 1,500%</w:t>
                  </w:r>
                </w:p>
              </w:tc>
              <w:tc>
                <w:tcPr>
                  <w:tcW w:type="dxa" w:w="1700"/>
                  <w:tcBorders>
                    <w:top w:val="single" w:color="CCCCCC" w:sz="4"/>
                    <w:left w:val="single" w:color="CCCCCC" w:sz="4"/>
                    <w:bottom w:val="single" w:color="CCCCCC" w:sz="4"/>
                    <w:right w:val="single" w:color="CCCCCC" w:sz="4"/>
                  </w:tcBorders>
                  <w:shd w:fill="FBEEDA" w:val="clear"/>
                  <w:tcMar>
                    <w:top w:type="dxa" w:w="80"/>
                    <w:left w:type="dxa" w:w="130"/>
                    <w:bottom w:type="dxa" w:w="80"/>
                    <w:right w:type="dxa" w:w="130"/>
                  </w:tcMar>
                  <w:vAlign w:val="top"/>
                </w:tcPr>
                <w:p>
                  <w:pPr>
                    <w:spacing w:after="30"/>
                  </w:pPr>
                  <w:r>
                    <w:rPr>
                      <w:b w:val="false"/>
                      <w:bCs w:val="false"/>
                      <w:i w:val="false"/>
                      <w:iCs w:val="false"/>
                      <w:sz w:val="18"/>
                      <w:szCs w:val="18"/>
                    </w:rPr>
                    <w:t xml:space="preserve">1,500 – 2,500%</w:t>
                  </w:r>
                </w:p>
              </w:tc>
              <w:tc>
                <w:tcPr>
                  <w:tcW w:type="dxa" w:w="266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val="false"/>
                      <w:bCs w:val="false"/>
                      <w:i w:val="false"/>
                      <w:iCs w:val="false"/>
                      <w:sz w:val="18"/>
                      <w:szCs w:val="18"/>
                    </w:rPr>
                    <w:t xml:space="preserve">&gt; 2,500%</w:t>
                  </w:r>
                </w:p>
              </w:tc>
            </w:tr>
          </w:tbl>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PM interpretation</w:t>
            </w:r>
          </w:p>
        </w:tc>
        <w:tc>
          <w:tcPr>
            <w:tcW w:type="dxa" w:w="6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Daily L/S strategies with 1-day signal lifetimes naturally run 2,000-3,000% annualized turnover. The right question isn't whether the turnover is 'high' (it always is for this strategy class) but whether the post-cost Sharpe survives at that turnover.</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Allocation implications</w:t>
            </w:r>
          </w:p>
        </w:tc>
        <w:tc>
          <w:tcPr>
            <w:tcW w:type="dxa" w:w="6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Turnover does not directly bound allocation, but it determines the execution-desk capacity needed and the cost-margin sensitivity. Higher turnover → more sensitive to execution edge → prefer strategies where the firm has execution advantage.</w:t>
            </w:r>
          </w:p>
        </w:tc>
      </w:tr>
    </w:tbl>
    <w:p>
      <w:pPr>
        <w:spacing w:after="100"/>
      </w:pPr>
      <w:r>
        <w:rPr>
          <w:b w:val="false"/>
          <w:bCs w:val="false"/>
          <w:i w:val="false"/>
          <w:iCs w:val="false"/>
          <w:sz w:val="22"/>
          <w:szCs w:val="22"/>
        </w:rPr>
        <w:t xml:space="preserve"/>
      </w:r>
    </w:p>
    <w:p>
      <w:pPr>
        <w:pStyle w:val="Heading2"/>
      </w:pPr>
      <w:r>
        <w:rPr>
          <w:b w:val="false"/>
          <w:bCs w:val="false"/>
          <w:i w:val="false"/>
          <w:iCs w:val="false"/>
          <w:sz w:val="22"/>
          <w:szCs w:val="22"/>
        </w:rPr>
        <w:t xml:space="preserve">1.8 Win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90"/>
              <w:left w:type="dxa" w:w="140"/>
              <w:bottom w:type="dxa" w:w="90"/>
              <w:right w:type="dxa" w:w="140"/>
            </w:tcMar>
          </w:tcPr>
          <w:p>
            <w:pPr>
              <w:spacing w:after="0"/>
            </w:pPr>
            <w:r>
              <w:rPr>
                <w:b/>
                <w:bCs/>
                <w:i w:val="false"/>
                <w:iCs w:val="false"/>
                <w:color w:val="FFFFFF"/>
                <w:sz w:val="24"/>
                <w:szCs w:val="24"/>
              </w:rPr>
              <w:t xml:space="preserve">Win Rate (per episode)</w:t>
            </w:r>
            <w:r>
              <w:rPr>
                <w:b w:val="false"/>
                <w:bCs w:val="false"/>
                <w:i w:val="false"/>
                <w:iCs w:val="false"/>
                <w:color w:val="DDDDDD"/>
                <w:sz w:val="20"/>
                <w:szCs w:val="20"/>
              </w:rPr>
              <w:t xml:space="preserve"/>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Why it matters</w:t>
            </w:r>
          </w:p>
        </w:tc>
        <w:tc>
          <w:tcPr>
            <w:tcW w:type="dxa" w:w="6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Fraction of position episodes with positive PnL. An episode is a contiguous holding period for a single name. Daily-return hit rate is a different metric and should not be confused.</w:t>
            </w:r>
          </w:p>
        </w:tc>
      </w:tr>
      <w:tr>
        <w:tc>
          <w:tcPr>
            <w:tcW w:type="dxa" w:w="9360"/>
            <w:gridSpan w:val="2"/>
            <w:tcBorders>
              <w:top w:val="single" w:color="CCCCCC" w:sz="4"/>
              <w:left w:val="single" w:color="CCCCCC" w:sz="4"/>
              <w:bottom w:val="single" w:color="CCCCCC" w:sz="4"/>
              <w:right w:val="single" w:color="CCCCCC" w:sz="4"/>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700"/>
              <w:gridCol w:w="1700"/>
              <w:gridCol w:w="2660"/>
            </w:tblGrid>
            <w:tr>
              <w:trPr>
                <w:tblHeader/>
              </w:trPr>
              <w:tc>
                <w:tcPr>
                  <w:tcW w:type="dxa" w:w="1600"/>
                  <w:tcBorders>
                    <w:top w:val="single" w:color="CCCCCC" w:sz="4"/>
                    <w:left w:val="single" w:color="CCCCCC" w:sz="4"/>
                    <w:bottom w:val="single" w:color="CCCCCC" w:sz="4"/>
                    <w:right w:val="single" w:color="CCCCCC" w:sz="4"/>
                  </w:tcBorders>
                  <w:shd w:fill="1F3A5F" w:val="clear"/>
                  <w:tcMar>
                    <w:top w:type="dxa" w:w="80"/>
                    <w:left w:type="dxa" w:w="130"/>
                    <w:bottom w:type="dxa" w:w="80"/>
                    <w:right w:type="dxa" w:w="130"/>
                  </w:tcMar>
                  <w:vAlign w:val="top"/>
                </w:tcPr>
                <w:p>
                  <w:pPr>
                    <w:spacing w:after="30"/>
                  </w:pPr>
                  <w:r>
                    <w:rPr>
                      <w:b/>
                      <w:bCs/>
                      <w:i w:val="false"/>
                      <w:iCs w:val="false"/>
                      <w:color w:val="FFFFFF"/>
                      <w:sz w:val="18"/>
                      <w:szCs w:val="18"/>
                    </w:rPr>
                    <w:t xml:space="preserve">Tier</w:t>
                  </w:r>
                </w:p>
              </w:tc>
              <w:tc>
                <w:tcPr>
                  <w:tcW w:type="dxa" w:w="17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bCs/>
                      <w:i w:val="false"/>
                      <w:iCs w:val="false"/>
                      <w:color w:val="1B5E20"/>
                      <w:sz w:val="18"/>
                      <w:szCs w:val="18"/>
                    </w:rPr>
                    <w:t xml:space="preserve">Excellent</w:t>
                  </w:r>
                </w:p>
              </w:tc>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bCs/>
                      <w:i w:val="false"/>
                      <w:iCs w:val="false"/>
                      <w:color w:val="1F3A5F"/>
                      <w:sz w:val="18"/>
                      <w:szCs w:val="18"/>
                    </w:rPr>
                    <w:t xml:space="preserve">Good</w:t>
                  </w:r>
                </w:p>
              </w:tc>
              <w:tc>
                <w:tcPr>
                  <w:tcW w:type="dxa" w:w="1700"/>
                  <w:tcBorders>
                    <w:top w:val="single" w:color="CCCCCC" w:sz="4"/>
                    <w:left w:val="single" w:color="CCCCCC" w:sz="4"/>
                    <w:bottom w:val="single" w:color="CCCCCC" w:sz="4"/>
                    <w:right w:val="single" w:color="CCCCCC" w:sz="4"/>
                  </w:tcBorders>
                  <w:shd w:fill="FBEEDA" w:val="clear"/>
                  <w:tcMar>
                    <w:top w:type="dxa" w:w="80"/>
                    <w:left w:type="dxa" w:w="130"/>
                    <w:bottom w:type="dxa" w:w="80"/>
                    <w:right w:type="dxa" w:w="130"/>
                  </w:tcMar>
                  <w:vAlign w:val="top"/>
                </w:tcPr>
                <w:p>
                  <w:pPr>
                    <w:spacing w:after="30"/>
                  </w:pPr>
                  <w:r>
                    <w:rPr>
                      <w:b/>
                      <w:bCs/>
                      <w:i w:val="false"/>
                      <w:iCs w:val="false"/>
                      <w:color w:val="E07A1F"/>
                      <w:sz w:val="18"/>
                      <w:szCs w:val="18"/>
                    </w:rPr>
                    <w:t xml:space="preserve">Acceptable</w:t>
                  </w:r>
                </w:p>
              </w:tc>
              <w:tc>
                <w:tcPr>
                  <w:tcW w:type="dxa" w:w="266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bCs/>
                      <w:i w:val="false"/>
                      <w:iCs w:val="false"/>
                      <w:color w:val="8E2F2F"/>
                      <w:sz w:val="18"/>
                      <w:szCs w:val="18"/>
                    </w:rPr>
                    <w:t xml:space="preserve">Poor</w:t>
                  </w:r>
                </w:p>
              </w:tc>
            </w:tr>
            <w:tr>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bCs/>
                      <w:i w:val="false"/>
                      <w:iCs w:val="false"/>
                      <w:sz w:val="18"/>
                      <w:szCs w:val="18"/>
                    </w:rPr>
                    <w:t xml:space="preserve">Range</w:t>
                  </w:r>
                </w:p>
              </w:tc>
              <w:tc>
                <w:tcPr>
                  <w:tcW w:type="dxa" w:w="17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val="false"/>
                      <w:bCs w:val="false"/>
                      <w:i w:val="false"/>
                      <w:iCs w:val="false"/>
                      <w:sz w:val="18"/>
                      <w:szCs w:val="18"/>
                    </w:rPr>
                    <w:t xml:space="preserve">&gt; 55%</w:t>
                  </w:r>
                </w:p>
              </w:tc>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8"/>
                      <w:szCs w:val="18"/>
                    </w:rPr>
                    <w:t xml:space="preserve">50–55%</w:t>
                  </w:r>
                </w:p>
              </w:tc>
              <w:tc>
                <w:tcPr>
                  <w:tcW w:type="dxa" w:w="1700"/>
                  <w:tcBorders>
                    <w:top w:val="single" w:color="CCCCCC" w:sz="4"/>
                    <w:left w:val="single" w:color="CCCCCC" w:sz="4"/>
                    <w:bottom w:val="single" w:color="CCCCCC" w:sz="4"/>
                    <w:right w:val="single" w:color="CCCCCC" w:sz="4"/>
                  </w:tcBorders>
                  <w:shd w:fill="FBEEDA" w:val="clear"/>
                  <w:tcMar>
                    <w:top w:type="dxa" w:w="80"/>
                    <w:left w:type="dxa" w:w="130"/>
                    <w:bottom w:type="dxa" w:w="80"/>
                    <w:right w:type="dxa" w:w="130"/>
                  </w:tcMar>
                  <w:vAlign w:val="top"/>
                </w:tcPr>
                <w:p>
                  <w:pPr>
                    <w:spacing w:after="30"/>
                  </w:pPr>
                  <w:r>
                    <w:rPr>
                      <w:b w:val="false"/>
                      <w:bCs w:val="false"/>
                      <w:i w:val="false"/>
                      <w:iCs w:val="false"/>
                      <w:sz w:val="18"/>
                      <w:szCs w:val="18"/>
                    </w:rPr>
                    <w:t xml:space="preserve">45–50%</w:t>
                  </w:r>
                </w:p>
              </w:tc>
              <w:tc>
                <w:tcPr>
                  <w:tcW w:type="dxa" w:w="266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val="false"/>
                      <w:bCs w:val="false"/>
                      <w:i w:val="false"/>
                      <w:iCs w:val="false"/>
                      <w:sz w:val="18"/>
                      <w:szCs w:val="18"/>
                    </w:rPr>
                    <w:t xml:space="preserve">&lt; 45%</w:t>
                  </w:r>
                </w:p>
              </w:tc>
            </w:tr>
          </w:tbl>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PM interpretation</w:t>
            </w:r>
          </w:p>
        </w:tc>
        <w:tc>
          <w:tcPr>
            <w:tcW w:type="dxa" w:w="6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Per-episode win rate of 50-55% is typical for short-horizon L/S — the strategy makes money on positive expectancy, not high hit rate. A win rate above 60% is unusual and suggests either exceptionally strong signal or short holding periods masking small losses. Below 45% requires very high profit factor (large wins, small losses).</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Allocation implications</w:t>
            </w:r>
          </w:p>
        </w:tc>
        <w:tc>
          <w:tcPr>
            <w:tcW w:type="dxa" w:w="6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Win rate primarily affects investor narrative, not allocation. A 47% win rate with 1.8 profit factor is a healthy strategy. The allocator's intuition that 'win rate ≥ 50%' is the bar should be corrected by educating around profit factor.</w:t>
            </w:r>
          </w:p>
        </w:tc>
      </w:tr>
    </w:tbl>
    <w:p>
      <w:pPr>
        <w:spacing w:after="100"/>
      </w:pPr>
      <w:r>
        <w:rPr>
          <w:b w:val="false"/>
          <w:bCs w:val="false"/>
          <w:i w:val="false"/>
          <w:iCs w:val="false"/>
          <w:sz w:val="22"/>
          <w:szCs w:val="22"/>
        </w:rPr>
        <w:t xml:space="preserve"/>
      </w:r>
    </w:p>
    <w:p>
      <w:pPr>
        <w:pStyle w:val="Heading2"/>
      </w:pPr>
      <w:r>
        <w:rPr>
          <w:b w:val="false"/>
          <w:bCs w:val="false"/>
          <w:i w:val="false"/>
          <w:iCs w:val="false"/>
          <w:sz w:val="22"/>
          <w:szCs w:val="22"/>
        </w:rPr>
        <w:t xml:space="preserve">1.9 Profit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90"/>
              <w:left w:type="dxa" w:w="140"/>
              <w:bottom w:type="dxa" w:w="90"/>
              <w:right w:type="dxa" w:w="140"/>
            </w:tcMar>
          </w:tcPr>
          <w:p>
            <w:pPr>
              <w:spacing w:after="0"/>
            </w:pPr>
            <w:r>
              <w:rPr>
                <w:b/>
                <w:bCs/>
                <w:i w:val="false"/>
                <w:iCs w:val="false"/>
                <w:color w:val="FFFFFF"/>
                <w:sz w:val="24"/>
                <w:szCs w:val="24"/>
              </w:rPr>
              <w:t xml:space="preserve">Profit Factor</w:t>
            </w:r>
            <w:r>
              <w:rPr>
                <w:b w:val="false"/>
                <w:bCs w:val="false"/>
                <w:i w:val="false"/>
                <w:iCs w:val="false"/>
                <w:color w:val="DDDDDD"/>
                <w:sz w:val="20"/>
                <w:szCs w:val="20"/>
              </w:rPr>
              <w:t xml:space="preserve"/>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Why it matters</w:t>
            </w:r>
          </w:p>
        </w:tc>
        <w:tc>
          <w:tcPr>
            <w:tcW w:type="dxa" w:w="6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Σ(winning episode PnL) / |Σ(losing episode PnL)|. Captures expectancy. A profit factor of 1.5 means each dollar lost is matched by $1.50 won.</w:t>
            </w:r>
          </w:p>
        </w:tc>
      </w:tr>
      <w:tr>
        <w:tc>
          <w:tcPr>
            <w:tcW w:type="dxa" w:w="9360"/>
            <w:gridSpan w:val="2"/>
            <w:tcBorders>
              <w:top w:val="single" w:color="CCCCCC" w:sz="4"/>
              <w:left w:val="single" w:color="CCCCCC" w:sz="4"/>
              <w:bottom w:val="single" w:color="CCCCCC" w:sz="4"/>
              <w:right w:val="single" w:color="CCCCCC" w:sz="4"/>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700"/>
              <w:gridCol w:w="1700"/>
              <w:gridCol w:w="2660"/>
            </w:tblGrid>
            <w:tr>
              <w:trPr>
                <w:tblHeader/>
              </w:trPr>
              <w:tc>
                <w:tcPr>
                  <w:tcW w:type="dxa" w:w="1600"/>
                  <w:tcBorders>
                    <w:top w:val="single" w:color="CCCCCC" w:sz="4"/>
                    <w:left w:val="single" w:color="CCCCCC" w:sz="4"/>
                    <w:bottom w:val="single" w:color="CCCCCC" w:sz="4"/>
                    <w:right w:val="single" w:color="CCCCCC" w:sz="4"/>
                  </w:tcBorders>
                  <w:shd w:fill="1F3A5F" w:val="clear"/>
                  <w:tcMar>
                    <w:top w:type="dxa" w:w="80"/>
                    <w:left w:type="dxa" w:w="130"/>
                    <w:bottom w:type="dxa" w:w="80"/>
                    <w:right w:type="dxa" w:w="130"/>
                  </w:tcMar>
                  <w:vAlign w:val="top"/>
                </w:tcPr>
                <w:p>
                  <w:pPr>
                    <w:spacing w:after="30"/>
                  </w:pPr>
                  <w:r>
                    <w:rPr>
                      <w:b/>
                      <w:bCs/>
                      <w:i w:val="false"/>
                      <w:iCs w:val="false"/>
                      <w:color w:val="FFFFFF"/>
                      <w:sz w:val="18"/>
                      <w:szCs w:val="18"/>
                    </w:rPr>
                    <w:t xml:space="preserve">Tier</w:t>
                  </w:r>
                </w:p>
              </w:tc>
              <w:tc>
                <w:tcPr>
                  <w:tcW w:type="dxa" w:w="17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bCs/>
                      <w:i w:val="false"/>
                      <w:iCs w:val="false"/>
                      <w:color w:val="1B5E20"/>
                      <w:sz w:val="18"/>
                      <w:szCs w:val="18"/>
                    </w:rPr>
                    <w:t xml:space="preserve">Excellent</w:t>
                  </w:r>
                </w:p>
              </w:tc>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bCs/>
                      <w:i w:val="false"/>
                      <w:iCs w:val="false"/>
                      <w:color w:val="1F3A5F"/>
                      <w:sz w:val="18"/>
                      <w:szCs w:val="18"/>
                    </w:rPr>
                    <w:t xml:space="preserve">Good</w:t>
                  </w:r>
                </w:p>
              </w:tc>
              <w:tc>
                <w:tcPr>
                  <w:tcW w:type="dxa" w:w="1700"/>
                  <w:tcBorders>
                    <w:top w:val="single" w:color="CCCCCC" w:sz="4"/>
                    <w:left w:val="single" w:color="CCCCCC" w:sz="4"/>
                    <w:bottom w:val="single" w:color="CCCCCC" w:sz="4"/>
                    <w:right w:val="single" w:color="CCCCCC" w:sz="4"/>
                  </w:tcBorders>
                  <w:shd w:fill="FBEEDA" w:val="clear"/>
                  <w:tcMar>
                    <w:top w:type="dxa" w:w="80"/>
                    <w:left w:type="dxa" w:w="130"/>
                    <w:bottom w:type="dxa" w:w="80"/>
                    <w:right w:type="dxa" w:w="130"/>
                  </w:tcMar>
                  <w:vAlign w:val="top"/>
                </w:tcPr>
                <w:p>
                  <w:pPr>
                    <w:spacing w:after="30"/>
                  </w:pPr>
                  <w:r>
                    <w:rPr>
                      <w:b/>
                      <w:bCs/>
                      <w:i w:val="false"/>
                      <w:iCs w:val="false"/>
                      <w:color w:val="E07A1F"/>
                      <w:sz w:val="18"/>
                      <w:szCs w:val="18"/>
                    </w:rPr>
                    <w:t xml:space="preserve">Acceptable</w:t>
                  </w:r>
                </w:p>
              </w:tc>
              <w:tc>
                <w:tcPr>
                  <w:tcW w:type="dxa" w:w="266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bCs/>
                      <w:i w:val="false"/>
                      <w:iCs w:val="false"/>
                      <w:color w:val="8E2F2F"/>
                      <w:sz w:val="18"/>
                      <w:szCs w:val="18"/>
                    </w:rPr>
                    <w:t xml:space="preserve">Poor</w:t>
                  </w:r>
                </w:p>
              </w:tc>
            </w:tr>
            <w:tr>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bCs/>
                      <w:i w:val="false"/>
                      <w:iCs w:val="false"/>
                      <w:sz w:val="18"/>
                      <w:szCs w:val="18"/>
                    </w:rPr>
                    <w:t xml:space="preserve">Range</w:t>
                  </w:r>
                </w:p>
              </w:tc>
              <w:tc>
                <w:tcPr>
                  <w:tcW w:type="dxa" w:w="17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val="false"/>
                      <w:bCs w:val="false"/>
                      <w:i w:val="false"/>
                      <w:iCs w:val="false"/>
                      <w:sz w:val="18"/>
                      <w:szCs w:val="18"/>
                    </w:rPr>
                    <w:t xml:space="preserve">&gt; 2.0</w:t>
                  </w:r>
                </w:p>
              </w:tc>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8"/>
                      <w:szCs w:val="18"/>
                    </w:rPr>
                    <w:t xml:space="preserve">1.5 – 2.0</w:t>
                  </w:r>
                </w:p>
              </w:tc>
              <w:tc>
                <w:tcPr>
                  <w:tcW w:type="dxa" w:w="1700"/>
                  <w:tcBorders>
                    <w:top w:val="single" w:color="CCCCCC" w:sz="4"/>
                    <w:left w:val="single" w:color="CCCCCC" w:sz="4"/>
                    <w:bottom w:val="single" w:color="CCCCCC" w:sz="4"/>
                    <w:right w:val="single" w:color="CCCCCC" w:sz="4"/>
                  </w:tcBorders>
                  <w:shd w:fill="FBEEDA" w:val="clear"/>
                  <w:tcMar>
                    <w:top w:type="dxa" w:w="80"/>
                    <w:left w:type="dxa" w:w="130"/>
                    <w:bottom w:type="dxa" w:w="80"/>
                    <w:right w:type="dxa" w:w="130"/>
                  </w:tcMar>
                  <w:vAlign w:val="top"/>
                </w:tcPr>
                <w:p>
                  <w:pPr>
                    <w:spacing w:after="30"/>
                  </w:pPr>
                  <w:r>
                    <w:rPr>
                      <w:b w:val="false"/>
                      <w:bCs w:val="false"/>
                      <w:i w:val="false"/>
                      <w:iCs w:val="false"/>
                      <w:sz w:val="18"/>
                      <w:szCs w:val="18"/>
                    </w:rPr>
                    <w:t xml:space="preserve">1.2 – 1.5</w:t>
                  </w:r>
                </w:p>
              </w:tc>
              <w:tc>
                <w:tcPr>
                  <w:tcW w:type="dxa" w:w="266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val="false"/>
                      <w:bCs w:val="false"/>
                      <w:i w:val="false"/>
                      <w:iCs w:val="false"/>
                      <w:sz w:val="18"/>
                      <w:szCs w:val="18"/>
                    </w:rPr>
                    <w:t xml:space="preserve">&lt; 1.2</w:t>
                  </w:r>
                </w:p>
              </w:tc>
            </w:tr>
          </w:tbl>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PM interpretation</w:t>
            </w:r>
          </w:p>
        </w:tc>
        <w:tc>
          <w:tcPr>
            <w:tcW w:type="dxa" w:w="6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Profit factor &lt; 1.2 with high win rate means the strategy bleeds slowly — many small wins, occasional large losses. Profit factor &gt; 2.0 with moderate win rate (50%) means the wins are sized correctly relative to losses — the hallmark of a well-constructed L/S strategy.</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Allocation implications</w:t>
            </w:r>
          </w:p>
        </w:tc>
        <w:tc>
          <w:tcPr>
            <w:tcW w:type="dxa" w:w="6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Profit factor combined with win rate determines drawdown profile. High win rate × low profit factor = many small drawdowns. Low win rate × high profit factor = fewer but larger drawdowns. Allocation pacing should reflect the expected drawdown profile.</w:t>
            </w:r>
          </w:p>
        </w:tc>
      </w:tr>
    </w:tbl>
    <w:p>
      <w:pPr>
        <w:spacing w:after="100"/>
      </w:pPr>
      <w:r>
        <w:rPr>
          <w:b w:val="false"/>
          <w:bCs w:val="false"/>
          <w:i w:val="false"/>
          <w:iCs w:val="false"/>
          <w:sz w:val="22"/>
          <w:szCs w:val="22"/>
        </w:rPr>
        <w:t xml:space="preserve"/>
      </w:r>
    </w:p>
    <w:p>
      <w:pPr>
        <w:pStyle w:val="Heading2"/>
      </w:pPr>
      <w:r>
        <w:rPr>
          <w:b w:val="false"/>
          <w:bCs w:val="false"/>
          <w:i w:val="false"/>
          <w:iCs w:val="false"/>
          <w:sz w:val="22"/>
          <w:szCs w:val="22"/>
        </w:rPr>
        <w:t xml:space="preserve">1.10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90"/>
              <w:left w:type="dxa" w:w="140"/>
              <w:bottom w:type="dxa" w:w="90"/>
              <w:right w:type="dxa" w:w="140"/>
            </w:tcMar>
          </w:tcPr>
          <w:p>
            <w:pPr>
              <w:spacing w:after="0"/>
            </w:pPr>
            <w:r>
              <w:rPr>
                <w:b/>
                <w:bCs/>
                <w:i w:val="false"/>
                <w:iCs w:val="false"/>
                <w:color w:val="FFFFFF"/>
                <w:sz w:val="24"/>
                <w:szCs w:val="24"/>
              </w:rPr>
              <w:t xml:space="preserve">Capacity (at Sharpe ≥ 0.5 net)</w:t>
            </w:r>
            <w:r>
              <w:rPr>
                <w:b w:val="false"/>
                <w:bCs w:val="false"/>
                <w:i w:val="false"/>
                <w:iCs w:val="false"/>
                <w:color w:val="DDDDDD"/>
                <w:sz w:val="20"/>
                <w:szCs w:val="20"/>
              </w:rPr>
              <w:t xml:space="preserve">   (USD AUM)</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Why it matters</w:t>
            </w:r>
          </w:p>
        </w:tc>
        <w:tc>
          <w:tcPr>
            <w:tcW w:type="dxa" w:w="6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Maximum AUM the strategy can absorb while net Sharpe remains above the minimum bar. Bounded by impact cost, signal turnover, and follower-name liquidity.</w:t>
            </w:r>
          </w:p>
        </w:tc>
      </w:tr>
      <w:tr>
        <w:tc>
          <w:tcPr>
            <w:tcW w:type="dxa" w:w="9360"/>
            <w:gridSpan w:val="2"/>
            <w:tcBorders>
              <w:top w:val="single" w:color="CCCCCC" w:sz="4"/>
              <w:left w:val="single" w:color="CCCCCC" w:sz="4"/>
              <w:bottom w:val="single" w:color="CCCCCC" w:sz="4"/>
              <w:right w:val="single" w:color="CCCCCC" w:sz="4"/>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700"/>
              <w:gridCol w:w="1700"/>
              <w:gridCol w:w="2660"/>
            </w:tblGrid>
            <w:tr>
              <w:trPr>
                <w:tblHeader/>
              </w:trPr>
              <w:tc>
                <w:tcPr>
                  <w:tcW w:type="dxa" w:w="1600"/>
                  <w:tcBorders>
                    <w:top w:val="single" w:color="CCCCCC" w:sz="4"/>
                    <w:left w:val="single" w:color="CCCCCC" w:sz="4"/>
                    <w:bottom w:val="single" w:color="CCCCCC" w:sz="4"/>
                    <w:right w:val="single" w:color="CCCCCC" w:sz="4"/>
                  </w:tcBorders>
                  <w:shd w:fill="1F3A5F" w:val="clear"/>
                  <w:tcMar>
                    <w:top w:type="dxa" w:w="80"/>
                    <w:left w:type="dxa" w:w="130"/>
                    <w:bottom w:type="dxa" w:w="80"/>
                    <w:right w:type="dxa" w:w="130"/>
                  </w:tcMar>
                  <w:vAlign w:val="top"/>
                </w:tcPr>
                <w:p>
                  <w:pPr>
                    <w:spacing w:after="30"/>
                  </w:pPr>
                  <w:r>
                    <w:rPr>
                      <w:b/>
                      <w:bCs/>
                      <w:i w:val="false"/>
                      <w:iCs w:val="false"/>
                      <w:color w:val="FFFFFF"/>
                      <w:sz w:val="18"/>
                      <w:szCs w:val="18"/>
                    </w:rPr>
                    <w:t xml:space="preserve">Tier</w:t>
                  </w:r>
                </w:p>
              </w:tc>
              <w:tc>
                <w:tcPr>
                  <w:tcW w:type="dxa" w:w="17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bCs/>
                      <w:i w:val="false"/>
                      <w:iCs w:val="false"/>
                      <w:color w:val="1B5E20"/>
                      <w:sz w:val="18"/>
                      <w:szCs w:val="18"/>
                    </w:rPr>
                    <w:t xml:space="preserve">Excellent</w:t>
                  </w:r>
                </w:p>
              </w:tc>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bCs/>
                      <w:i w:val="false"/>
                      <w:iCs w:val="false"/>
                      <w:color w:val="1F3A5F"/>
                      <w:sz w:val="18"/>
                      <w:szCs w:val="18"/>
                    </w:rPr>
                    <w:t xml:space="preserve">Good</w:t>
                  </w:r>
                </w:p>
              </w:tc>
              <w:tc>
                <w:tcPr>
                  <w:tcW w:type="dxa" w:w="1700"/>
                  <w:tcBorders>
                    <w:top w:val="single" w:color="CCCCCC" w:sz="4"/>
                    <w:left w:val="single" w:color="CCCCCC" w:sz="4"/>
                    <w:bottom w:val="single" w:color="CCCCCC" w:sz="4"/>
                    <w:right w:val="single" w:color="CCCCCC" w:sz="4"/>
                  </w:tcBorders>
                  <w:shd w:fill="FBEEDA" w:val="clear"/>
                  <w:tcMar>
                    <w:top w:type="dxa" w:w="80"/>
                    <w:left w:type="dxa" w:w="130"/>
                    <w:bottom w:type="dxa" w:w="80"/>
                    <w:right w:type="dxa" w:w="130"/>
                  </w:tcMar>
                  <w:vAlign w:val="top"/>
                </w:tcPr>
                <w:p>
                  <w:pPr>
                    <w:spacing w:after="30"/>
                  </w:pPr>
                  <w:r>
                    <w:rPr>
                      <w:b/>
                      <w:bCs/>
                      <w:i w:val="false"/>
                      <w:iCs w:val="false"/>
                      <w:color w:val="E07A1F"/>
                      <w:sz w:val="18"/>
                      <w:szCs w:val="18"/>
                    </w:rPr>
                    <w:t xml:space="preserve">Acceptable</w:t>
                  </w:r>
                </w:p>
              </w:tc>
              <w:tc>
                <w:tcPr>
                  <w:tcW w:type="dxa" w:w="266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bCs/>
                      <w:i w:val="false"/>
                      <w:iCs w:val="false"/>
                      <w:color w:val="8E2F2F"/>
                      <w:sz w:val="18"/>
                      <w:szCs w:val="18"/>
                    </w:rPr>
                    <w:t xml:space="preserve">Poor</w:t>
                  </w:r>
                </w:p>
              </w:tc>
            </w:tr>
            <w:tr>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bCs/>
                      <w:i w:val="false"/>
                      <w:iCs w:val="false"/>
                      <w:sz w:val="18"/>
                      <w:szCs w:val="18"/>
                    </w:rPr>
                    <w:t xml:space="preserve">Range</w:t>
                  </w:r>
                </w:p>
              </w:tc>
              <w:tc>
                <w:tcPr>
                  <w:tcW w:type="dxa" w:w="17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val="false"/>
                      <w:bCs w:val="false"/>
                      <w:i w:val="false"/>
                      <w:iCs w:val="false"/>
                      <w:sz w:val="18"/>
                      <w:szCs w:val="18"/>
                    </w:rPr>
                    <w:t xml:space="preserve">&gt; $1B</w:t>
                  </w:r>
                </w:p>
              </w:tc>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8"/>
                      <w:szCs w:val="18"/>
                    </w:rPr>
                    <w:t xml:space="preserve">$400M – $1B</w:t>
                  </w:r>
                </w:p>
              </w:tc>
              <w:tc>
                <w:tcPr>
                  <w:tcW w:type="dxa" w:w="1700"/>
                  <w:tcBorders>
                    <w:top w:val="single" w:color="CCCCCC" w:sz="4"/>
                    <w:left w:val="single" w:color="CCCCCC" w:sz="4"/>
                    <w:bottom w:val="single" w:color="CCCCCC" w:sz="4"/>
                    <w:right w:val="single" w:color="CCCCCC" w:sz="4"/>
                  </w:tcBorders>
                  <w:shd w:fill="FBEEDA" w:val="clear"/>
                  <w:tcMar>
                    <w:top w:type="dxa" w:w="80"/>
                    <w:left w:type="dxa" w:w="130"/>
                    <w:bottom w:type="dxa" w:w="80"/>
                    <w:right w:type="dxa" w:w="130"/>
                  </w:tcMar>
                  <w:vAlign w:val="top"/>
                </w:tcPr>
                <w:p>
                  <w:pPr>
                    <w:spacing w:after="30"/>
                  </w:pPr>
                  <w:r>
                    <w:rPr>
                      <w:b w:val="false"/>
                      <w:bCs w:val="false"/>
                      <w:i w:val="false"/>
                      <w:iCs w:val="false"/>
                      <w:sz w:val="18"/>
                      <w:szCs w:val="18"/>
                    </w:rPr>
                    <w:t xml:space="preserve">$150M – $400M</w:t>
                  </w:r>
                </w:p>
              </w:tc>
              <w:tc>
                <w:tcPr>
                  <w:tcW w:type="dxa" w:w="266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val="false"/>
                      <w:bCs w:val="false"/>
                      <w:i w:val="false"/>
                      <w:iCs w:val="false"/>
                      <w:sz w:val="18"/>
                      <w:szCs w:val="18"/>
                    </w:rPr>
                    <w:t xml:space="preserve">&lt; $150M</w:t>
                  </w:r>
                </w:p>
              </w:tc>
            </w:tr>
          </w:tbl>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PM interpretation</w:t>
            </w:r>
          </w:p>
        </w:tc>
        <w:tc>
          <w:tcPr>
            <w:tcW w:type="dxa" w:w="6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Capacity matters more for the institutional book than for the individual strategy. A $1B capacity strategy at 0.8 Sharpe can move the firm's PnL needle; a $50M capacity strategy at 1.5 Sharpe cannot. The capacity-to-target-allocation ratio is more useful than the absolute number.</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Allocation implications</w:t>
            </w:r>
          </w:p>
        </w:tc>
        <w:tc>
          <w:tcPr>
            <w:tcW w:type="dxa" w:w="6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Allocation should not exceed 50-60% of stated capacity to leave headroom for AUM growth. Excellent capacity → full target allocation; Poor capacity → strategy joins a small-AUM sleeve, not the main book.</w:t>
            </w:r>
          </w:p>
        </w:tc>
      </w:tr>
    </w:tbl>
    <w:p>
      <w:pPr>
        <w:spacing w:after="100"/>
      </w:pPr>
      <w:r>
        <w:rPr>
          <w:b w:val="false"/>
          <w:bCs w:val="false"/>
          <w:i w:val="false"/>
          <w:iCs w:val="false"/>
          <w:sz w:val="22"/>
          <w:szCs w:val="22"/>
        </w:rPr>
        <w:t xml:space="preserve"/>
      </w:r>
    </w:p>
    <w:p>
      <w:r>
        <w:br w:type="page"/>
      </w:r>
    </w:p>
    <w:p>
      <w:pPr>
        <w:pStyle w:val="Heading2"/>
      </w:pPr>
      <w:r>
        <w:rPr>
          <w:b w:val="false"/>
          <w:bCs w:val="false"/>
          <w:i w:val="false"/>
          <w:iCs w:val="false"/>
          <w:sz w:val="22"/>
          <w:szCs w:val="22"/>
        </w:rPr>
        <w:t xml:space="preserve">1.11 Cost Sensitivity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90"/>
              <w:left w:type="dxa" w:w="140"/>
              <w:bottom w:type="dxa" w:w="90"/>
              <w:right w:type="dxa" w:w="140"/>
            </w:tcMar>
          </w:tcPr>
          <w:p>
            <w:pPr>
              <w:spacing w:after="0"/>
            </w:pPr>
            <w:r>
              <w:rPr>
                <w:b/>
                <w:bCs/>
                <w:i w:val="false"/>
                <w:iCs w:val="false"/>
                <w:color w:val="FFFFFF"/>
                <w:sz w:val="24"/>
                <w:szCs w:val="24"/>
              </w:rPr>
              <w:t xml:space="preserve">Cost Sensitivity</w:t>
            </w:r>
            <w:r>
              <w:rPr>
                <w:b w:val="false"/>
                <w:bCs w:val="false"/>
                <w:i w:val="false"/>
                <w:iCs w:val="false"/>
                <w:color w:val="DDDDDD"/>
                <w:sz w:val="20"/>
                <w:szCs w:val="20"/>
              </w:rPr>
              <w:t xml:space="preserve"/>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Why it matters</w:t>
            </w:r>
          </w:p>
        </w:tc>
        <w:tc>
          <w:tcPr>
            <w:tcW w:type="dxa" w:w="6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Ratio of net Sharpe to gross Sharpe. Measures how much of the strategy's edge survives the realistic execution cost.</w:t>
            </w:r>
          </w:p>
        </w:tc>
      </w:tr>
      <w:tr>
        <w:tc>
          <w:tcPr>
            <w:tcW w:type="dxa" w:w="9360"/>
            <w:gridSpan w:val="2"/>
            <w:tcBorders>
              <w:top w:val="single" w:color="CCCCCC" w:sz="4"/>
              <w:left w:val="single" w:color="CCCCCC" w:sz="4"/>
              <w:bottom w:val="single" w:color="CCCCCC" w:sz="4"/>
              <w:right w:val="single" w:color="CCCCCC" w:sz="4"/>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700"/>
              <w:gridCol w:w="1700"/>
              <w:gridCol w:w="2660"/>
            </w:tblGrid>
            <w:tr>
              <w:trPr>
                <w:tblHeader/>
              </w:trPr>
              <w:tc>
                <w:tcPr>
                  <w:tcW w:type="dxa" w:w="1600"/>
                  <w:tcBorders>
                    <w:top w:val="single" w:color="CCCCCC" w:sz="4"/>
                    <w:left w:val="single" w:color="CCCCCC" w:sz="4"/>
                    <w:bottom w:val="single" w:color="CCCCCC" w:sz="4"/>
                    <w:right w:val="single" w:color="CCCCCC" w:sz="4"/>
                  </w:tcBorders>
                  <w:shd w:fill="1F3A5F" w:val="clear"/>
                  <w:tcMar>
                    <w:top w:type="dxa" w:w="80"/>
                    <w:left w:type="dxa" w:w="130"/>
                    <w:bottom w:type="dxa" w:w="80"/>
                    <w:right w:type="dxa" w:w="130"/>
                  </w:tcMar>
                  <w:vAlign w:val="top"/>
                </w:tcPr>
                <w:p>
                  <w:pPr>
                    <w:spacing w:after="30"/>
                  </w:pPr>
                  <w:r>
                    <w:rPr>
                      <w:b/>
                      <w:bCs/>
                      <w:i w:val="false"/>
                      <w:iCs w:val="false"/>
                      <w:color w:val="FFFFFF"/>
                      <w:sz w:val="18"/>
                      <w:szCs w:val="18"/>
                    </w:rPr>
                    <w:t xml:space="preserve">Tier</w:t>
                  </w:r>
                </w:p>
              </w:tc>
              <w:tc>
                <w:tcPr>
                  <w:tcW w:type="dxa" w:w="17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bCs/>
                      <w:i w:val="false"/>
                      <w:iCs w:val="false"/>
                      <w:color w:val="1B5E20"/>
                      <w:sz w:val="18"/>
                      <w:szCs w:val="18"/>
                    </w:rPr>
                    <w:t xml:space="preserve">Excellent</w:t>
                  </w:r>
                </w:p>
              </w:tc>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bCs/>
                      <w:i w:val="false"/>
                      <w:iCs w:val="false"/>
                      <w:color w:val="1F3A5F"/>
                      <w:sz w:val="18"/>
                      <w:szCs w:val="18"/>
                    </w:rPr>
                    <w:t xml:space="preserve">Good</w:t>
                  </w:r>
                </w:p>
              </w:tc>
              <w:tc>
                <w:tcPr>
                  <w:tcW w:type="dxa" w:w="1700"/>
                  <w:tcBorders>
                    <w:top w:val="single" w:color="CCCCCC" w:sz="4"/>
                    <w:left w:val="single" w:color="CCCCCC" w:sz="4"/>
                    <w:bottom w:val="single" w:color="CCCCCC" w:sz="4"/>
                    <w:right w:val="single" w:color="CCCCCC" w:sz="4"/>
                  </w:tcBorders>
                  <w:shd w:fill="FBEEDA" w:val="clear"/>
                  <w:tcMar>
                    <w:top w:type="dxa" w:w="80"/>
                    <w:left w:type="dxa" w:w="130"/>
                    <w:bottom w:type="dxa" w:w="80"/>
                    <w:right w:type="dxa" w:w="130"/>
                  </w:tcMar>
                  <w:vAlign w:val="top"/>
                </w:tcPr>
                <w:p>
                  <w:pPr>
                    <w:spacing w:after="30"/>
                  </w:pPr>
                  <w:r>
                    <w:rPr>
                      <w:b/>
                      <w:bCs/>
                      <w:i w:val="false"/>
                      <w:iCs w:val="false"/>
                      <w:color w:val="E07A1F"/>
                      <w:sz w:val="18"/>
                      <w:szCs w:val="18"/>
                    </w:rPr>
                    <w:t xml:space="preserve">Acceptable</w:t>
                  </w:r>
                </w:p>
              </w:tc>
              <w:tc>
                <w:tcPr>
                  <w:tcW w:type="dxa" w:w="266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bCs/>
                      <w:i w:val="false"/>
                      <w:iCs w:val="false"/>
                      <w:color w:val="8E2F2F"/>
                      <w:sz w:val="18"/>
                      <w:szCs w:val="18"/>
                    </w:rPr>
                    <w:t xml:space="preserve">Poor</w:t>
                  </w:r>
                </w:p>
              </w:tc>
            </w:tr>
            <w:tr>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bCs/>
                      <w:i w:val="false"/>
                      <w:iCs w:val="false"/>
                      <w:sz w:val="18"/>
                      <w:szCs w:val="18"/>
                    </w:rPr>
                    <w:t xml:space="preserve">Range</w:t>
                  </w:r>
                </w:p>
              </w:tc>
              <w:tc>
                <w:tcPr>
                  <w:tcW w:type="dxa" w:w="17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val="false"/>
                      <w:bCs w:val="false"/>
                      <w:i w:val="false"/>
                      <w:iCs w:val="false"/>
                      <w:sz w:val="18"/>
                      <w:szCs w:val="18"/>
                    </w:rPr>
                    <w:t xml:space="preserve">net &gt; 60% of gross</w:t>
                  </w:r>
                </w:p>
              </w:tc>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8"/>
                      <w:szCs w:val="18"/>
                    </w:rPr>
                    <w:t xml:space="preserve">net 40–60% of gross</w:t>
                  </w:r>
                </w:p>
              </w:tc>
              <w:tc>
                <w:tcPr>
                  <w:tcW w:type="dxa" w:w="1700"/>
                  <w:tcBorders>
                    <w:top w:val="single" w:color="CCCCCC" w:sz="4"/>
                    <w:left w:val="single" w:color="CCCCCC" w:sz="4"/>
                    <w:bottom w:val="single" w:color="CCCCCC" w:sz="4"/>
                    <w:right w:val="single" w:color="CCCCCC" w:sz="4"/>
                  </w:tcBorders>
                  <w:shd w:fill="FBEEDA" w:val="clear"/>
                  <w:tcMar>
                    <w:top w:type="dxa" w:w="80"/>
                    <w:left w:type="dxa" w:w="130"/>
                    <w:bottom w:type="dxa" w:w="80"/>
                    <w:right w:type="dxa" w:w="130"/>
                  </w:tcMar>
                  <w:vAlign w:val="top"/>
                </w:tcPr>
                <w:p>
                  <w:pPr>
                    <w:spacing w:after="30"/>
                  </w:pPr>
                  <w:r>
                    <w:rPr>
                      <w:b w:val="false"/>
                      <w:bCs w:val="false"/>
                      <w:i w:val="false"/>
                      <w:iCs w:val="false"/>
                      <w:sz w:val="18"/>
                      <w:szCs w:val="18"/>
                    </w:rPr>
                    <w:t xml:space="preserve">net 20–40% of gross</w:t>
                  </w:r>
                </w:p>
              </w:tc>
              <w:tc>
                <w:tcPr>
                  <w:tcW w:type="dxa" w:w="266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val="false"/>
                      <w:bCs w:val="false"/>
                      <w:i w:val="false"/>
                      <w:iCs w:val="false"/>
                      <w:sz w:val="18"/>
                      <w:szCs w:val="18"/>
                    </w:rPr>
                    <w:t xml:space="preserve">net &lt; 20% of gross</w:t>
                  </w:r>
                </w:p>
              </w:tc>
            </w:tr>
          </w:tbl>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PM interpretation</w:t>
            </w:r>
          </w:p>
        </w:tc>
        <w:tc>
          <w:tcPr>
            <w:tcW w:type="dxa" w:w="6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Below 40% means the strategy is paying away most of its alpha. Such strategies are vulnerable to small changes in market structure (tick-size reform, payment-for-order-flow rules, etc.). Above 60% means there is operational headroom for slippage and impact.</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Allocation implications</w:t>
            </w:r>
          </w:p>
        </w:tc>
        <w:tc>
          <w:tcPr>
            <w:tcW w:type="dxa" w:w="6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Cost-resilient strategies (Excellent/Good) get full allocation. Cost-fragile strategies (Acceptable/Poor) get capped allocation and are paired with execution-desk attention to fill quality and slippage monitoring.</w:t>
            </w:r>
          </w:p>
        </w:tc>
      </w:tr>
    </w:tbl>
    <w:p>
      <w:pPr>
        <w:spacing w:after="100"/>
      </w:pPr>
      <w:r>
        <w:rPr>
          <w:b w:val="false"/>
          <w:bCs w:val="false"/>
          <w:i w:val="false"/>
          <w:iCs w:val="false"/>
          <w:sz w:val="22"/>
          <w:szCs w:val="22"/>
        </w:rPr>
        <w:t xml:space="preserve"/>
      </w:r>
    </w:p>
    <w:p>
      <w:pPr>
        <w:pStyle w:val="Heading2"/>
      </w:pPr>
      <w:r>
        <w:rPr>
          <w:b w:val="false"/>
          <w:bCs w:val="false"/>
          <w:i w:val="false"/>
          <w:iCs w:val="false"/>
          <w:sz w:val="22"/>
          <w:szCs w:val="22"/>
        </w:rPr>
        <w:t xml:space="preserve">1.12 Rolling Sharpe Stability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90"/>
              <w:left w:type="dxa" w:w="140"/>
              <w:bottom w:type="dxa" w:w="90"/>
              <w:right w:type="dxa" w:w="140"/>
            </w:tcMar>
          </w:tcPr>
          <w:p>
            <w:pPr>
              <w:spacing w:after="0"/>
            </w:pPr>
            <w:r>
              <w:rPr>
                <w:b/>
                <w:bCs/>
                <w:i w:val="false"/>
                <w:iCs w:val="false"/>
                <w:color w:val="FFFFFF"/>
                <w:sz w:val="24"/>
                <w:szCs w:val="24"/>
              </w:rPr>
              <w:t xml:space="preserve">Rolling 252-day Sharpe</w:t>
            </w:r>
            <w:r>
              <w:rPr>
                <w:b w:val="false"/>
                <w:bCs w:val="false"/>
                <w:i w:val="false"/>
                <w:iCs w:val="false"/>
                <w:color w:val="DDDDDD"/>
                <w:sz w:val="20"/>
                <w:szCs w:val="20"/>
              </w:rPr>
              <w:t xml:space="preserve"/>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Why it matters</w:t>
            </w:r>
          </w:p>
        </w:tc>
        <w:tc>
          <w:tcPr>
            <w:tcW w:type="dxa" w:w="6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Fraction of 252-day windows with Sharpe &gt; 0. Measures whether the strategy's edge is consistent across time or episodic.</w:t>
            </w:r>
          </w:p>
        </w:tc>
      </w:tr>
      <w:tr>
        <w:tc>
          <w:tcPr>
            <w:tcW w:type="dxa" w:w="9360"/>
            <w:gridSpan w:val="2"/>
            <w:tcBorders>
              <w:top w:val="single" w:color="CCCCCC" w:sz="4"/>
              <w:left w:val="single" w:color="CCCCCC" w:sz="4"/>
              <w:bottom w:val="single" w:color="CCCCCC" w:sz="4"/>
              <w:right w:val="single" w:color="CCCCCC" w:sz="4"/>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700"/>
              <w:gridCol w:w="1700"/>
              <w:gridCol w:w="2660"/>
            </w:tblGrid>
            <w:tr>
              <w:trPr>
                <w:tblHeader/>
              </w:trPr>
              <w:tc>
                <w:tcPr>
                  <w:tcW w:type="dxa" w:w="1600"/>
                  <w:tcBorders>
                    <w:top w:val="single" w:color="CCCCCC" w:sz="4"/>
                    <w:left w:val="single" w:color="CCCCCC" w:sz="4"/>
                    <w:bottom w:val="single" w:color="CCCCCC" w:sz="4"/>
                    <w:right w:val="single" w:color="CCCCCC" w:sz="4"/>
                  </w:tcBorders>
                  <w:shd w:fill="1F3A5F" w:val="clear"/>
                  <w:tcMar>
                    <w:top w:type="dxa" w:w="80"/>
                    <w:left w:type="dxa" w:w="130"/>
                    <w:bottom w:type="dxa" w:w="80"/>
                    <w:right w:type="dxa" w:w="130"/>
                  </w:tcMar>
                  <w:vAlign w:val="top"/>
                </w:tcPr>
                <w:p>
                  <w:pPr>
                    <w:spacing w:after="30"/>
                  </w:pPr>
                  <w:r>
                    <w:rPr>
                      <w:b/>
                      <w:bCs/>
                      <w:i w:val="false"/>
                      <w:iCs w:val="false"/>
                      <w:color w:val="FFFFFF"/>
                      <w:sz w:val="18"/>
                      <w:szCs w:val="18"/>
                    </w:rPr>
                    <w:t xml:space="preserve">Tier</w:t>
                  </w:r>
                </w:p>
              </w:tc>
              <w:tc>
                <w:tcPr>
                  <w:tcW w:type="dxa" w:w="17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bCs/>
                      <w:i w:val="false"/>
                      <w:iCs w:val="false"/>
                      <w:color w:val="1B5E20"/>
                      <w:sz w:val="18"/>
                      <w:szCs w:val="18"/>
                    </w:rPr>
                    <w:t xml:space="preserve">Excellent</w:t>
                  </w:r>
                </w:p>
              </w:tc>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bCs/>
                      <w:i w:val="false"/>
                      <w:iCs w:val="false"/>
                      <w:color w:val="1F3A5F"/>
                      <w:sz w:val="18"/>
                      <w:szCs w:val="18"/>
                    </w:rPr>
                    <w:t xml:space="preserve">Good</w:t>
                  </w:r>
                </w:p>
              </w:tc>
              <w:tc>
                <w:tcPr>
                  <w:tcW w:type="dxa" w:w="1700"/>
                  <w:tcBorders>
                    <w:top w:val="single" w:color="CCCCCC" w:sz="4"/>
                    <w:left w:val="single" w:color="CCCCCC" w:sz="4"/>
                    <w:bottom w:val="single" w:color="CCCCCC" w:sz="4"/>
                    <w:right w:val="single" w:color="CCCCCC" w:sz="4"/>
                  </w:tcBorders>
                  <w:shd w:fill="FBEEDA" w:val="clear"/>
                  <w:tcMar>
                    <w:top w:type="dxa" w:w="80"/>
                    <w:left w:type="dxa" w:w="130"/>
                    <w:bottom w:type="dxa" w:w="80"/>
                    <w:right w:type="dxa" w:w="130"/>
                  </w:tcMar>
                  <w:vAlign w:val="top"/>
                </w:tcPr>
                <w:p>
                  <w:pPr>
                    <w:spacing w:after="30"/>
                  </w:pPr>
                  <w:r>
                    <w:rPr>
                      <w:b/>
                      <w:bCs/>
                      <w:i w:val="false"/>
                      <w:iCs w:val="false"/>
                      <w:color w:val="E07A1F"/>
                      <w:sz w:val="18"/>
                      <w:szCs w:val="18"/>
                    </w:rPr>
                    <w:t xml:space="preserve">Acceptable</w:t>
                  </w:r>
                </w:p>
              </w:tc>
              <w:tc>
                <w:tcPr>
                  <w:tcW w:type="dxa" w:w="266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bCs/>
                      <w:i w:val="false"/>
                      <w:iCs w:val="false"/>
                      <w:color w:val="8E2F2F"/>
                      <w:sz w:val="18"/>
                      <w:szCs w:val="18"/>
                    </w:rPr>
                    <w:t xml:space="preserve">Poor</w:t>
                  </w:r>
                </w:p>
              </w:tc>
            </w:tr>
            <w:tr>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bCs/>
                      <w:i w:val="false"/>
                      <w:iCs w:val="false"/>
                      <w:sz w:val="18"/>
                      <w:szCs w:val="18"/>
                    </w:rPr>
                    <w:t xml:space="preserve">Range</w:t>
                  </w:r>
                </w:p>
              </w:tc>
              <w:tc>
                <w:tcPr>
                  <w:tcW w:type="dxa" w:w="17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val="false"/>
                      <w:bCs w:val="false"/>
                      <w:i w:val="false"/>
                      <w:iCs w:val="false"/>
                      <w:sz w:val="18"/>
                      <w:szCs w:val="18"/>
                    </w:rPr>
                    <w:t xml:space="preserve">&gt; 80% positive windows</w:t>
                  </w:r>
                </w:p>
              </w:tc>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8"/>
                      <w:szCs w:val="18"/>
                    </w:rPr>
                    <w:t xml:space="preserve">65–80%</w:t>
                  </w:r>
                </w:p>
              </w:tc>
              <w:tc>
                <w:tcPr>
                  <w:tcW w:type="dxa" w:w="1700"/>
                  <w:tcBorders>
                    <w:top w:val="single" w:color="CCCCCC" w:sz="4"/>
                    <w:left w:val="single" w:color="CCCCCC" w:sz="4"/>
                    <w:bottom w:val="single" w:color="CCCCCC" w:sz="4"/>
                    <w:right w:val="single" w:color="CCCCCC" w:sz="4"/>
                  </w:tcBorders>
                  <w:shd w:fill="FBEEDA" w:val="clear"/>
                  <w:tcMar>
                    <w:top w:type="dxa" w:w="80"/>
                    <w:left w:type="dxa" w:w="130"/>
                    <w:bottom w:type="dxa" w:w="80"/>
                    <w:right w:type="dxa" w:w="130"/>
                  </w:tcMar>
                  <w:vAlign w:val="top"/>
                </w:tcPr>
                <w:p>
                  <w:pPr>
                    <w:spacing w:after="30"/>
                  </w:pPr>
                  <w:r>
                    <w:rPr>
                      <w:b w:val="false"/>
                      <w:bCs w:val="false"/>
                      <w:i w:val="false"/>
                      <w:iCs w:val="false"/>
                      <w:sz w:val="18"/>
                      <w:szCs w:val="18"/>
                    </w:rPr>
                    <w:t xml:space="preserve">50–65%</w:t>
                  </w:r>
                </w:p>
              </w:tc>
              <w:tc>
                <w:tcPr>
                  <w:tcW w:type="dxa" w:w="266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val="false"/>
                      <w:bCs w:val="false"/>
                      <w:i w:val="false"/>
                      <w:iCs w:val="false"/>
                      <w:sz w:val="18"/>
                      <w:szCs w:val="18"/>
                    </w:rPr>
                    <w:t xml:space="preserve">&lt; 50%</w:t>
                  </w:r>
                </w:p>
              </w:tc>
            </w:tr>
          </w:tbl>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PM interpretation</w:t>
            </w:r>
          </w:p>
        </w:tc>
        <w:tc>
          <w:tcPr>
            <w:tcW w:type="dxa" w:w="6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strategy with full-sample Sharpe of 1.0 but only 55% positive rolling windows is harder to allocate to than one with Sharpe of 0.8 and 90% positive windows. The investor cares about expected experience over a 1-year holding period, not the full-sample average.</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Allocation implications</w:t>
            </w:r>
          </w:p>
        </w:tc>
        <w:tc>
          <w:tcPr>
            <w:tcW w:type="dxa" w:w="6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Stable rolling Sharpe → larger allocation. Episodic rolling Sharpe → keep allocation small and disclose regime sensitivity. The fund cannot easily explain a 14-month negative window to its own LPs; strategies that produce them must compensate via clear structural mechanism.</w:t>
            </w:r>
          </w:p>
        </w:tc>
      </w:tr>
    </w:tbl>
    <w:p>
      <w:r>
        <w:br w:type="page"/>
      </w:r>
    </w:p>
    <w:p>
      <w:pPr>
        <w:pStyle w:val="Heading1"/>
      </w:pPr>
      <w:r>
        <w:rPr>
          <w:b w:val="false"/>
          <w:bCs w:val="false"/>
          <w:i w:val="false"/>
          <w:iCs w:val="false"/>
          <w:sz w:val="22"/>
          <w:szCs w:val="22"/>
        </w:rPr>
        <w:t xml:space="preserve">2. Research Continue vs Stop Criteria</w:t>
      </w:r>
    </w:p>
    <w:p>
      <w:pPr>
        <w:spacing w:after="100"/>
      </w:pPr>
      <w:r>
        <w:rPr>
          <w:b w:val="false"/>
          <w:bCs w:val="false"/>
          <w:i w:val="false"/>
          <w:iCs w:val="false"/>
          <w:sz w:val="22"/>
          <w:szCs w:val="22"/>
        </w:rPr>
        <w:t xml:space="preserve">These criteria are evaluated at the end of the formal research program and again at each subsequent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1F3A5F" w:val="clear"/>
            <w:tcMar>
              <w:top w:type="dxa" w:w="80"/>
              <w:left w:type="dxa" w:w="130"/>
              <w:bottom w:type="dxa" w:w="80"/>
              <w:right w:type="dxa" w:w="130"/>
            </w:tcMar>
            <w:vAlign w:val="top"/>
          </w:tcPr>
          <w:p>
            <w:pPr>
              <w:spacing w:after="30"/>
            </w:pPr>
            <w:r>
              <w:rPr>
                <w:b/>
                <w:bCs/>
                <w:i w:val="false"/>
                <w:iCs w:val="false"/>
                <w:color w:val="FFFFFF"/>
                <w:sz w:val="18"/>
                <w:szCs w:val="18"/>
              </w:rPr>
              <w:t xml:space="preserve">Decision</w:t>
            </w:r>
          </w:p>
        </w:tc>
        <w:tc>
          <w:tcPr>
            <w:tcW w:type="dxa" w:w="6360"/>
            <w:tcBorders>
              <w:top w:val="single" w:color="CCCCCC" w:sz="4"/>
              <w:left w:val="single" w:color="CCCCCC" w:sz="4"/>
              <w:bottom w:val="single" w:color="CCCCCC" w:sz="4"/>
              <w:right w:val="single" w:color="CCCCCC" w:sz="4"/>
            </w:tcBorders>
            <w:shd w:fill="1F3A5F" w:val="clear"/>
            <w:tcMar>
              <w:top w:type="dxa" w:w="80"/>
              <w:left w:type="dxa" w:w="130"/>
              <w:bottom w:type="dxa" w:w="80"/>
              <w:right w:type="dxa" w:w="130"/>
            </w:tcMar>
            <w:vAlign w:val="top"/>
          </w:tcPr>
          <w:p>
            <w:pPr>
              <w:spacing w:after="30"/>
            </w:pPr>
            <w:r>
              <w:rPr>
                <w:b/>
                <w:bCs/>
                <w:i w:val="false"/>
                <w:iCs w:val="false"/>
                <w:color w:val="FFFFFF"/>
                <w:sz w:val="18"/>
                <w:szCs w:val="18"/>
              </w:rPr>
              <w:t xml:space="preserve">All conditions must hold</w:t>
            </w:r>
          </w:p>
        </w:tc>
      </w:tr>
      <w:tr>
        <w:tc>
          <w:tcPr>
            <w:tcW w:type="dxa" w:w="30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bCs/>
                <w:i w:val="false"/>
                <w:iCs w:val="false"/>
                <w:color w:val="1B5E20"/>
                <w:sz w:val="20"/>
                <w:szCs w:val="20"/>
              </w:rPr>
              <w:t xml:space="preserve">CONTINUE — progress to production</w:t>
            </w:r>
          </w:p>
        </w:tc>
        <w:tc>
          <w:tcPr>
            <w:tcW w:type="dxa" w:w="63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pStyle w:val="ListParagraph"/>
              <w:numPr>
                <w:ilvl w:val="0"/>
                <w:numId w:val="2"/>
              </w:numPr>
              <w:spacing w:after="60"/>
            </w:pPr>
            <w:r>
              <w:rPr>
                <w:b w:val="false"/>
                <w:bCs w:val="false"/>
                <w:i w:val="false"/>
                <w:iCs w:val="false"/>
                <w:sz w:val="22"/>
                <w:szCs w:val="22"/>
              </w:rPr>
              <w:t xml:space="preserve">Net Sharpe (full sample) ≥ 0.7 after calibrated costs.</w:t>
            </w:r>
          </w:p>
          <w:p>
            <w:pPr>
              <w:pStyle w:val="ListParagraph"/>
              <w:numPr>
                <w:ilvl w:val="0"/>
                <w:numId w:val="2"/>
              </w:numPr>
              <w:spacing w:after="60"/>
            </w:pPr>
            <w:r>
              <w:rPr>
                <w:b w:val="false"/>
                <w:bCs w:val="false"/>
                <w:i w:val="false"/>
                <w:iCs w:val="false"/>
                <w:sz w:val="22"/>
                <w:szCs w:val="22"/>
              </w:rPr>
              <w:t xml:space="preserve">Pre-registered hypothesis test rejects H0 with multiple-comparison correction.</w:t>
            </w:r>
          </w:p>
          <w:p>
            <w:pPr>
              <w:pStyle w:val="ListParagraph"/>
              <w:numPr>
                <w:ilvl w:val="0"/>
                <w:numId w:val="2"/>
              </w:numPr>
              <w:spacing w:after="60"/>
            </w:pPr>
            <w:r>
              <w:rPr>
                <w:b w:val="false"/>
                <w:bCs w:val="false"/>
                <w:i w:val="false"/>
                <w:iCs w:val="false"/>
                <w:sz w:val="22"/>
                <w:szCs w:val="22"/>
              </w:rPr>
              <w:t xml:space="preserve">Robustness scorecard: ≥ 5 of 6 tests passing.</w:t>
            </w:r>
          </w:p>
          <w:p>
            <w:pPr>
              <w:pStyle w:val="ListParagraph"/>
              <w:numPr>
                <w:ilvl w:val="0"/>
                <w:numId w:val="2"/>
              </w:numPr>
              <w:spacing w:after="60"/>
            </w:pPr>
            <w:r>
              <w:rPr>
                <w:b w:val="false"/>
                <w:bCs w:val="false"/>
                <w:i w:val="false"/>
                <w:iCs w:val="false"/>
                <w:sz w:val="22"/>
                <w:szCs w:val="22"/>
              </w:rPr>
              <w:t xml:space="preserve">Capacity at Sharpe ≥ 0.5 net is at least $200M.</w:t>
            </w:r>
          </w:p>
          <w:p>
            <w:pPr>
              <w:pStyle w:val="ListParagraph"/>
              <w:numPr>
                <w:ilvl w:val="0"/>
                <w:numId w:val="2"/>
              </w:numPr>
              <w:spacing w:after="60"/>
            </w:pPr>
            <w:r>
              <w:rPr>
                <w:b w:val="false"/>
                <w:bCs w:val="false"/>
                <w:i w:val="false"/>
                <w:iCs w:val="false"/>
                <w:sz w:val="22"/>
                <w:szCs w:val="22"/>
              </w:rPr>
              <w:t xml:space="preserve">Effect present in ≥ 7 of 11 GICS sectors.</w:t>
            </w:r>
          </w:p>
          <w:p>
            <w:pPr>
              <w:pStyle w:val="ListParagraph"/>
              <w:numPr>
                <w:ilvl w:val="0"/>
                <w:numId w:val="2"/>
              </w:numPr>
              <w:spacing w:after="60"/>
            </w:pPr>
            <w:r>
              <w:rPr>
                <w:b w:val="false"/>
                <w:bCs w:val="false"/>
                <w:i w:val="false"/>
                <w:iCs w:val="false"/>
                <w:sz w:val="22"/>
                <w:szCs w:val="22"/>
              </w:rPr>
              <w:t xml:space="preserve">Sub-period IRs within 50% of each other.</w:t>
            </w:r>
          </w:p>
        </w:tc>
      </w:tr>
      <w:tr>
        <w:tc>
          <w:tcPr>
            <w:tcW w:type="dxa" w:w="3000"/>
            <w:tcBorders>
              <w:top w:val="single" w:color="CCCCCC" w:sz="4"/>
              <w:left w:val="single" w:color="CCCCCC" w:sz="4"/>
              <w:bottom w:val="single" w:color="CCCCCC" w:sz="4"/>
              <w:right w:val="single" w:color="CCCCCC" w:sz="4"/>
            </w:tcBorders>
            <w:shd w:fill="FBEEDA" w:val="clear"/>
            <w:tcMar>
              <w:top w:type="dxa" w:w="80"/>
              <w:left w:type="dxa" w:w="130"/>
              <w:bottom w:type="dxa" w:w="80"/>
              <w:right w:type="dxa" w:w="130"/>
            </w:tcMar>
            <w:vAlign w:val="top"/>
          </w:tcPr>
          <w:p>
            <w:pPr>
              <w:spacing w:after="30"/>
            </w:pPr>
            <w:r>
              <w:rPr>
                <w:b/>
                <w:bCs/>
                <w:i w:val="false"/>
                <w:iCs w:val="false"/>
                <w:color w:val="E07A1F"/>
                <w:sz w:val="20"/>
                <w:szCs w:val="20"/>
              </w:rPr>
              <w:t xml:space="preserve">CONDITIONAL — re-scope before progressing</w:t>
            </w:r>
          </w:p>
        </w:tc>
        <w:tc>
          <w:tcPr>
            <w:tcW w:type="dxa" w:w="63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pStyle w:val="ListParagraph"/>
              <w:numPr>
                <w:ilvl w:val="0"/>
                <w:numId w:val="2"/>
              </w:numPr>
              <w:spacing w:after="60"/>
            </w:pPr>
            <w:r>
              <w:rPr>
                <w:b w:val="false"/>
                <w:bCs w:val="false"/>
                <w:i w:val="false"/>
                <w:iCs w:val="false"/>
                <w:sz w:val="22"/>
                <w:szCs w:val="22"/>
              </w:rPr>
              <w:t xml:space="preserve">3 of 6 robustness tests passing → re-scope universe or horizon to the surviving subset.</w:t>
            </w:r>
          </w:p>
          <w:p>
            <w:pPr>
              <w:pStyle w:val="ListParagraph"/>
              <w:numPr>
                <w:ilvl w:val="0"/>
                <w:numId w:val="2"/>
              </w:numPr>
              <w:spacing w:after="60"/>
            </w:pPr>
            <w:r>
              <w:rPr>
                <w:b w:val="false"/>
                <w:bCs w:val="false"/>
                <w:i w:val="false"/>
                <w:iCs w:val="false"/>
                <w:sz w:val="22"/>
                <w:szCs w:val="22"/>
              </w:rPr>
              <w:t xml:space="preserve">Capacity between $100M and $200M → re-scope to a small-AUM sleeve.</w:t>
            </w:r>
          </w:p>
          <w:p>
            <w:pPr>
              <w:pStyle w:val="ListParagraph"/>
              <w:numPr>
                <w:ilvl w:val="0"/>
                <w:numId w:val="2"/>
              </w:numPr>
              <w:spacing w:after="60"/>
            </w:pPr>
            <w:r>
              <w:rPr>
                <w:b w:val="false"/>
                <w:bCs w:val="false"/>
                <w:i w:val="false"/>
                <w:iCs w:val="false"/>
                <w:sz w:val="22"/>
                <w:szCs w:val="22"/>
              </w:rPr>
              <w:t xml:space="preserve">Effect concentrated in 4-6 sectors → run a sector-conditional version and re-test.</w:t>
            </w:r>
          </w:p>
          <w:p>
            <w:pPr>
              <w:pStyle w:val="ListParagraph"/>
              <w:numPr>
                <w:ilvl w:val="0"/>
                <w:numId w:val="2"/>
              </w:numPr>
              <w:spacing w:after="60"/>
            </w:pPr>
            <w:r>
              <w:rPr>
                <w:b w:val="false"/>
                <w:bCs w:val="false"/>
                <w:i w:val="false"/>
                <w:iCs w:val="false"/>
                <w:sz w:val="22"/>
                <w:szCs w:val="22"/>
              </w:rPr>
              <w:t xml:space="preserve">Net Sharpe 0.4-0.7 → request additional research budget for cost-reduction work.</w:t>
            </w:r>
          </w:p>
        </w:tc>
      </w:tr>
      <w:tr>
        <w:tc>
          <w:tcPr>
            <w:tcW w:type="dxa" w:w="300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bCs/>
                <w:i w:val="false"/>
                <w:iCs w:val="false"/>
                <w:color w:val="8E2F2F"/>
                <w:sz w:val="20"/>
                <w:szCs w:val="20"/>
              </w:rPr>
              <w:t xml:space="preserve">STOP — terminate the research</w:t>
            </w:r>
          </w:p>
        </w:tc>
        <w:tc>
          <w:tcPr>
            <w:tcW w:type="dxa" w:w="63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pStyle w:val="ListParagraph"/>
              <w:numPr>
                <w:ilvl w:val="0"/>
                <w:numId w:val="2"/>
              </w:numPr>
              <w:spacing w:after="60"/>
            </w:pPr>
            <w:r>
              <w:rPr>
                <w:b w:val="false"/>
                <w:bCs w:val="false"/>
                <w:i w:val="false"/>
                <w:iCs w:val="false"/>
                <w:sz w:val="22"/>
                <w:szCs w:val="22"/>
              </w:rPr>
              <w:t xml:space="preserve">Net Sharpe &lt; 0.3 after costs across the full sample.</w:t>
            </w:r>
          </w:p>
          <w:p>
            <w:pPr>
              <w:pStyle w:val="ListParagraph"/>
              <w:numPr>
                <w:ilvl w:val="0"/>
                <w:numId w:val="2"/>
              </w:numPr>
              <w:spacing w:after="60"/>
            </w:pPr>
            <w:r>
              <w:rPr>
                <w:b w:val="false"/>
                <w:bCs w:val="false"/>
                <w:i w:val="false"/>
                <w:iCs w:val="false"/>
                <w:sz w:val="22"/>
                <w:szCs w:val="22"/>
              </w:rPr>
              <w:t xml:space="preserve">Hypothesis test fails to reject H0 after corrections.</w:t>
            </w:r>
          </w:p>
          <w:p>
            <w:pPr>
              <w:pStyle w:val="ListParagraph"/>
              <w:numPr>
                <w:ilvl w:val="0"/>
                <w:numId w:val="2"/>
              </w:numPr>
              <w:spacing w:after="60"/>
            </w:pPr>
            <w:r>
              <w:rPr>
                <w:b w:val="false"/>
                <w:bCs w:val="false"/>
                <w:i w:val="false"/>
                <w:iCs w:val="false"/>
                <w:sz w:val="22"/>
                <w:szCs w:val="22"/>
              </w:rPr>
              <w:t xml:space="preserve">≥ 4 of 6 robustness tests failing.</w:t>
            </w:r>
          </w:p>
          <w:p>
            <w:pPr>
              <w:pStyle w:val="ListParagraph"/>
              <w:numPr>
                <w:ilvl w:val="0"/>
                <w:numId w:val="2"/>
              </w:numPr>
              <w:spacing w:after="60"/>
            </w:pPr>
            <w:r>
              <w:rPr>
                <w:b w:val="false"/>
                <w:bCs w:val="false"/>
                <w:i w:val="false"/>
                <w:iCs w:val="false"/>
                <w:sz w:val="22"/>
                <w:szCs w:val="22"/>
              </w:rPr>
              <w:t xml:space="preserve">Capacity below $100M.</w:t>
            </w:r>
          </w:p>
          <w:p>
            <w:pPr>
              <w:pStyle w:val="ListParagraph"/>
              <w:numPr>
                <w:ilvl w:val="0"/>
                <w:numId w:val="2"/>
              </w:numPr>
              <w:spacing w:after="60"/>
            </w:pPr>
            <w:r>
              <w:rPr>
                <w:b w:val="false"/>
                <w:bCs w:val="false"/>
                <w:i w:val="false"/>
                <w:iCs w:val="false"/>
                <w:sz w:val="22"/>
                <w:szCs w:val="22"/>
              </w:rPr>
              <w:t xml:space="preserve">Effect concentrated in fewer than 3 sectors.</w:t>
            </w:r>
          </w:p>
          <w:p>
            <w:pPr>
              <w:pStyle w:val="ListParagraph"/>
              <w:numPr>
                <w:ilvl w:val="0"/>
                <w:numId w:val="2"/>
              </w:numPr>
              <w:spacing w:after="60"/>
            </w:pPr>
            <w:r>
              <w:rPr>
                <w:b w:val="false"/>
                <w:bCs w:val="false"/>
                <w:i w:val="false"/>
                <w:iCs w:val="false"/>
                <w:sz w:val="22"/>
                <w:szCs w:val="22"/>
              </w:rPr>
              <w:t xml:space="preserve">First-half Sharpe and second-half Sharpe of opposite sign with no documented regime explanation.</w:t>
            </w:r>
          </w:p>
        </w:tc>
      </w:tr>
    </w:tbl>
    <w:p>
      <w:r>
        <w:br w:type="page"/>
      </w:r>
    </w:p>
    <w:p>
      <w:pPr>
        <w:pStyle w:val="Heading1"/>
      </w:pPr>
      <w:r>
        <w:rPr>
          <w:b w:val="false"/>
          <w:bCs w:val="false"/>
          <w:i w:val="false"/>
          <w:iCs w:val="false"/>
          <w:sz w:val="22"/>
          <w:szCs w:val="22"/>
        </w:rPr>
        <w:t xml:space="preserve">3. Capital Allocation Tiers</w:t>
      </w:r>
    </w:p>
    <w:p>
      <w:pPr>
        <w:spacing w:after="100"/>
      </w:pPr>
      <w:r>
        <w:rPr>
          <w:b w:val="false"/>
          <w:bCs w:val="false"/>
          <w:i w:val="false"/>
          <w:iCs w:val="false"/>
          <w:sz w:val="22"/>
          <w:szCs w:val="22"/>
        </w:rPr>
        <w:t xml:space="preserve">The strategy is sized through three tiers. Movement between tiers requires explicit IC approval. Drawdowns of pre-defined magnitudes automatically downsize to the prior tier without requiring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CCCCC" w:sz="4"/>
              <w:left w:val="single" w:color="CCCCCC" w:sz="4"/>
              <w:bottom w:val="single" w:color="CCCCCC" w:sz="4"/>
              <w:right w:val="single" w:color="CCCCCC" w:sz="4"/>
            </w:tcBorders>
            <w:shd w:fill="1F3A5F" w:val="clear"/>
            <w:tcMar>
              <w:top w:type="dxa" w:w="80"/>
              <w:left w:type="dxa" w:w="130"/>
              <w:bottom w:type="dxa" w:w="80"/>
              <w:right w:type="dxa" w:w="130"/>
            </w:tcMar>
            <w:vAlign w:val="top"/>
          </w:tcPr>
          <w:p>
            <w:pPr>
              <w:spacing w:after="30"/>
            </w:pPr>
            <w:r>
              <w:rPr>
                <w:b/>
                <w:bCs/>
                <w:i w:val="false"/>
                <w:iCs w:val="false"/>
                <w:color w:val="FFFFFF"/>
                <w:sz w:val="18"/>
                <w:szCs w:val="18"/>
              </w:rPr>
              <w:t xml:space="preserve">Tier</w:t>
            </w:r>
          </w:p>
        </w:tc>
        <w:tc>
          <w:tcPr>
            <w:tcW w:type="dxa" w:w="1800"/>
            <w:tcBorders>
              <w:top w:val="single" w:color="CCCCCC" w:sz="4"/>
              <w:left w:val="single" w:color="CCCCCC" w:sz="4"/>
              <w:bottom w:val="single" w:color="CCCCCC" w:sz="4"/>
              <w:right w:val="single" w:color="CCCCCC" w:sz="4"/>
            </w:tcBorders>
            <w:shd w:fill="1F3A5F" w:val="clear"/>
            <w:tcMar>
              <w:top w:type="dxa" w:w="80"/>
              <w:left w:type="dxa" w:w="130"/>
              <w:bottom w:type="dxa" w:w="80"/>
              <w:right w:type="dxa" w:w="130"/>
            </w:tcMar>
            <w:vAlign w:val="top"/>
          </w:tcPr>
          <w:p>
            <w:pPr>
              <w:spacing w:after="30"/>
            </w:pPr>
            <w:r>
              <w:rPr>
                <w:b/>
                <w:bCs/>
                <w:i w:val="false"/>
                <w:iCs w:val="false"/>
                <w:color w:val="FFFFFF"/>
                <w:sz w:val="18"/>
                <w:szCs w:val="18"/>
              </w:rPr>
              <w:t xml:space="preserve">AUM range</w:t>
            </w:r>
          </w:p>
        </w:tc>
        <w:tc>
          <w:tcPr>
            <w:tcW w:type="dxa" w:w="5760"/>
            <w:tcBorders>
              <w:top w:val="single" w:color="CCCCCC" w:sz="4"/>
              <w:left w:val="single" w:color="CCCCCC" w:sz="4"/>
              <w:bottom w:val="single" w:color="CCCCCC" w:sz="4"/>
              <w:right w:val="single" w:color="CCCCCC" w:sz="4"/>
            </w:tcBorders>
            <w:shd w:fill="1F3A5F" w:val="clear"/>
            <w:tcMar>
              <w:top w:type="dxa" w:w="80"/>
              <w:left w:type="dxa" w:w="130"/>
              <w:bottom w:type="dxa" w:w="80"/>
              <w:right w:type="dxa" w:w="130"/>
            </w:tcMar>
            <w:vAlign w:val="top"/>
          </w:tcPr>
          <w:p>
            <w:pPr>
              <w:spacing w:after="30"/>
            </w:pPr>
            <w:r>
              <w:rPr>
                <w:b/>
                <w:bCs/>
                <w:i w:val="false"/>
                <w:iCs w:val="false"/>
                <w:color w:val="FFFFFF"/>
                <w:sz w:val="18"/>
                <w:szCs w:val="18"/>
              </w:rPr>
              <w:t xml:space="preserve">Criteria &amp; gates</w:t>
            </w:r>
          </w:p>
        </w:tc>
      </w:tr>
      <w:tr>
        <w:tc>
          <w:tcPr>
            <w:tcW w:type="dxa" w:w="18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20"/>
                <w:szCs w:val="20"/>
              </w:rPr>
              <w:t xml:space="preserve">SMALL</w:t>
            </w:r>
          </w:p>
        </w:tc>
        <w:tc>
          <w:tcPr>
            <w:tcW w:type="dxa" w:w="18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val="false"/>
                <w:bCs w:val="false"/>
                <w:i w:val="false"/>
                <w:iCs w:val="false"/>
                <w:sz w:val="20"/>
                <w:szCs w:val="20"/>
              </w:rPr>
              <w:t xml:space="preserve">$25 – $100M</w:t>
            </w:r>
          </w:p>
        </w:tc>
        <w:tc>
          <w:tcPr>
            <w:tcW w:type="dxa" w:w="57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pStyle w:val="ListParagraph"/>
              <w:numPr>
                <w:ilvl w:val="0"/>
                <w:numId w:val="2"/>
              </w:numPr>
              <w:spacing w:after="60"/>
            </w:pPr>
            <w:r>
              <w:rPr>
                <w:b w:val="false"/>
                <w:bCs w:val="false"/>
                <w:i w:val="false"/>
                <w:iCs w:val="false"/>
                <w:sz w:val="22"/>
                <w:szCs w:val="22"/>
              </w:rPr>
              <w:t xml:space="preserve">Entry: paper trade IR ≥ 0.5 over 60 days post-research approval.</w:t>
            </w:r>
          </w:p>
          <w:p>
            <w:pPr>
              <w:pStyle w:val="ListParagraph"/>
              <w:numPr>
                <w:ilvl w:val="0"/>
                <w:numId w:val="2"/>
              </w:numPr>
              <w:spacing w:after="60"/>
            </w:pPr>
            <w:r>
              <w:rPr>
                <w:b w:val="false"/>
                <w:bCs w:val="false"/>
                <w:i w:val="false"/>
                <w:iCs w:val="false"/>
                <w:sz w:val="22"/>
                <w:szCs w:val="22"/>
              </w:rPr>
              <w:t xml:space="preserve">Use: production seasoning. Live-vs-backtest decay watch. 90-day milestone.</w:t>
            </w:r>
          </w:p>
          <w:p>
            <w:pPr>
              <w:pStyle w:val="ListParagraph"/>
              <w:numPr>
                <w:ilvl w:val="0"/>
                <w:numId w:val="2"/>
              </w:numPr>
              <w:spacing w:after="60"/>
            </w:pPr>
            <w:r>
              <w:rPr>
                <w:b w:val="false"/>
                <w:bCs w:val="false"/>
                <w:i w:val="false"/>
                <w:iCs w:val="false"/>
                <w:sz w:val="22"/>
                <w:szCs w:val="22"/>
              </w:rPr>
              <w:t xml:space="preserve">Promotion to MEDIUM: 90-day net Sharpe ≥ 0.7; live decay &lt; 30% of backtest.</w:t>
            </w:r>
          </w:p>
          <w:p>
            <w:pPr>
              <w:pStyle w:val="ListParagraph"/>
              <w:numPr>
                <w:ilvl w:val="0"/>
                <w:numId w:val="2"/>
              </w:numPr>
              <w:spacing w:after="60"/>
            </w:pPr>
            <w:r>
              <w:rPr>
                <w:b w:val="false"/>
                <w:bCs w:val="false"/>
                <w:i w:val="false"/>
                <w:iCs w:val="false"/>
                <w:sz w:val="22"/>
                <w:szCs w:val="22"/>
              </w:rPr>
              <w:t xml:space="preserve">Demotion / pause: 30-day rolling Sharpe &lt; 0; or 5% peak-to-trough drawdown.</w:t>
            </w:r>
          </w:p>
        </w:tc>
      </w:tr>
      <w:tr>
        <w:tc>
          <w:tcPr>
            <w:tcW w:type="dxa" w:w="18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20"/>
                <w:szCs w:val="20"/>
              </w:rPr>
              <w:t xml:space="preserve">MEDIUM</w:t>
            </w:r>
          </w:p>
        </w:tc>
        <w:tc>
          <w:tcPr>
            <w:tcW w:type="dxa" w:w="18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val="false"/>
                <w:bCs w:val="false"/>
                <w:i w:val="false"/>
                <w:iCs w:val="false"/>
                <w:sz w:val="20"/>
                <w:szCs w:val="20"/>
              </w:rPr>
              <w:t xml:space="preserve">$100 – $300M</w:t>
            </w:r>
          </w:p>
        </w:tc>
        <w:tc>
          <w:tcPr>
            <w:tcW w:type="dxa" w:w="57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pStyle w:val="ListParagraph"/>
              <w:numPr>
                <w:ilvl w:val="0"/>
                <w:numId w:val="2"/>
              </w:numPr>
              <w:spacing w:after="60"/>
            </w:pPr>
            <w:r>
              <w:rPr>
                <w:b w:val="false"/>
                <w:bCs w:val="false"/>
                <w:i w:val="false"/>
                <w:iCs w:val="false"/>
                <w:sz w:val="22"/>
                <w:szCs w:val="22"/>
              </w:rPr>
              <w:t xml:space="preserve">Entry: cleared SMALL milestone.</w:t>
            </w:r>
          </w:p>
          <w:p>
            <w:pPr>
              <w:pStyle w:val="ListParagraph"/>
              <w:numPr>
                <w:ilvl w:val="0"/>
                <w:numId w:val="2"/>
              </w:numPr>
              <w:spacing w:after="60"/>
            </w:pPr>
            <w:r>
              <w:rPr>
                <w:b w:val="false"/>
                <w:bCs w:val="false"/>
                <w:i w:val="false"/>
                <w:iCs w:val="false"/>
                <w:sz w:val="22"/>
                <w:szCs w:val="22"/>
              </w:rPr>
              <w:t xml:space="preserve">Use: conviction allocation. Strategy is now part of the multi-manager book; risk-budget allocation begins.</w:t>
            </w:r>
          </w:p>
          <w:p>
            <w:pPr>
              <w:pStyle w:val="ListParagraph"/>
              <w:numPr>
                <w:ilvl w:val="0"/>
                <w:numId w:val="2"/>
              </w:numPr>
              <w:spacing w:after="60"/>
            </w:pPr>
            <w:r>
              <w:rPr>
                <w:b w:val="false"/>
                <w:bCs w:val="false"/>
                <w:i w:val="false"/>
                <w:iCs w:val="false"/>
                <w:sz w:val="22"/>
                <w:szCs w:val="22"/>
              </w:rPr>
              <w:t xml:space="preserve">Promotion to FULL: 180-day net Sharpe ≥ 0.8; cost surface confirmed within ±20% of calibrated.</w:t>
            </w:r>
          </w:p>
          <w:p>
            <w:pPr>
              <w:pStyle w:val="ListParagraph"/>
              <w:numPr>
                <w:ilvl w:val="0"/>
                <w:numId w:val="2"/>
              </w:numPr>
              <w:spacing w:after="60"/>
            </w:pPr>
            <w:r>
              <w:rPr>
                <w:b w:val="false"/>
                <w:bCs w:val="false"/>
                <w:i w:val="false"/>
                <w:iCs w:val="false"/>
                <w:sz w:val="22"/>
                <w:szCs w:val="22"/>
              </w:rPr>
              <w:t xml:space="preserve">Demotion: 90-day rolling Sharpe &lt; 0.3; or &gt; 10% drawdown.</w:t>
            </w:r>
          </w:p>
        </w:tc>
      </w:tr>
      <w:tr>
        <w:tc>
          <w:tcPr>
            <w:tcW w:type="dxa" w:w="18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20"/>
                <w:szCs w:val="20"/>
              </w:rPr>
              <w:t xml:space="preserve">FULL</w:t>
            </w:r>
          </w:p>
        </w:tc>
        <w:tc>
          <w:tcPr>
            <w:tcW w:type="dxa" w:w="18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val="false"/>
                <w:bCs w:val="false"/>
                <w:i w:val="false"/>
                <w:iCs w:val="false"/>
                <w:sz w:val="20"/>
                <w:szCs w:val="20"/>
              </w:rPr>
              <w:t xml:space="preserve">$300 – $500M (target); soft cap $600M</w:t>
            </w:r>
          </w:p>
        </w:tc>
        <w:tc>
          <w:tcPr>
            <w:tcW w:type="dxa" w:w="57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pStyle w:val="ListParagraph"/>
              <w:numPr>
                <w:ilvl w:val="0"/>
                <w:numId w:val="2"/>
              </w:numPr>
              <w:spacing w:after="60"/>
            </w:pPr>
            <w:r>
              <w:rPr>
                <w:b w:val="false"/>
                <w:bCs w:val="false"/>
                <w:i w:val="false"/>
                <w:iCs w:val="false"/>
                <w:sz w:val="22"/>
                <w:szCs w:val="22"/>
              </w:rPr>
              <w:t xml:space="preserve">Entry: cleared MEDIUM milestone.</w:t>
            </w:r>
          </w:p>
          <w:p>
            <w:pPr>
              <w:pStyle w:val="ListParagraph"/>
              <w:numPr>
                <w:ilvl w:val="0"/>
                <w:numId w:val="2"/>
              </w:numPr>
              <w:spacing w:after="60"/>
            </w:pPr>
            <w:r>
              <w:rPr>
                <w:b w:val="false"/>
                <w:bCs w:val="false"/>
                <w:i w:val="false"/>
                <w:iCs w:val="false"/>
                <w:sz w:val="22"/>
                <w:szCs w:val="22"/>
              </w:rPr>
              <w:t xml:space="preserve">Use: full production allocation at target risk weight.</w:t>
            </w:r>
          </w:p>
          <w:p>
            <w:pPr>
              <w:pStyle w:val="ListParagraph"/>
              <w:numPr>
                <w:ilvl w:val="0"/>
                <w:numId w:val="2"/>
              </w:numPr>
              <w:spacing w:after="60"/>
            </w:pPr>
            <w:r>
              <w:rPr>
                <w:b w:val="false"/>
                <w:bCs w:val="false"/>
                <w:i w:val="false"/>
                <w:iCs w:val="false"/>
                <w:sz w:val="22"/>
                <w:szCs w:val="22"/>
              </w:rPr>
              <w:t xml:space="preserve">Scaling cap: do not exceed 60% of measured capacity. Defer further scaling pending live impact calibration.</w:t>
            </w:r>
          </w:p>
          <w:p>
            <w:pPr>
              <w:pStyle w:val="ListParagraph"/>
              <w:numPr>
                <w:ilvl w:val="0"/>
                <w:numId w:val="2"/>
              </w:numPr>
              <w:spacing w:after="60"/>
            </w:pPr>
            <w:r>
              <w:rPr>
                <w:b w:val="false"/>
                <w:bCs w:val="false"/>
                <w:i w:val="false"/>
                <w:iCs w:val="false"/>
                <w:sz w:val="22"/>
                <w:szCs w:val="22"/>
              </w:rPr>
              <w:t xml:space="preserve">Demotion: 180-day rolling Sharpe &lt; 0.4; or &gt; 15% drawdown; or capacity downgrade &gt; 20%.</w:t>
            </w:r>
          </w:p>
        </w:tc>
      </w:tr>
    </w:tbl>
    <w:p>
      <w:r>
        <w:br w:type="page"/>
      </w:r>
    </w:p>
    <w:p>
      <w:pPr>
        <w:pStyle w:val="Heading1"/>
      </w:pPr>
      <w:r>
        <w:rPr>
          <w:b w:val="false"/>
          <w:bCs w:val="false"/>
          <w:i w:val="false"/>
          <w:iCs w:val="false"/>
          <w:sz w:val="22"/>
          <w:szCs w:val="22"/>
        </w:rPr>
        <w:t xml:space="preserve">4. Robustness Tests</w:t>
      </w:r>
    </w:p>
    <w:p>
      <w:pPr>
        <w:spacing w:after="100"/>
      </w:pPr>
      <w:r>
        <w:rPr>
          <w:b w:val="false"/>
          <w:bCs w:val="false"/>
          <w:i w:val="false"/>
          <w:iCs w:val="false"/>
          <w:sz w:val="22"/>
          <w:szCs w:val="22"/>
        </w:rPr>
        <w:t xml:space="preserve">Six binary tests. Each must clear its pre-committed threshold for the corresponding axis to be considered robust. The scorecard at the end of this section translates per-test results into the overall robustness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4"/>
              <w:left w:val="single" w:color="CCCCCC" w:sz="4"/>
              <w:bottom w:val="single" w:color="CCCCCC" w:sz="4"/>
              <w:right w:val="single" w:color="CCCCCC" w:sz="4"/>
            </w:tcBorders>
            <w:shd w:fill="1F3A5F" w:val="clear"/>
            <w:tcMar>
              <w:top w:type="dxa" w:w="80"/>
              <w:left w:type="dxa" w:w="130"/>
              <w:bottom w:type="dxa" w:w="80"/>
              <w:right w:type="dxa" w:w="130"/>
            </w:tcMar>
            <w:vAlign w:val="top"/>
          </w:tcPr>
          <w:p>
            <w:pPr>
              <w:spacing w:after="30"/>
            </w:pPr>
            <w:r>
              <w:rPr>
                <w:b/>
                <w:bCs/>
                <w:i w:val="false"/>
                <w:iCs w:val="false"/>
                <w:color w:val="FFFFFF"/>
                <w:sz w:val="18"/>
                <w:szCs w:val="18"/>
              </w:rPr>
              <w:t xml:space="preserve">Test</w:t>
            </w:r>
          </w:p>
        </w:tc>
        <w:tc>
          <w:tcPr>
            <w:tcW w:type="dxa" w:w="3360"/>
            <w:tcBorders>
              <w:top w:val="single" w:color="CCCCCC" w:sz="4"/>
              <w:left w:val="single" w:color="CCCCCC" w:sz="4"/>
              <w:bottom w:val="single" w:color="CCCCCC" w:sz="4"/>
              <w:right w:val="single" w:color="CCCCCC" w:sz="4"/>
            </w:tcBorders>
            <w:shd w:fill="1F3A5F" w:val="clear"/>
            <w:tcMar>
              <w:top w:type="dxa" w:w="80"/>
              <w:left w:type="dxa" w:w="130"/>
              <w:bottom w:type="dxa" w:w="80"/>
              <w:right w:type="dxa" w:w="130"/>
            </w:tcMar>
            <w:vAlign w:val="top"/>
          </w:tcPr>
          <w:p>
            <w:pPr>
              <w:spacing w:after="30"/>
            </w:pPr>
            <w:r>
              <w:rPr>
                <w:b/>
                <w:bCs/>
                <w:i w:val="false"/>
                <w:iCs w:val="false"/>
                <w:color w:val="FFFFFF"/>
                <w:sz w:val="18"/>
                <w:szCs w:val="18"/>
              </w:rPr>
              <w:t xml:space="preserve">What is tested</w:t>
            </w:r>
          </w:p>
        </w:tc>
        <w:tc>
          <w:tcPr>
            <w:tcW w:type="dxa" w:w="3600"/>
            <w:tcBorders>
              <w:top w:val="single" w:color="CCCCCC" w:sz="4"/>
              <w:left w:val="single" w:color="CCCCCC" w:sz="4"/>
              <w:bottom w:val="single" w:color="CCCCCC" w:sz="4"/>
              <w:right w:val="single" w:color="CCCCCC" w:sz="4"/>
            </w:tcBorders>
            <w:shd w:fill="1F3A5F" w:val="clear"/>
            <w:tcMar>
              <w:top w:type="dxa" w:w="80"/>
              <w:left w:type="dxa" w:w="130"/>
              <w:bottom w:type="dxa" w:w="80"/>
              <w:right w:type="dxa" w:w="130"/>
            </w:tcMar>
            <w:vAlign w:val="top"/>
          </w:tcPr>
          <w:p>
            <w:pPr>
              <w:spacing w:after="30"/>
            </w:pPr>
            <w:r>
              <w:rPr>
                <w:b/>
                <w:bCs/>
                <w:i w:val="false"/>
                <w:iCs w:val="false"/>
                <w:color w:val="FFFFFF"/>
                <w:sz w:val="18"/>
                <w:szCs w:val="18"/>
              </w:rPr>
              <w:t xml:space="preserve">Pass threshold</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sz w:val="20"/>
                <w:szCs w:val="20"/>
              </w:rPr>
              <w:t xml:space="preserve">Walk-forward</w:t>
            </w:r>
          </w:p>
        </w:tc>
        <w:tc>
          <w:tcPr>
            <w:tcW w:type="dxa" w:w="33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Train on rolling lookback, test on the next forward window. Refit every 12 months. Measures whether the strategy degrades when forced to use only past-observable parameters.</w:t>
            </w:r>
          </w:p>
        </w:tc>
        <w:tc>
          <w:tcPr>
            <w:tcW w:type="dxa" w:w="36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val="false"/>
                <w:bCs w:val="false"/>
                <w:i w:val="false"/>
                <w:iCs w:val="false"/>
                <w:sz w:val="20"/>
                <w:szCs w:val="20"/>
              </w:rPr>
              <w:t xml:space="preserve">Walk-forward Sharpe ≥ 70% of full-sample Sharpe. No 12-month forward window with Sharpe &lt; −0.5.</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sz w:val="20"/>
                <w:szCs w:val="20"/>
              </w:rPr>
              <w:t xml:space="preserve">Holding period</w:t>
            </w:r>
          </w:p>
        </w:tc>
        <w:tc>
          <w:tcPr>
            <w:tcW w:type="dxa" w:w="33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Vary the signal horizon over {1, 2, 3, 5, 7, 10} days. Verifies the empirical decay matches the predicted information-diffusion half-life.</w:t>
            </w:r>
          </w:p>
        </w:tc>
        <w:tc>
          <w:tcPr>
            <w:tcW w:type="dxa" w:w="36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val="false"/>
                <w:bCs w:val="false"/>
                <w:i w:val="false"/>
                <w:iCs w:val="false"/>
                <w:sz w:val="20"/>
                <w:szCs w:val="20"/>
              </w:rPr>
              <w:t xml:space="preserve">Sharpe within 30% of the maximum across the grid at the chosen horizon. Monotonic decay from k=1 to k=10.</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sz w:val="20"/>
                <w:szCs w:val="20"/>
              </w:rPr>
              <w:t xml:space="preserve">Cost sensitivity</w:t>
            </w:r>
          </w:p>
        </w:tc>
        <w:tc>
          <w:tcPr>
            <w:tcW w:type="dxa" w:w="33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Apply a per-side cost grid {0, 5, 10, 15, 20, 30 bps} to gross returns. Identifies the break-even cost.</w:t>
            </w:r>
          </w:p>
        </w:tc>
        <w:tc>
          <w:tcPr>
            <w:tcW w:type="dxa" w:w="36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val="false"/>
                <w:bCs w:val="false"/>
                <w:i w:val="false"/>
                <w:iCs w:val="false"/>
                <w:sz w:val="20"/>
                <w:szCs w:val="20"/>
              </w:rPr>
              <w:t xml:space="preserve">Break-even cost ≥ 15 bps per side. Net Sharpe at calibrated cost ≥ 0.5.</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sz w:val="20"/>
                <w:szCs w:val="20"/>
              </w:rPr>
              <w:t xml:space="preserve">Time-period stability</w:t>
            </w:r>
          </w:p>
        </w:tc>
        <w:tc>
          <w:tcPr>
            <w:tcW w:type="dxa" w:w="33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First-half vs second-half Sharpe. Per-calendar-year Sharpe. Rolling 252-day Sharpe series. Identifies regime breaks.</w:t>
            </w:r>
          </w:p>
        </w:tc>
        <w:tc>
          <w:tcPr>
            <w:tcW w:type="dxa" w:w="36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val="false"/>
                <w:bCs w:val="false"/>
                <w:i w:val="false"/>
                <w:iCs w:val="false"/>
                <w:sz w:val="20"/>
                <w:szCs w:val="20"/>
              </w:rPr>
              <w:t xml:space="preserve">Sub-period Sharpes within 50% of each other. Year-by-year hit rate ≥ 70% (≥ 7 of 10 years positive).</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sz w:val="20"/>
                <w:szCs w:val="20"/>
              </w:rPr>
              <w:t xml:space="preserve">Leader-definition</w:t>
            </w:r>
          </w:p>
        </w:tc>
        <w:tc>
          <w:tcPr>
            <w:tcW w:type="dxa" w:w="33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Vary the cap-smoothing window and the leader cap-share band. Verifies the leader proxy isn't fragile to its construction.</w:t>
            </w:r>
          </w:p>
        </w:tc>
        <w:tc>
          <w:tcPr>
            <w:tcW w:type="dxa" w:w="36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val="false"/>
                <w:bCs w:val="false"/>
                <w:i w:val="false"/>
                <w:iCs w:val="false"/>
                <w:sz w:val="20"/>
                <w:szCs w:val="20"/>
              </w:rPr>
              <w:t xml:space="preserve">Cap-smoothing variants (5d, 21d, 63d) within 30% of baseline Sharpe. Narrowing the cap-share band does not erode Sharpe by more than 30%.</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sz w:val="20"/>
                <w:szCs w:val="20"/>
              </w:rPr>
              <w:t xml:space="preserve">Beta-lookback</w:t>
            </w:r>
          </w:p>
        </w:tc>
        <w:tc>
          <w:tcPr>
            <w:tcW w:type="dxa" w:w="33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Vary the rolling beta window over {60, 90, 126, 180, 252} days. Verifies the residualization is robust to the window choice.</w:t>
            </w:r>
          </w:p>
        </w:tc>
        <w:tc>
          <w:tcPr>
            <w:tcW w:type="dxa" w:w="36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val="false"/>
                <w:bCs w:val="false"/>
                <w:i w:val="false"/>
                <w:iCs w:val="false"/>
                <w:sz w:val="20"/>
                <w:szCs w:val="20"/>
              </w:rPr>
              <w:t xml:space="preserve">All grid points within 30% of baseline Sharpe. No grid point with Sharpe &lt; 0.</w:t>
            </w:r>
          </w:p>
        </w:tc>
      </w:tr>
    </w:tbl>
    <w:p>
      <w:pPr>
        <w:spacing w:after="100"/>
      </w:pPr>
      <w:r>
        <w:rPr>
          <w:b w:val="false"/>
          <w:bCs w:val="false"/>
          <w:i w:val="false"/>
          <w:iCs w:val="false"/>
          <w:sz w:val="22"/>
          <w:szCs w:val="22"/>
        </w:rPr>
        <w:t xml:space="preserve"/>
      </w:r>
    </w:p>
    <w:p>
      <w:pPr>
        <w:pStyle w:val="Heading2"/>
      </w:pPr>
      <w:r>
        <w:rPr>
          <w:b w:val="false"/>
          <w:bCs w:val="false"/>
          <w:i w:val="false"/>
          <w:iCs w:val="false"/>
          <w:sz w:val="22"/>
          <w:szCs w:val="22"/>
        </w:rPr>
        <w:t xml:space="preserve">Robustness verdict mapping</w:t>
      </w:r>
    </w:p>
    <w:p>
      <w:pPr>
        <w:pStyle w:val="ListParagraph"/>
        <w:numPr>
          <w:ilvl w:val="0"/>
          <w:numId w:val="2"/>
        </w:numPr>
        <w:spacing w:after="60"/>
      </w:pPr>
      <w:r>
        <w:rPr>
          <w:b w:val="false"/>
          <w:bCs w:val="false"/>
          <w:i w:val="false"/>
          <w:iCs w:val="false"/>
          <w:sz w:val="22"/>
          <w:szCs w:val="22"/>
        </w:rPr>
        <w:t xml:space="preserve">6 of 6 passing → robust strategy; proceed to capacity sizing and IC review.</w:t>
      </w:r>
    </w:p>
    <w:p>
      <w:pPr>
        <w:pStyle w:val="ListParagraph"/>
        <w:numPr>
          <w:ilvl w:val="0"/>
          <w:numId w:val="2"/>
        </w:numPr>
        <w:spacing w:after="60"/>
      </w:pPr>
      <w:r>
        <w:rPr>
          <w:b w:val="false"/>
          <w:bCs w:val="false"/>
          <w:i w:val="false"/>
          <w:iCs w:val="false"/>
          <w:sz w:val="22"/>
          <w:szCs w:val="22"/>
        </w:rPr>
        <w:t xml:space="preserve">5 of 6 passing → broadly robust; document the failed axis as a known risk and proceed to MEDIUM allocation.</w:t>
      </w:r>
    </w:p>
    <w:p>
      <w:pPr>
        <w:pStyle w:val="ListParagraph"/>
        <w:numPr>
          <w:ilvl w:val="0"/>
          <w:numId w:val="2"/>
        </w:numPr>
        <w:spacing w:after="60"/>
      </w:pPr>
      <w:r>
        <w:rPr>
          <w:b w:val="false"/>
          <w:bCs w:val="false"/>
          <w:i w:val="false"/>
          <w:iCs w:val="false"/>
          <w:sz w:val="22"/>
          <w:szCs w:val="22"/>
        </w:rPr>
        <w:t xml:space="preserve">4 of 6 passing → conditional; re-scope along the failed axes and re-test.</w:t>
      </w:r>
    </w:p>
    <w:p>
      <w:pPr>
        <w:pStyle w:val="ListParagraph"/>
        <w:numPr>
          <w:ilvl w:val="0"/>
          <w:numId w:val="2"/>
        </w:numPr>
        <w:spacing w:after="60"/>
      </w:pPr>
      <w:r>
        <w:rPr>
          <w:b w:val="false"/>
          <w:bCs w:val="false"/>
          <w:i w:val="false"/>
          <w:iCs w:val="false"/>
          <w:sz w:val="22"/>
          <w:szCs w:val="22"/>
        </w:rPr>
        <w:t xml:space="preserve">≤ 3 of 6 passing → stop; the strategy is too fragile for institutional allocation.</w:t>
      </w:r>
    </w:p>
    <w:p>
      <w:r>
        <w:br w:type="page"/>
      </w:r>
    </w:p>
    <w:p>
      <w:pPr>
        <w:pStyle w:val="Heading1"/>
      </w:pPr>
      <w:r>
        <w:rPr>
          <w:b w:val="false"/>
          <w:bCs w:val="false"/>
          <w:i w:val="false"/>
          <w:iCs w:val="false"/>
          <w:sz w:val="22"/>
          <w:szCs w:val="22"/>
        </w:rPr>
        <w:t xml:space="preserve">5. Investment Committee Checklist</w:t>
      </w:r>
    </w:p>
    <w:p>
      <w:pPr>
        <w:spacing w:after="100"/>
      </w:pPr>
      <w:r>
        <w:rPr>
          <w:b w:val="false"/>
          <w:bCs w:val="false"/>
          <w:i w:val="false"/>
          <w:iCs w:val="false"/>
          <w:sz w:val="22"/>
          <w:szCs w:val="22"/>
        </w:rPr>
        <w:t xml:space="preserve">This is the document the IC chair reviews item by item before approving the strategy for capital deployment. Every line must be checked OFF, or the relevant exception must be logged.</w:t>
      </w:r>
    </w:p>
    <w:p>
      <w:pPr>
        <w:pStyle w:val="Heading2"/>
      </w:pPr>
      <w:r>
        <w:rPr>
          <w:b w:val="false"/>
          <w:bCs w:val="false"/>
          <w:i w:val="false"/>
          <w:iCs w:val="false"/>
          <w:sz w:val="22"/>
          <w:szCs w:val="22"/>
        </w:rPr>
        <w:t xml:space="preserve">5.1 Research integrity</w:t>
      </w:r>
    </w:p>
    <w:p>
      <w:pPr>
        <w:pStyle w:val="ListParagraph"/>
        <w:numPr>
          <w:ilvl w:val="0"/>
          <w:numId w:val="2"/>
        </w:numPr>
        <w:spacing w:after="60"/>
      </w:pPr>
      <w:r>
        <w:rPr>
          <w:b w:val="false"/>
          <w:bCs w:val="false"/>
          <w:i w:val="false"/>
          <w:iCs w:val="false"/>
          <w:sz w:val="22"/>
          <w:szCs w:val="22"/>
        </w:rPr>
        <w:t xml:space="preserve">Approved Research Design Document on file, with binding pre-registration of H0/H1 and pass criteria.</w:t>
      </w:r>
    </w:p>
    <w:p>
      <w:pPr>
        <w:pStyle w:val="ListParagraph"/>
        <w:numPr>
          <w:ilvl w:val="0"/>
          <w:numId w:val="2"/>
        </w:numPr>
        <w:spacing w:after="60"/>
      </w:pPr>
      <w:r>
        <w:rPr>
          <w:b w:val="false"/>
          <w:bCs w:val="false"/>
          <w:i w:val="false"/>
          <w:iCs w:val="false"/>
          <w:sz w:val="22"/>
          <w:szCs w:val="22"/>
        </w:rPr>
        <w:t xml:space="preserve">Data audit complete; quarantine list documented; PIT integrity verified.</w:t>
      </w:r>
    </w:p>
    <w:p>
      <w:pPr>
        <w:pStyle w:val="ListParagraph"/>
        <w:numPr>
          <w:ilvl w:val="0"/>
          <w:numId w:val="2"/>
        </w:numPr>
        <w:spacing w:after="60"/>
      </w:pPr>
      <w:r>
        <w:rPr>
          <w:b w:val="false"/>
          <w:bCs w:val="false"/>
          <w:i w:val="false"/>
          <w:iCs w:val="false"/>
          <w:sz w:val="22"/>
          <w:szCs w:val="22"/>
        </w:rPr>
        <w:t xml:space="preserve">Central hypothesis test passes with multiple-comparison correction.</w:t>
      </w:r>
    </w:p>
    <w:p>
      <w:pPr>
        <w:pStyle w:val="ListParagraph"/>
        <w:numPr>
          <w:ilvl w:val="0"/>
          <w:numId w:val="2"/>
        </w:numPr>
        <w:spacing w:after="60"/>
      </w:pPr>
      <w:r>
        <w:rPr>
          <w:b w:val="false"/>
          <w:bCs w:val="false"/>
          <w:i w:val="false"/>
          <w:iCs w:val="false"/>
          <w:sz w:val="22"/>
          <w:szCs w:val="22"/>
        </w:rPr>
        <w:t xml:space="preserve">Out-of-sample replication confirms in-sample finding (IR ≥ 50% of in-sample).</w:t>
      </w:r>
    </w:p>
    <w:p>
      <w:pPr>
        <w:pStyle w:val="ListParagraph"/>
        <w:numPr>
          <w:ilvl w:val="0"/>
          <w:numId w:val="2"/>
        </w:numPr>
        <w:spacing w:after="60"/>
      </w:pPr>
      <w:r>
        <w:rPr>
          <w:b w:val="false"/>
          <w:bCs w:val="false"/>
          <w:i w:val="false"/>
          <w:iCs w:val="false"/>
          <w:sz w:val="22"/>
          <w:szCs w:val="22"/>
        </w:rPr>
        <w:t xml:space="preserve">No undisclosed changes to methodology between RDD and final results.</w:t>
      </w:r>
    </w:p>
    <w:p>
      <w:pPr>
        <w:pStyle w:val="Heading2"/>
      </w:pPr>
      <w:r>
        <w:rPr>
          <w:b w:val="false"/>
          <w:bCs w:val="false"/>
          <w:i w:val="false"/>
          <w:iCs w:val="false"/>
          <w:sz w:val="22"/>
          <w:szCs w:val="22"/>
        </w:rPr>
        <w:t xml:space="preserve">5.2 Performance</w:t>
      </w:r>
    </w:p>
    <w:p>
      <w:pPr>
        <w:pStyle w:val="ListParagraph"/>
        <w:numPr>
          <w:ilvl w:val="0"/>
          <w:numId w:val="2"/>
        </w:numPr>
        <w:spacing w:after="60"/>
      </w:pPr>
      <w:r>
        <w:rPr>
          <w:b w:val="false"/>
          <w:bCs w:val="false"/>
          <w:i w:val="false"/>
          <w:iCs w:val="false"/>
          <w:sz w:val="22"/>
          <w:szCs w:val="22"/>
        </w:rPr>
        <w:t xml:space="preserve">Net Sharpe (calibrated cost) ≥ 0.7 over full sample.</w:t>
      </w:r>
    </w:p>
    <w:p>
      <w:pPr>
        <w:pStyle w:val="ListParagraph"/>
        <w:numPr>
          <w:ilvl w:val="0"/>
          <w:numId w:val="2"/>
        </w:numPr>
        <w:spacing w:after="60"/>
      </w:pPr>
      <w:r>
        <w:rPr>
          <w:b w:val="false"/>
          <w:bCs w:val="false"/>
          <w:i w:val="false"/>
          <w:iCs w:val="false"/>
          <w:sz w:val="22"/>
          <w:szCs w:val="22"/>
        </w:rPr>
        <w:t xml:space="preserve">Max drawdown ≤ 15% over full sample.</w:t>
      </w:r>
    </w:p>
    <w:p>
      <w:pPr>
        <w:pStyle w:val="ListParagraph"/>
        <w:numPr>
          <w:ilvl w:val="0"/>
          <w:numId w:val="2"/>
        </w:numPr>
        <w:spacing w:after="60"/>
      </w:pPr>
      <w:r>
        <w:rPr>
          <w:b w:val="false"/>
          <w:bCs w:val="false"/>
          <w:i w:val="false"/>
          <w:iCs w:val="false"/>
          <w:sz w:val="22"/>
          <w:szCs w:val="22"/>
        </w:rPr>
        <w:t xml:space="preserve">Sub-period stability verified.</w:t>
      </w:r>
    </w:p>
    <w:p>
      <w:pPr>
        <w:pStyle w:val="ListParagraph"/>
        <w:numPr>
          <w:ilvl w:val="0"/>
          <w:numId w:val="2"/>
        </w:numPr>
        <w:spacing w:after="60"/>
      </w:pPr>
      <w:r>
        <w:rPr>
          <w:b w:val="false"/>
          <w:bCs w:val="false"/>
          <w:i w:val="false"/>
          <w:iCs w:val="false"/>
          <w:sz w:val="22"/>
          <w:szCs w:val="22"/>
        </w:rPr>
        <w:t xml:space="preserve">Effect present in ≥ 7 of 11 GICS sectors.</w:t>
      </w:r>
    </w:p>
    <w:p>
      <w:pPr>
        <w:pStyle w:val="Heading2"/>
      </w:pPr>
      <w:r>
        <w:rPr>
          <w:b w:val="false"/>
          <w:bCs w:val="false"/>
          <w:i w:val="false"/>
          <w:iCs w:val="false"/>
          <w:sz w:val="22"/>
          <w:szCs w:val="22"/>
        </w:rPr>
        <w:t xml:space="preserve">5.3 Robustness</w:t>
      </w:r>
    </w:p>
    <w:p>
      <w:pPr>
        <w:pStyle w:val="ListParagraph"/>
        <w:numPr>
          <w:ilvl w:val="0"/>
          <w:numId w:val="2"/>
        </w:numPr>
        <w:spacing w:after="60"/>
      </w:pPr>
      <w:r>
        <w:rPr>
          <w:b w:val="false"/>
          <w:bCs w:val="false"/>
          <w:i w:val="false"/>
          <w:iCs w:val="false"/>
          <w:sz w:val="22"/>
          <w:szCs w:val="22"/>
        </w:rPr>
        <w:t xml:space="preserve">Robustness scorecard: ≥ 5 of 6 tests passing.</w:t>
      </w:r>
    </w:p>
    <w:p>
      <w:pPr>
        <w:pStyle w:val="ListParagraph"/>
        <w:numPr>
          <w:ilvl w:val="0"/>
          <w:numId w:val="2"/>
        </w:numPr>
        <w:spacing w:after="60"/>
      </w:pPr>
      <w:r>
        <w:rPr>
          <w:b w:val="false"/>
          <w:bCs w:val="false"/>
          <w:i w:val="false"/>
          <w:iCs w:val="false"/>
          <w:sz w:val="22"/>
          <w:szCs w:val="22"/>
        </w:rPr>
        <w:t xml:space="preserve">Cost sensitivity: net Sharpe at calibrated cost ≥ 0.5.</w:t>
      </w:r>
    </w:p>
    <w:p>
      <w:pPr>
        <w:pStyle w:val="ListParagraph"/>
        <w:numPr>
          <w:ilvl w:val="0"/>
          <w:numId w:val="2"/>
        </w:numPr>
        <w:spacing w:after="60"/>
      </w:pPr>
      <w:r>
        <w:rPr>
          <w:b w:val="false"/>
          <w:bCs w:val="false"/>
          <w:i w:val="false"/>
          <w:iCs w:val="false"/>
          <w:sz w:val="22"/>
          <w:szCs w:val="22"/>
        </w:rPr>
        <w:t xml:space="preserve">Walk-forward Sharpe ≥ 70% of full-sample.</w:t>
      </w:r>
    </w:p>
    <w:p>
      <w:pPr>
        <w:pStyle w:val="Heading2"/>
      </w:pPr>
      <w:r>
        <w:rPr>
          <w:b w:val="false"/>
          <w:bCs w:val="false"/>
          <w:i w:val="false"/>
          <w:iCs w:val="false"/>
          <w:sz w:val="22"/>
          <w:szCs w:val="22"/>
        </w:rPr>
        <w:t xml:space="preserve">5.4 Capacity &amp; cost</w:t>
      </w:r>
    </w:p>
    <w:p>
      <w:pPr>
        <w:pStyle w:val="ListParagraph"/>
        <w:numPr>
          <w:ilvl w:val="0"/>
          <w:numId w:val="2"/>
        </w:numPr>
        <w:spacing w:after="60"/>
      </w:pPr>
      <w:r>
        <w:rPr>
          <w:b w:val="false"/>
          <w:bCs w:val="false"/>
          <w:i w:val="false"/>
          <w:iCs w:val="false"/>
          <w:sz w:val="22"/>
          <w:szCs w:val="22"/>
        </w:rPr>
        <w:t xml:space="preserve">Capacity at Sharpe ≥ 0.5 net is at least $200M.</w:t>
      </w:r>
    </w:p>
    <w:p>
      <w:pPr>
        <w:pStyle w:val="ListParagraph"/>
        <w:numPr>
          <w:ilvl w:val="0"/>
          <w:numId w:val="2"/>
        </w:numPr>
        <w:spacing w:after="60"/>
      </w:pPr>
      <w:r>
        <w:rPr>
          <w:b w:val="false"/>
          <w:bCs w:val="false"/>
          <w:i w:val="false"/>
          <w:iCs w:val="false"/>
          <w:sz w:val="22"/>
          <w:szCs w:val="22"/>
        </w:rPr>
        <w:t xml:space="preserve">Cost model calibrated against execution-desk realized fills.</w:t>
      </w:r>
    </w:p>
    <w:p>
      <w:pPr>
        <w:pStyle w:val="ListParagraph"/>
        <w:numPr>
          <w:ilvl w:val="0"/>
          <w:numId w:val="2"/>
        </w:numPr>
        <w:spacing w:after="60"/>
      </w:pPr>
      <w:r>
        <w:rPr>
          <w:b w:val="false"/>
          <w:bCs w:val="false"/>
          <w:i w:val="false"/>
          <w:iCs w:val="false"/>
          <w:sz w:val="22"/>
          <w:szCs w:val="22"/>
        </w:rPr>
        <w:t xml:space="preserve">Borrow assumptions verified with prime broker; hard-to-borrow names excluded by construction.</w:t>
      </w:r>
    </w:p>
    <w:p>
      <w:pPr>
        <w:pStyle w:val="Heading2"/>
      </w:pPr>
      <w:r>
        <w:rPr>
          <w:b w:val="false"/>
          <w:bCs w:val="false"/>
          <w:i w:val="false"/>
          <w:iCs w:val="false"/>
          <w:sz w:val="22"/>
          <w:szCs w:val="22"/>
        </w:rPr>
        <w:t xml:space="preserve">5.5 Operational</w:t>
      </w:r>
    </w:p>
    <w:p>
      <w:pPr>
        <w:pStyle w:val="ListParagraph"/>
        <w:numPr>
          <w:ilvl w:val="0"/>
          <w:numId w:val="2"/>
        </w:numPr>
        <w:spacing w:after="60"/>
      </w:pPr>
      <w:r>
        <w:rPr>
          <w:b w:val="false"/>
          <w:bCs w:val="false"/>
          <w:i w:val="false"/>
          <w:iCs w:val="false"/>
          <w:sz w:val="22"/>
          <w:szCs w:val="22"/>
        </w:rPr>
        <w:t xml:space="preserve">Risk monitoring framework defined; kill triggers documented.</w:t>
      </w:r>
    </w:p>
    <w:p>
      <w:pPr>
        <w:pStyle w:val="ListParagraph"/>
        <w:numPr>
          <w:ilvl w:val="0"/>
          <w:numId w:val="2"/>
        </w:numPr>
        <w:spacing w:after="60"/>
      </w:pPr>
      <w:r>
        <w:rPr>
          <w:b w:val="false"/>
          <w:bCs w:val="false"/>
          <w:i w:val="false"/>
          <w:iCs w:val="false"/>
          <w:sz w:val="22"/>
          <w:szCs w:val="22"/>
        </w:rPr>
        <w:t xml:space="preserve">Operational handover plan signed by execution desk.</w:t>
      </w:r>
    </w:p>
    <w:p>
      <w:pPr>
        <w:pStyle w:val="ListParagraph"/>
        <w:numPr>
          <w:ilvl w:val="0"/>
          <w:numId w:val="2"/>
        </w:numPr>
        <w:spacing w:after="60"/>
      </w:pPr>
      <w:r>
        <w:rPr>
          <w:b w:val="false"/>
          <w:bCs w:val="false"/>
          <w:i w:val="false"/>
          <w:iCs w:val="false"/>
          <w:sz w:val="22"/>
          <w:szCs w:val="22"/>
        </w:rPr>
        <w:t xml:space="preserve">Failure-mode monitoring in production: rolling Sharpe, cost decay, capacity erosion.</w:t>
      </w:r>
    </w:p>
    <w:p>
      <w:pPr>
        <w:pStyle w:val="ListParagraph"/>
        <w:numPr>
          <w:ilvl w:val="0"/>
          <w:numId w:val="2"/>
        </w:numPr>
        <w:spacing w:after="60"/>
      </w:pPr>
      <w:r>
        <w:rPr>
          <w:b w:val="false"/>
          <w:bCs w:val="false"/>
          <w:i w:val="false"/>
          <w:iCs w:val="false"/>
          <w:sz w:val="22"/>
          <w:szCs w:val="22"/>
        </w:rPr>
        <w:t xml:space="preserve">Paper-trading window completed at $25M for 60 days with realized IR ≥ 0.6.</w:t>
      </w:r>
    </w:p>
    <w:p>
      <w:pPr>
        <w:pStyle w:val="Heading2"/>
      </w:pPr>
      <w:r>
        <w:rPr>
          <w:b w:val="false"/>
          <w:bCs w:val="false"/>
          <w:i w:val="false"/>
          <w:iCs w:val="false"/>
          <w:sz w:val="22"/>
          <w:szCs w:val="22"/>
        </w:rPr>
        <w:t xml:space="preserve">5.6 Portfolio fit</w:t>
      </w:r>
    </w:p>
    <w:p>
      <w:pPr>
        <w:pStyle w:val="ListParagraph"/>
        <w:numPr>
          <w:ilvl w:val="0"/>
          <w:numId w:val="2"/>
        </w:numPr>
        <w:spacing w:after="60"/>
      </w:pPr>
      <w:r>
        <w:rPr>
          <w:b w:val="false"/>
          <w:bCs w:val="false"/>
          <w:i w:val="false"/>
          <w:iCs w:val="false"/>
          <w:sz w:val="22"/>
          <w:szCs w:val="22"/>
        </w:rPr>
        <w:t xml:space="preserve">Correlation to existing book: net active correlation ≤ 0.3 over backtest window.</w:t>
      </w:r>
    </w:p>
    <w:p>
      <w:pPr>
        <w:pStyle w:val="ListParagraph"/>
        <w:numPr>
          <w:ilvl w:val="0"/>
          <w:numId w:val="2"/>
        </w:numPr>
        <w:spacing w:after="60"/>
      </w:pPr>
      <w:r>
        <w:rPr>
          <w:b w:val="false"/>
          <w:bCs w:val="false"/>
          <w:i w:val="false"/>
          <w:iCs w:val="false"/>
          <w:sz w:val="22"/>
          <w:szCs w:val="22"/>
        </w:rPr>
        <w:t xml:space="preserve">Sector and factor exposure decomposition documented; no unintended factor tilts.</w:t>
      </w:r>
    </w:p>
    <w:p>
      <w:pPr>
        <w:pStyle w:val="ListParagraph"/>
        <w:numPr>
          <w:ilvl w:val="0"/>
          <w:numId w:val="2"/>
        </w:numPr>
        <w:spacing w:after="60"/>
      </w:pPr>
      <w:r>
        <w:rPr>
          <w:b w:val="false"/>
          <w:bCs w:val="false"/>
          <w:i w:val="false"/>
          <w:iCs w:val="false"/>
          <w:sz w:val="22"/>
          <w:szCs w:val="22"/>
        </w:rPr>
        <w:t xml:space="preserve">Diversification benefit at fund level: marginal Sharpe contribution &gt; 0.1.</w:t>
      </w:r>
    </w:p>
    <w:p>
      <w:r>
        <w:br w:type="page"/>
      </w:r>
    </w:p>
    <w:p>
      <w:pPr>
        <w:pStyle w:val="Heading1"/>
      </w:pPr>
      <w:r>
        <w:rPr>
          <w:b w:val="false"/>
          <w:bCs w:val="false"/>
          <w:i w:val="false"/>
          <w:iCs w:val="false"/>
          <w:sz w:val="22"/>
          <w:szCs w:val="22"/>
        </w:rPr>
        <w:t xml:space="preserve">6. Green Flags and Red Flags</w:t>
      </w:r>
    </w:p>
    <w:p>
      <w:pPr>
        <w:pStyle w:val="Heading2"/>
      </w:pPr>
      <w:r>
        <w:rPr>
          <w:b w:val="false"/>
          <w:bCs w:val="false"/>
          <w:i w:val="false"/>
          <w:iCs w:val="false"/>
          <w:sz w:val="22"/>
          <w:szCs w:val="22"/>
        </w:rPr>
        <w:t xml:space="preserve">6.1 Green flags (positive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1B5E20" w:val="clear"/>
            <w:tcMar>
              <w:top w:type="dxa" w:w="80"/>
              <w:left w:type="dxa" w:w="130"/>
              <w:bottom w:type="dxa" w:w="80"/>
              <w:right w:type="dxa" w:w="130"/>
            </w:tcMar>
            <w:vAlign w:val="top"/>
          </w:tcPr>
          <w:p>
            <w:pPr>
              <w:spacing w:after="30"/>
            </w:pPr>
            <w:r>
              <w:rPr>
                <w:b/>
                <w:bCs/>
                <w:i w:val="false"/>
                <w:iCs w:val="false"/>
                <w:color w:val="FFFFFF"/>
                <w:sz w:val="18"/>
                <w:szCs w:val="18"/>
              </w:rPr>
              <w:t xml:space="preserve">Flag</w:t>
            </w:r>
          </w:p>
        </w:tc>
        <w:tc>
          <w:tcPr>
            <w:tcW w:type="dxa" w:w="6360"/>
            <w:tcBorders>
              <w:top w:val="single" w:color="CCCCCC" w:sz="4"/>
              <w:left w:val="single" w:color="CCCCCC" w:sz="4"/>
              <w:bottom w:val="single" w:color="CCCCCC" w:sz="4"/>
              <w:right w:val="single" w:color="CCCCCC" w:sz="4"/>
            </w:tcBorders>
            <w:shd w:fill="1B5E20" w:val="clear"/>
            <w:tcMar>
              <w:top w:type="dxa" w:w="80"/>
              <w:left w:type="dxa" w:w="130"/>
              <w:bottom w:type="dxa" w:w="80"/>
              <w:right w:type="dxa" w:w="130"/>
            </w:tcMar>
            <w:vAlign w:val="top"/>
          </w:tcPr>
          <w:p>
            <w:pPr>
              <w:spacing w:after="30"/>
            </w:pPr>
            <w:r>
              <w:rPr>
                <w:b/>
                <w:bCs/>
                <w:i w:val="false"/>
                <w:iCs w:val="false"/>
                <w:color w:val="FFFFFF"/>
                <w:sz w:val="18"/>
                <w:szCs w:val="18"/>
              </w:rPr>
              <w:t xml:space="preserve">Why it matters</w:t>
            </w:r>
          </w:p>
        </w:tc>
      </w:tr>
      <w:tr>
        <w:tc>
          <w:tcPr>
            <w:tcW w:type="dxa" w:w="30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bCs/>
                <w:i w:val="false"/>
                <w:iCs w:val="false"/>
                <w:sz w:val="20"/>
                <w:szCs w:val="20"/>
              </w:rPr>
              <w:t xml:space="preserve">Documented economic mechanism</w:t>
            </w:r>
          </w:p>
        </w:tc>
        <w:tc>
          <w:tcPr>
            <w:tcW w:type="dxa" w:w="63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Strategies with a structural mechanism (information diffusion, microstructure friction, regulatory arbitrage) persist longer than data-mined patterns.</w:t>
            </w:r>
          </w:p>
        </w:tc>
      </w:tr>
      <w:tr>
        <w:tc>
          <w:tcPr>
            <w:tcW w:type="dxa" w:w="30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bCs/>
                <w:i w:val="false"/>
                <w:iCs w:val="false"/>
                <w:sz w:val="20"/>
                <w:szCs w:val="20"/>
              </w:rPr>
              <w:t xml:space="preserve">Sub-period IR stability</w:t>
            </w:r>
          </w:p>
        </w:tc>
        <w:tc>
          <w:tcPr>
            <w:tcW w:type="dxa" w:w="63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Half-by-half Sharpes within 50% of each other indicates the effect isn't a regime artifact.</w:t>
            </w:r>
          </w:p>
        </w:tc>
      </w:tr>
      <w:tr>
        <w:tc>
          <w:tcPr>
            <w:tcW w:type="dxa" w:w="30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bCs/>
                <w:i w:val="false"/>
                <w:iCs w:val="false"/>
                <w:sz w:val="20"/>
                <w:szCs w:val="20"/>
              </w:rPr>
              <w:t xml:space="preserve">Cross-sector breadth</w:t>
            </w:r>
          </w:p>
        </w:tc>
        <w:tc>
          <w:tcPr>
            <w:tcW w:type="dxa" w:w="63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Effect present in ≥ 7 sectors → diversified mechanism, less vulnerable to single-sector regime shifts.</w:t>
            </w:r>
          </w:p>
        </w:tc>
      </w:tr>
      <w:tr>
        <w:tc>
          <w:tcPr>
            <w:tcW w:type="dxa" w:w="30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bCs/>
                <w:i w:val="false"/>
                <w:iCs w:val="false"/>
                <w:sz w:val="20"/>
                <w:szCs w:val="20"/>
              </w:rPr>
              <w:t xml:space="preserve">Cost-resilient (net &gt; 60% of gross)</w:t>
            </w:r>
          </w:p>
        </w:tc>
        <w:tc>
          <w:tcPr>
            <w:tcW w:type="dxa" w:w="63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Cost-resilient strategies have operational headroom for slippage and minor cost-model errors.</w:t>
            </w:r>
          </w:p>
        </w:tc>
      </w:tr>
      <w:tr>
        <w:tc>
          <w:tcPr>
            <w:tcW w:type="dxa" w:w="30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bCs/>
                <w:i w:val="false"/>
                <w:iCs w:val="false"/>
                <w:sz w:val="20"/>
                <w:szCs w:val="20"/>
              </w:rPr>
              <w:t xml:space="preserve">Low correlation to existing book</w:t>
            </w:r>
          </w:p>
        </w:tc>
        <w:tc>
          <w:tcPr>
            <w:tcW w:type="dxa" w:w="63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Diversification at the fund level. Marginal Sharpe contribution &gt; 0.1 is the institutional threshold for funding.</w:t>
            </w:r>
          </w:p>
        </w:tc>
      </w:tr>
      <w:tr>
        <w:tc>
          <w:tcPr>
            <w:tcW w:type="dxa" w:w="30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bCs/>
                <w:i w:val="false"/>
                <w:iCs w:val="false"/>
                <w:sz w:val="20"/>
                <w:szCs w:val="20"/>
              </w:rPr>
              <w:t xml:space="preserve">Capacity comfortably &gt; target allocation</w:t>
            </w:r>
          </w:p>
        </w:tc>
        <w:tc>
          <w:tcPr>
            <w:tcW w:type="dxa" w:w="63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Capacity headroom of 1.5× target allocation allows AUM growth without re-allocation.</w:t>
            </w:r>
          </w:p>
        </w:tc>
      </w:tr>
      <w:tr>
        <w:tc>
          <w:tcPr>
            <w:tcW w:type="dxa" w:w="30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bCs/>
                <w:i w:val="false"/>
                <w:iCs w:val="false"/>
                <w:sz w:val="20"/>
                <w:szCs w:val="20"/>
              </w:rPr>
              <w:t xml:space="preserve">Pre-registration discipline observed</w:t>
            </w:r>
          </w:p>
        </w:tc>
        <w:tc>
          <w:tcPr>
            <w:tcW w:type="dxa" w:w="63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No methodology changes between RDD and final results indicates the researcher resisted ex-post fitting.</w:t>
            </w:r>
          </w:p>
        </w:tc>
      </w:tr>
    </w:tbl>
    <w:p>
      <w:pPr>
        <w:spacing w:after="100"/>
      </w:pPr>
      <w:r>
        <w:rPr>
          <w:b w:val="false"/>
          <w:bCs w:val="false"/>
          <w:i w:val="false"/>
          <w:iCs w:val="false"/>
          <w:sz w:val="22"/>
          <w:szCs w:val="22"/>
        </w:rPr>
        <w:t xml:space="preserve"/>
      </w:r>
    </w:p>
    <w:p>
      <w:pPr>
        <w:pStyle w:val="Heading2"/>
      </w:pPr>
      <w:r>
        <w:rPr>
          <w:b w:val="false"/>
          <w:bCs w:val="false"/>
          <w:i w:val="false"/>
          <w:iCs w:val="false"/>
          <w:sz w:val="22"/>
          <w:szCs w:val="22"/>
        </w:rPr>
        <w:t xml:space="preserve">6.2 Red flags (warning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8E2F2F" w:val="clear"/>
            <w:tcMar>
              <w:top w:type="dxa" w:w="80"/>
              <w:left w:type="dxa" w:w="130"/>
              <w:bottom w:type="dxa" w:w="80"/>
              <w:right w:type="dxa" w:w="130"/>
            </w:tcMar>
            <w:vAlign w:val="top"/>
          </w:tcPr>
          <w:p>
            <w:pPr>
              <w:spacing w:after="30"/>
            </w:pPr>
            <w:r>
              <w:rPr>
                <w:b/>
                <w:bCs/>
                <w:i w:val="false"/>
                <w:iCs w:val="false"/>
                <w:color w:val="FFFFFF"/>
                <w:sz w:val="18"/>
                <w:szCs w:val="18"/>
              </w:rPr>
              <w:t xml:space="preserve">Flag</w:t>
            </w:r>
          </w:p>
        </w:tc>
        <w:tc>
          <w:tcPr>
            <w:tcW w:type="dxa" w:w="6360"/>
            <w:tcBorders>
              <w:top w:val="single" w:color="CCCCCC" w:sz="4"/>
              <w:left w:val="single" w:color="CCCCCC" w:sz="4"/>
              <w:bottom w:val="single" w:color="CCCCCC" w:sz="4"/>
              <w:right w:val="single" w:color="CCCCCC" w:sz="4"/>
            </w:tcBorders>
            <w:shd w:fill="8E2F2F" w:val="clear"/>
            <w:tcMar>
              <w:top w:type="dxa" w:w="80"/>
              <w:left w:type="dxa" w:w="130"/>
              <w:bottom w:type="dxa" w:w="80"/>
              <w:right w:type="dxa" w:w="130"/>
            </w:tcMar>
            <w:vAlign w:val="top"/>
          </w:tcPr>
          <w:p>
            <w:pPr>
              <w:spacing w:after="30"/>
            </w:pPr>
            <w:r>
              <w:rPr>
                <w:b/>
                <w:bCs/>
                <w:i w:val="false"/>
                <w:iCs w:val="false"/>
                <w:color w:val="FFFFFF"/>
                <w:sz w:val="18"/>
                <w:szCs w:val="18"/>
              </w:rPr>
              <w:t xml:space="preserve">Why it's a problem</w:t>
            </w:r>
          </w:p>
        </w:tc>
      </w:tr>
      <w:tr>
        <w:tc>
          <w:tcPr>
            <w:tcW w:type="dxa" w:w="300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bCs/>
                <w:i w:val="false"/>
                <w:iCs w:val="false"/>
                <w:sz w:val="20"/>
                <w:szCs w:val="20"/>
              </w:rPr>
              <w:t xml:space="preserve">Concentration in 1-2 sectors</w:t>
            </w:r>
          </w:p>
        </w:tc>
        <w:tc>
          <w:tcPr>
            <w:tcW w:type="dxa" w:w="63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Sector cyclicality disguised as a structural effect. Vulnerable to sector regime changes the model doesn't anticipate.</w:t>
            </w:r>
          </w:p>
        </w:tc>
      </w:tr>
      <w:tr>
        <w:tc>
          <w:tcPr>
            <w:tcW w:type="dxa" w:w="300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bCs/>
                <w:i w:val="false"/>
                <w:iCs w:val="false"/>
                <w:sz w:val="20"/>
                <w:szCs w:val="20"/>
              </w:rPr>
              <w:t xml:space="preserve">Gross Sharpe &gt; 2.0 with no clear mechanism</w:t>
            </w:r>
          </w:p>
        </w:tc>
        <w:tc>
          <w:tcPr>
            <w:tcW w:type="dxa" w:w="63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Canonical overfitting signature. A strong mechanism would have been published; absence of one combined with very high Sharpe suggests fitting to noise.</w:t>
            </w:r>
          </w:p>
        </w:tc>
      </w:tr>
      <w:tr>
        <w:tc>
          <w:tcPr>
            <w:tcW w:type="dxa" w:w="300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bCs/>
                <w:i w:val="false"/>
                <w:iCs w:val="false"/>
                <w:sz w:val="20"/>
                <w:szCs w:val="20"/>
              </w:rPr>
              <w:t xml:space="preserve">Pre-2020 only or post-2020 only effect</w:t>
            </w:r>
          </w:p>
        </w:tc>
        <w:tc>
          <w:tcPr>
            <w:tcW w:type="dxa" w:w="63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Structural break. The strategy was effectively two different strategies and the persistence argument is broken.</w:t>
            </w:r>
          </w:p>
        </w:tc>
      </w:tr>
      <w:tr>
        <w:tc>
          <w:tcPr>
            <w:tcW w:type="dxa" w:w="300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bCs/>
                <w:i w:val="false"/>
                <w:iCs w:val="false"/>
                <w:sz w:val="20"/>
                <w:szCs w:val="20"/>
              </w:rPr>
              <w:t xml:space="preserve">Borrow-cost dependent on SP600</w:t>
            </w:r>
          </w:p>
        </w:tc>
        <w:tc>
          <w:tcPr>
            <w:tcW w:type="dxa" w:w="63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Hard-to-borrow names producing the alpha will see borrow rates spike when crowding emerges. Strategy unhedgeable.</w:t>
            </w:r>
          </w:p>
        </w:tc>
      </w:tr>
      <w:tr>
        <w:tc>
          <w:tcPr>
            <w:tcW w:type="dxa" w:w="300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bCs/>
                <w:i w:val="false"/>
                <w:iCs w:val="false"/>
                <w:sz w:val="20"/>
                <w:szCs w:val="20"/>
              </w:rPr>
              <w:t xml:space="preserve">Brittle to small parameter changes</w:t>
            </w:r>
          </w:p>
        </w:tc>
        <w:tc>
          <w:tcPr>
            <w:tcW w:type="dxa" w:w="63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Sharpe drops &gt; 50% on a one-step parameter perturbation = fitting to a noise basin, not capturing a structural effect.</w:t>
            </w:r>
          </w:p>
        </w:tc>
      </w:tr>
      <w:tr>
        <w:tc>
          <w:tcPr>
            <w:tcW w:type="dxa" w:w="300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bCs/>
                <w:i w:val="false"/>
                <w:iCs w:val="false"/>
                <w:sz w:val="20"/>
                <w:szCs w:val="20"/>
              </w:rPr>
              <w:t xml:space="preserve">Capacity &lt; 50% of target allocation</w:t>
            </w:r>
          </w:p>
        </w:tc>
        <w:tc>
          <w:tcPr>
            <w:tcW w:type="dxa" w:w="63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Strategy cannot absorb committed capital at the Sharpe needed. Either reduce allocation target or kill.</w:t>
            </w:r>
          </w:p>
        </w:tc>
      </w:tr>
      <w:tr>
        <w:tc>
          <w:tcPr>
            <w:tcW w:type="dxa" w:w="300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bCs/>
                <w:i w:val="false"/>
                <w:iCs w:val="false"/>
                <w:sz w:val="20"/>
                <w:szCs w:val="20"/>
              </w:rPr>
              <w:t xml:space="preserve">Live decay &gt; 50% vs backtest in paper trade</w:t>
            </w:r>
          </w:p>
        </w:tc>
        <w:tc>
          <w:tcPr>
            <w:tcW w:type="dxa" w:w="63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Either cost model wrong or strategy already crowded. Both indicate the live IR will not reach backtest levels.</w:t>
            </w:r>
          </w:p>
        </w:tc>
      </w:tr>
      <w:tr>
        <w:tc>
          <w:tcPr>
            <w:tcW w:type="dxa" w:w="300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bCs/>
                <w:i w:val="false"/>
                <w:iCs w:val="false"/>
                <w:sz w:val="20"/>
                <w:szCs w:val="20"/>
              </w:rPr>
              <w:t xml:space="preserve">Methodology changes during research</w:t>
            </w:r>
          </w:p>
        </w:tc>
        <w:tc>
          <w:tcPr>
            <w:tcW w:type="dxa" w:w="63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Pre-registration broken. The 'results' may be partly fitted to the data through iterative refinement.</w:t>
            </w:r>
          </w:p>
        </w:tc>
      </w:tr>
    </w:tbl>
    <w:p>
      <w:r>
        <w:br w:type="page"/>
      </w:r>
    </w:p>
    <w:p>
      <w:pPr>
        <w:pStyle w:val="Heading1"/>
      </w:pPr>
      <w:r>
        <w:rPr>
          <w:b w:val="false"/>
          <w:bCs w:val="false"/>
          <w:i w:val="false"/>
          <w:iCs w:val="false"/>
          <w:sz w:val="22"/>
          <w:szCs w:val="22"/>
        </w:rPr>
        <w:t xml:space="preserve">7. Go / No-Go Framework</w:t>
      </w:r>
    </w:p>
    <w:p>
      <w:pPr>
        <w:spacing w:after="100"/>
      </w:pPr>
      <w:r>
        <w:rPr>
          <w:b w:val="false"/>
          <w:bCs w:val="false"/>
          <w:i w:val="false"/>
          <w:iCs w:val="false"/>
          <w:sz w:val="22"/>
          <w:szCs w:val="22"/>
        </w:rPr>
        <w:t xml:space="preserve">Three sequential gates. Each must clear before the next is approached. A failure at any gate triggers the disposition listed in the rightmost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60"/>
        <w:gridCol w:w="1700"/>
        <w:gridCol w:w="2600"/>
      </w:tblGrid>
      <w:tr>
        <w:trPr>
          <w:tblHeader/>
        </w:trPr>
        <w:tc>
          <w:tcPr>
            <w:tcW w:type="dxa" w:w="1700"/>
            <w:tcBorders>
              <w:top w:val="single" w:color="CCCCCC" w:sz="4"/>
              <w:left w:val="single" w:color="CCCCCC" w:sz="4"/>
              <w:bottom w:val="single" w:color="CCCCCC" w:sz="4"/>
              <w:right w:val="single" w:color="CCCCCC" w:sz="4"/>
            </w:tcBorders>
            <w:shd w:fill="1F3A5F" w:val="clear"/>
            <w:tcMar>
              <w:top w:type="dxa" w:w="80"/>
              <w:left w:type="dxa" w:w="130"/>
              <w:bottom w:type="dxa" w:w="80"/>
              <w:right w:type="dxa" w:w="130"/>
            </w:tcMar>
            <w:vAlign w:val="top"/>
          </w:tcPr>
          <w:p>
            <w:pPr>
              <w:spacing w:after="30"/>
            </w:pPr>
            <w:r>
              <w:rPr>
                <w:b/>
                <w:bCs/>
                <w:i w:val="false"/>
                <w:iCs w:val="false"/>
                <w:color w:val="FFFFFF"/>
                <w:sz w:val="18"/>
                <w:szCs w:val="18"/>
              </w:rPr>
              <w:t xml:space="preserve">Gate</w:t>
            </w:r>
          </w:p>
        </w:tc>
        <w:tc>
          <w:tcPr>
            <w:tcW w:type="dxa" w:w="3360"/>
            <w:tcBorders>
              <w:top w:val="single" w:color="CCCCCC" w:sz="4"/>
              <w:left w:val="single" w:color="CCCCCC" w:sz="4"/>
              <w:bottom w:val="single" w:color="CCCCCC" w:sz="4"/>
              <w:right w:val="single" w:color="CCCCCC" w:sz="4"/>
            </w:tcBorders>
            <w:shd w:fill="1F3A5F" w:val="clear"/>
            <w:tcMar>
              <w:top w:type="dxa" w:w="80"/>
              <w:left w:type="dxa" w:w="130"/>
              <w:bottom w:type="dxa" w:w="80"/>
              <w:right w:type="dxa" w:w="130"/>
            </w:tcMar>
            <w:vAlign w:val="top"/>
          </w:tcPr>
          <w:p>
            <w:pPr>
              <w:spacing w:after="30"/>
            </w:pPr>
            <w:r>
              <w:rPr>
                <w:b/>
                <w:bCs/>
                <w:i w:val="false"/>
                <w:iCs w:val="false"/>
                <w:color w:val="FFFFFF"/>
                <w:sz w:val="18"/>
                <w:szCs w:val="18"/>
              </w:rPr>
              <w:t xml:space="preserve">Conditions</w:t>
            </w:r>
          </w:p>
        </w:tc>
        <w:tc>
          <w:tcPr>
            <w:tcW w:type="dxa" w:w="1700"/>
            <w:tcBorders>
              <w:top w:val="single" w:color="CCCCCC" w:sz="4"/>
              <w:left w:val="single" w:color="CCCCCC" w:sz="4"/>
              <w:bottom w:val="single" w:color="CCCCCC" w:sz="4"/>
              <w:right w:val="single" w:color="CCCCCC" w:sz="4"/>
            </w:tcBorders>
            <w:shd w:fill="1F3A5F" w:val="clear"/>
            <w:tcMar>
              <w:top w:type="dxa" w:w="80"/>
              <w:left w:type="dxa" w:w="130"/>
              <w:bottom w:type="dxa" w:w="80"/>
              <w:right w:type="dxa" w:w="130"/>
            </w:tcMar>
            <w:vAlign w:val="top"/>
          </w:tcPr>
          <w:p>
            <w:pPr>
              <w:spacing w:after="30"/>
            </w:pPr>
            <w:r>
              <w:rPr>
                <w:b/>
                <w:bCs/>
                <w:i w:val="false"/>
                <w:iCs w:val="false"/>
                <w:color w:val="FFFFFF"/>
                <w:sz w:val="18"/>
                <w:szCs w:val="18"/>
              </w:rPr>
              <w:t xml:space="preserve">Verdict</w:t>
            </w:r>
          </w:p>
        </w:tc>
        <w:tc>
          <w:tcPr>
            <w:tcW w:type="dxa" w:w="2600"/>
            <w:tcBorders>
              <w:top w:val="single" w:color="CCCCCC" w:sz="4"/>
              <w:left w:val="single" w:color="CCCCCC" w:sz="4"/>
              <w:bottom w:val="single" w:color="CCCCCC" w:sz="4"/>
              <w:right w:val="single" w:color="CCCCCC" w:sz="4"/>
            </w:tcBorders>
            <w:shd w:fill="1F3A5F" w:val="clear"/>
            <w:tcMar>
              <w:top w:type="dxa" w:w="80"/>
              <w:left w:type="dxa" w:w="130"/>
              <w:bottom w:type="dxa" w:w="80"/>
              <w:right w:type="dxa" w:w="130"/>
            </w:tcMar>
            <w:vAlign w:val="top"/>
          </w:tcPr>
          <w:p>
            <w:pPr>
              <w:spacing w:after="30"/>
            </w:pPr>
            <w:r>
              <w:rPr>
                <w:b/>
                <w:bCs/>
                <w:i w:val="false"/>
                <w:iCs w:val="false"/>
                <w:color w:val="FFFFFF"/>
                <w:sz w:val="18"/>
                <w:szCs w:val="18"/>
              </w:rPr>
              <w:t xml:space="preserve">Disposition on failure</w:t>
            </w:r>
          </w:p>
        </w:tc>
      </w:tr>
      <w:tr>
        <w:tc>
          <w:tcPr>
            <w:tcW w:type="dxa" w:w="17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sz w:val="20"/>
                <w:szCs w:val="20"/>
              </w:rPr>
              <w:t xml:space="preserve">Gate 1: Research</w:t>
            </w:r>
          </w:p>
        </w:tc>
        <w:tc>
          <w:tcPr>
            <w:tcW w:type="dxa" w:w="33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pStyle w:val="ListParagraph"/>
              <w:numPr>
                <w:ilvl w:val="0"/>
                <w:numId w:val="2"/>
              </w:numPr>
              <w:spacing w:after="60"/>
            </w:pPr>
            <w:r>
              <w:rPr>
                <w:b w:val="false"/>
                <w:bCs w:val="false"/>
                <w:i w:val="false"/>
                <w:iCs w:val="false"/>
                <w:sz w:val="22"/>
                <w:szCs w:val="22"/>
              </w:rPr>
              <w:t xml:space="preserve">H0 rejected with multiple-comparison correction.</w:t>
            </w:r>
          </w:p>
          <w:p>
            <w:pPr>
              <w:pStyle w:val="ListParagraph"/>
              <w:numPr>
                <w:ilvl w:val="0"/>
                <w:numId w:val="2"/>
              </w:numPr>
              <w:spacing w:after="60"/>
            </w:pPr>
            <w:r>
              <w:rPr>
                <w:b w:val="false"/>
                <w:bCs w:val="false"/>
                <w:i w:val="false"/>
                <w:iCs w:val="false"/>
                <w:sz w:val="22"/>
                <w:szCs w:val="22"/>
              </w:rPr>
              <w:t xml:space="preserve">Out-of-sample IR ≥ 50% of in-sample.</w:t>
            </w:r>
          </w:p>
          <w:p>
            <w:pPr>
              <w:pStyle w:val="ListParagraph"/>
              <w:numPr>
                <w:ilvl w:val="0"/>
                <w:numId w:val="2"/>
              </w:numPr>
              <w:spacing w:after="60"/>
            </w:pPr>
            <w:r>
              <w:rPr>
                <w:b w:val="false"/>
                <w:bCs w:val="false"/>
                <w:i w:val="false"/>
                <w:iCs w:val="false"/>
                <w:sz w:val="22"/>
                <w:szCs w:val="22"/>
              </w:rPr>
              <w:t xml:space="preserve">Robustness scorecard ≥ 5 of 6.</w:t>
            </w:r>
          </w:p>
        </w:tc>
        <w:tc>
          <w:tcPr>
            <w:tcW w:type="dxa" w:w="17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bCs/>
                <w:i w:val="false"/>
                <w:iCs w:val="false"/>
                <w:color w:val="1B5E20"/>
                <w:sz w:val="20"/>
                <w:szCs w:val="20"/>
              </w:rPr>
              <w:t xml:space="preserve">GO → paper trade</w:t>
            </w:r>
          </w:p>
        </w:tc>
        <w:tc>
          <w:tcPr>
            <w:tcW w:type="dxa" w:w="260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val="false"/>
                <w:bCs w:val="false"/>
                <w:i w:val="false"/>
                <w:iCs w:val="false"/>
                <w:sz w:val="20"/>
                <w:szCs w:val="20"/>
              </w:rPr>
              <w:t xml:space="preserve">NO-GO → terminate research. Reallocate budget to next-priority hypothesis.</w:t>
            </w:r>
          </w:p>
        </w:tc>
      </w:tr>
      <w:tr>
        <w:tc>
          <w:tcPr>
            <w:tcW w:type="dxa" w:w="17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sz w:val="20"/>
                <w:szCs w:val="20"/>
              </w:rPr>
              <w:t xml:space="preserve">Gate 2: Paper trade</w:t>
            </w:r>
          </w:p>
        </w:tc>
        <w:tc>
          <w:tcPr>
            <w:tcW w:type="dxa" w:w="33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pStyle w:val="ListParagraph"/>
              <w:numPr>
                <w:ilvl w:val="0"/>
                <w:numId w:val="2"/>
              </w:numPr>
              <w:spacing w:after="60"/>
            </w:pPr>
            <w:r>
              <w:rPr>
                <w:b w:val="false"/>
                <w:bCs w:val="false"/>
                <w:i w:val="false"/>
                <w:iCs w:val="false"/>
                <w:sz w:val="22"/>
                <w:szCs w:val="22"/>
              </w:rPr>
              <w:t xml:space="preserve">60-day paper-trade IR ≥ 0.6.</w:t>
            </w:r>
          </w:p>
          <w:p>
            <w:pPr>
              <w:pStyle w:val="ListParagraph"/>
              <w:numPr>
                <w:ilvl w:val="0"/>
                <w:numId w:val="2"/>
              </w:numPr>
              <w:spacing w:after="60"/>
            </w:pPr>
            <w:r>
              <w:rPr>
                <w:b w:val="false"/>
                <w:bCs w:val="false"/>
                <w:i w:val="false"/>
                <w:iCs w:val="false"/>
                <w:sz w:val="22"/>
                <w:szCs w:val="22"/>
              </w:rPr>
              <w:t xml:space="preserve">Realized cost within ±25% of model.</w:t>
            </w:r>
          </w:p>
          <w:p>
            <w:pPr>
              <w:pStyle w:val="ListParagraph"/>
              <w:numPr>
                <w:ilvl w:val="0"/>
                <w:numId w:val="2"/>
              </w:numPr>
              <w:spacing w:after="60"/>
            </w:pPr>
            <w:r>
              <w:rPr>
                <w:b w:val="false"/>
                <w:bCs w:val="false"/>
                <w:i w:val="false"/>
                <w:iCs w:val="false"/>
                <w:sz w:val="22"/>
                <w:szCs w:val="22"/>
              </w:rPr>
              <w:t xml:space="preserve">No execution-desk concerns logged.</w:t>
            </w:r>
          </w:p>
        </w:tc>
        <w:tc>
          <w:tcPr>
            <w:tcW w:type="dxa" w:w="17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bCs/>
                <w:i w:val="false"/>
                <w:iCs w:val="false"/>
                <w:color w:val="1B5E20"/>
                <w:sz w:val="20"/>
                <w:szCs w:val="20"/>
              </w:rPr>
              <w:t xml:space="preserve">GO → SMALL</w:t>
            </w:r>
          </w:p>
        </w:tc>
        <w:tc>
          <w:tcPr>
            <w:tcW w:type="dxa" w:w="260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val="false"/>
                <w:bCs w:val="false"/>
                <w:i w:val="false"/>
                <w:iCs w:val="false"/>
                <w:sz w:val="20"/>
                <w:szCs w:val="20"/>
              </w:rPr>
              <w:t xml:space="preserve">NO-GO → return to research with diagnostic report; potential cost-model re-calibration.</w:t>
            </w:r>
          </w:p>
        </w:tc>
      </w:tr>
      <w:tr>
        <w:tc>
          <w:tcPr>
            <w:tcW w:type="dxa" w:w="17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sz w:val="20"/>
                <w:szCs w:val="20"/>
              </w:rPr>
              <w:t xml:space="preserve">Gate 3: Production scaling</w:t>
            </w:r>
          </w:p>
        </w:tc>
        <w:tc>
          <w:tcPr>
            <w:tcW w:type="dxa" w:w="33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pStyle w:val="ListParagraph"/>
              <w:numPr>
                <w:ilvl w:val="0"/>
                <w:numId w:val="2"/>
              </w:numPr>
              <w:spacing w:after="60"/>
            </w:pPr>
            <w:r>
              <w:rPr>
                <w:b w:val="false"/>
                <w:bCs w:val="false"/>
                <w:i w:val="false"/>
                <w:iCs w:val="false"/>
                <w:sz w:val="22"/>
                <w:szCs w:val="22"/>
              </w:rPr>
              <w:t xml:space="preserve">90-day SMALL Sharpe ≥ 0.7.</w:t>
            </w:r>
          </w:p>
          <w:p>
            <w:pPr>
              <w:pStyle w:val="ListParagraph"/>
              <w:numPr>
                <w:ilvl w:val="0"/>
                <w:numId w:val="2"/>
              </w:numPr>
              <w:spacing w:after="60"/>
            </w:pPr>
            <w:r>
              <w:rPr>
                <w:b w:val="false"/>
                <w:bCs w:val="false"/>
                <w:i w:val="false"/>
                <w:iCs w:val="false"/>
                <w:sz w:val="22"/>
                <w:szCs w:val="22"/>
              </w:rPr>
              <w:t xml:space="preserve">180-day MEDIUM Sharpe ≥ 0.8.</w:t>
            </w:r>
          </w:p>
          <w:p>
            <w:pPr>
              <w:pStyle w:val="ListParagraph"/>
              <w:numPr>
                <w:ilvl w:val="0"/>
                <w:numId w:val="2"/>
              </w:numPr>
              <w:spacing w:after="60"/>
            </w:pPr>
            <w:r>
              <w:rPr>
                <w:b w:val="false"/>
                <w:bCs w:val="false"/>
                <w:i w:val="false"/>
                <w:iCs w:val="false"/>
                <w:sz w:val="22"/>
                <w:szCs w:val="22"/>
              </w:rPr>
              <w:t xml:space="preserve">No undocumented capacity erosion.</w:t>
            </w:r>
          </w:p>
        </w:tc>
        <w:tc>
          <w:tcPr>
            <w:tcW w:type="dxa" w:w="17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bCs/>
                <w:i w:val="false"/>
                <w:iCs w:val="false"/>
                <w:color w:val="1B5E20"/>
                <w:sz w:val="20"/>
                <w:szCs w:val="20"/>
              </w:rPr>
              <w:t xml:space="preserve">GO → MEDIUM / FULL</w:t>
            </w:r>
          </w:p>
        </w:tc>
        <w:tc>
          <w:tcPr>
            <w:tcW w:type="dxa" w:w="260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val="false"/>
                <w:bCs w:val="false"/>
                <w:i w:val="false"/>
                <w:iCs w:val="false"/>
                <w:sz w:val="20"/>
                <w:szCs w:val="20"/>
              </w:rPr>
              <w:t xml:space="preserve">NO-GO at MEDIUM → hold at MEDIUM, 90-day re-review. NO-GO at FULL → demote to MEDIUM.</w:t>
            </w:r>
          </w:p>
        </w:tc>
      </w:tr>
    </w:tbl>
    <w:p>
      <w:pPr>
        <w:spacing w:after="100"/>
      </w:pPr>
      <w:r>
        <w:rPr>
          <w:b w:val="false"/>
          <w:bCs w:val="false"/>
          <w:i w:val="false"/>
          <w:iCs w:val="false"/>
          <w:sz w:val="22"/>
          <w:szCs w:val="22"/>
        </w:rPr>
        <w:t xml:space="preserve"/>
      </w:r>
    </w:p>
    <w:p>
      <w:pPr>
        <w:pStyle w:val="Heading2"/>
      </w:pPr>
      <w:r>
        <w:rPr>
          <w:b w:val="false"/>
          <w:bCs w:val="false"/>
          <w:i w:val="false"/>
          <w:iCs w:val="false"/>
          <w:sz w:val="22"/>
          <w:szCs w:val="22"/>
        </w:rPr>
        <w:t xml:space="preserve">Final verdict template</w:t>
      </w:r>
    </w:p>
    <w:p>
      <w:pPr>
        <w:spacing w:after="100"/>
      </w:pPr>
      <w:r>
        <w:rPr>
          <w:b w:val="false"/>
          <w:bCs w:val="false"/>
          <w:i w:val="false"/>
          <w:iCs w:val="false"/>
          <w:sz w:val="22"/>
          <w:szCs w:val="22"/>
        </w:rPr>
        <w:t xml:space="preserve">The IC issues one of four verdicts at the close of the review:</w:t>
      </w:r>
    </w:p>
    <w:p>
      <w:pPr>
        <w:pStyle w:val="ListParagraph"/>
        <w:numPr>
          <w:ilvl w:val="0"/>
          <w:numId w:val="2"/>
        </w:numPr>
        <w:spacing w:after="60"/>
      </w:pPr>
      <w:r>
        <w:rPr>
          <w:b w:val="false"/>
          <w:bCs w:val="false"/>
          <w:i w:val="false"/>
          <w:iCs w:val="false"/>
          <w:sz w:val="22"/>
          <w:szCs w:val="22"/>
        </w:rPr>
        <w:t xml:space="preserve">APPROVE — Full allocation per the tier framework. Production deployment begins.</w:t>
      </w:r>
    </w:p>
    <w:p>
      <w:pPr>
        <w:pStyle w:val="ListParagraph"/>
        <w:numPr>
          <w:ilvl w:val="0"/>
          <w:numId w:val="2"/>
        </w:numPr>
        <w:spacing w:after="60"/>
      </w:pPr>
      <w:r>
        <w:rPr>
          <w:b w:val="false"/>
          <w:bCs w:val="false"/>
          <w:i w:val="false"/>
          <w:iCs w:val="false"/>
          <w:sz w:val="22"/>
          <w:szCs w:val="22"/>
        </w:rPr>
        <w:t xml:space="preserve">APPROVE WITH CONDITIONS — Allocation contingent on specific remediation (e.g., capacity confirmation, cost-model re-calibration, sector exposure cap). Conditions documented and tracked.</w:t>
      </w:r>
    </w:p>
    <w:p>
      <w:pPr>
        <w:pStyle w:val="ListParagraph"/>
        <w:numPr>
          <w:ilvl w:val="0"/>
          <w:numId w:val="2"/>
        </w:numPr>
        <w:spacing w:after="60"/>
      </w:pPr>
      <w:r>
        <w:rPr>
          <w:b w:val="false"/>
          <w:bCs w:val="false"/>
          <w:i w:val="false"/>
          <w:iCs w:val="false"/>
          <w:sz w:val="22"/>
          <w:szCs w:val="22"/>
        </w:rPr>
        <w:t xml:space="preserve">DEFER — Insufficient evidence on one or more axes. Research continues with explicit list of additional artifacts required for re-review.</w:t>
      </w:r>
    </w:p>
    <w:p>
      <w:pPr>
        <w:pStyle w:val="ListParagraph"/>
        <w:numPr>
          <w:ilvl w:val="0"/>
          <w:numId w:val="2"/>
        </w:numPr>
        <w:spacing w:after="60"/>
      </w:pPr>
      <w:r>
        <w:rPr>
          <w:b w:val="false"/>
          <w:bCs w:val="false"/>
          <w:i w:val="false"/>
          <w:iCs w:val="false"/>
          <w:sz w:val="22"/>
          <w:szCs w:val="22"/>
        </w:rPr>
        <w:t xml:space="preserve">DECLINE — Strategy does not meet institutional standards. Research budget reallocated.</w:t>
      </w:r>
    </w:p>
    <w:p>
      <w:r>
        <w:br w:type="page"/>
      </w:r>
    </w:p>
    <w:p>
      <w:pPr>
        <w:pStyle w:val="Heading1"/>
      </w:pPr>
      <w:r>
        <w:rPr>
          <w:b w:val="false"/>
          <w:bCs w:val="false"/>
          <w:i w:val="false"/>
          <w:iCs w:val="false"/>
          <w:sz w:val="22"/>
          <w:szCs w:val="22"/>
        </w:rPr>
        <w:t xml:space="preserve">Appendix — Decision quick-reference</w:t>
      </w:r>
    </w:p>
    <w:p>
      <w:pPr>
        <w:pStyle w:val="Heading2"/>
      </w:pPr>
      <w:r>
        <w:rPr>
          <w:b w:val="false"/>
          <w:bCs w:val="false"/>
          <w:i w:val="false"/>
          <w:iCs w:val="false"/>
          <w:sz w:val="22"/>
          <w:szCs w:val="22"/>
        </w:rPr>
        <w:t xml:space="preserve">Single-page summary of allocation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2100"/>
        <w:gridCol w:w="2100"/>
      </w:tblGrid>
      <w:tr>
        <w:trPr>
          <w:tblHeader/>
        </w:trPr>
        <w:tc>
          <w:tcPr>
            <w:tcW w:type="dxa" w:w="3000"/>
            <w:tcBorders>
              <w:top w:val="single" w:color="CCCCCC" w:sz="4"/>
              <w:left w:val="single" w:color="CCCCCC" w:sz="4"/>
              <w:bottom w:val="single" w:color="CCCCCC" w:sz="4"/>
              <w:right w:val="single" w:color="CCCCCC" w:sz="4"/>
            </w:tcBorders>
            <w:shd w:fill="1F3A5F" w:val="clear"/>
            <w:tcMar>
              <w:top w:type="dxa" w:w="80"/>
              <w:left w:type="dxa" w:w="130"/>
              <w:bottom w:type="dxa" w:w="80"/>
              <w:right w:type="dxa" w:w="130"/>
            </w:tcMar>
            <w:vAlign w:val="top"/>
          </w:tcPr>
          <w:p>
            <w:pPr>
              <w:spacing w:after="30"/>
            </w:pPr>
            <w:r>
              <w:rPr>
                <w:b/>
                <w:bCs/>
                <w:i w:val="false"/>
                <w:iCs w:val="false"/>
                <w:color w:val="FFFFFF"/>
                <w:sz w:val="18"/>
                <w:szCs w:val="18"/>
              </w:rPr>
              <w:t xml:space="preserve">Net Sharpe (calibrated cost)</w:t>
            </w:r>
          </w:p>
        </w:tc>
        <w:tc>
          <w:tcPr>
            <w:tcW w:type="dxa" w:w="2160"/>
            <w:tcBorders>
              <w:top w:val="single" w:color="CCCCCC" w:sz="4"/>
              <w:left w:val="single" w:color="CCCCCC" w:sz="4"/>
              <w:bottom w:val="single" w:color="CCCCCC" w:sz="4"/>
              <w:right w:val="single" w:color="CCCCCC" w:sz="4"/>
            </w:tcBorders>
            <w:shd w:fill="1F3A5F" w:val="clear"/>
            <w:tcMar>
              <w:top w:type="dxa" w:w="80"/>
              <w:left w:type="dxa" w:w="130"/>
              <w:bottom w:type="dxa" w:w="80"/>
              <w:right w:type="dxa" w:w="130"/>
            </w:tcMar>
            <w:vAlign w:val="top"/>
          </w:tcPr>
          <w:p>
            <w:pPr>
              <w:spacing w:after="30"/>
              <w:jc w:val="center"/>
            </w:pPr>
            <w:r>
              <w:rPr>
                <w:b/>
                <w:bCs/>
                <w:i w:val="false"/>
                <w:iCs w:val="false"/>
                <w:color w:val="FFFFFF"/>
                <w:sz w:val="18"/>
                <w:szCs w:val="18"/>
              </w:rPr>
              <w:t xml:space="preserve">Capacity</w:t>
            </w:r>
          </w:p>
        </w:tc>
        <w:tc>
          <w:tcPr>
            <w:tcW w:type="dxa" w:w="2100"/>
            <w:tcBorders>
              <w:top w:val="single" w:color="CCCCCC" w:sz="4"/>
              <w:left w:val="single" w:color="CCCCCC" w:sz="4"/>
              <w:bottom w:val="single" w:color="CCCCCC" w:sz="4"/>
              <w:right w:val="single" w:color="CCCCCC" w:sz="4"/>
            </w:tcBorders>
            <w:shd w:fill="1F3A5F" w:val="clear"/>
            <w:tcMar>
              <w:top w:type="dxa" w:w="80"/>
              <w:left w:type="dxa" w:w="130"/>
              <w:bottom w:type="dxa" w:w="80"/>
              <w:right w:type="dxa" w:w="130"/>
            </w:tcMar>
            <w:vAlign w:val="top"/>
          </w:tcPr>
          <w:p>
            <w:pPr>
              <w:spacing w:after="30"/>
              <w:jc w:val="center"/>
            </w:pPr>
            <w:r>
              <w:rPr>
                <w:b/>
                <w:bCs/>
                <w:i w:val="false"/>
                <w:iCs w:val="false"/>
                <w:color w:val="FFFFFF"/>
                <w:sz w:val="18"/>
                <w:szCs w:val="18"/>
              </w:rPr>
              <w:t xml:space="preserve">Robustness (X of 6)</w:t>
            </w:r>
          </w:p>
        </w:tc>
        <w:tc>
          <w:tcPr>
            <w:tcW w:type="dxa" w:w="2100"/>
            <w:tcBorders>
              <w:top w:val="single" w:color="CCCCCC" w:sz="4"/>
              <w:left w:val="single" w:color="CCCCCC" w:sz="4"/>
              <w:bottom w:val="single" w:color="CCCCCC" w:sz="4"/>
              <w:right w:val="single" w:color="CCCCCC" w:sz="4"/>
            </w:tcBorders>
            <w:shd w:fill="1F3A5F" w:val="clear"/>
            <w:tcMar>
              <w:top w:type="dxa" w:w="80"/>
              <w:left w:type="dxa" w:w="130"/>
              <w:bottom w:type="dxa" w:w="80"/>
              <w:right w:type="dxa" w:w="130"/>
            </w:tcMar>
            <w:vAlign w:val="top"/>
          </w:tcPr>
          <w:p>
            <w:pPr>
              <w:spacing w:after="30"/>
              <w:jc w:val="center"/>
            </w:pPr>
            <w:r>
              <w:rPr>
                <w:b/>
                <w:bCs/>
                <w:i w:val="false"/>
                <w:iCs w:val="false"/>
                <w:color w:val="FFFFFF"/>
                <w:sz w:val="18"/>
                <w:szCs w:val="18"/>
              </w:rPr>
              <w:t xml:space="preserve">Verdict</w:t>
            </w:r>
          </w:p>
        </w:tc>
      </w:tr>
      <w:tr>
        <w:tc>
          <w:tcPr>
            <w:tcW w:type="dxa" w:w="30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bCs/>
                <w:i w:val="false"/>
                <w:iCs w:val="false"/>
                <w:sz w:val="20"/>
                <w:szCs w:val="20"/>
              </w:rPr>
              <w:t xml:space="preserve">≥ 1.0</w:t>
            </w:r>
          </w:p>
        </w:tc>
        <w:tc>
          <w:tcPr>
            <w:tcW w:type="dxa" w:w="21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jc w:val="center"/>
            </w:pPr>
            <w:r>
              <w:rPr>
                <w:b w:val="false"/>
                <w:bCs w:val="false"/>
                <w:i w:val="false"/>
                <w:iCs w:val="false"/>
                <w:sz w:val="20"/>
                <w:szCs w:val="20"/>
              </w:rPr>
              <w:t xml:space="preserve">≥ $400M</w:t>
            </w:r>
          </w:p>
        </w:tc>
        <w:tc>
          <w:tcPr>
            <w:tcW w:type="dxa" w:w="21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jc w:val="center"/>
            </w:pPr>
            <w:r>
              <w:rPr>
                <w:b w:val="false"/>
                <w:bCs w:val="false"/>
                <w:i w:val="false"/>
                <w:iCs w:val="false"/>
                <w:sz w:val="20"/>
                <w:szCs w:val="20"/>
              </w:rPr>
              <w:t xml:space="preserve">≥ 5</w:t>
            </w:r>
          </w:p>
        </w:tc>
        <w:tc>
          <w:tcPr>
            <w:tcW w:type="dxa" w:w="21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jc w:val="center"/>
            </w:pPr>
            <w:r>
              <w:rPr>
                <w:b/>
                <w:bCs/>
                <w:i w:val="false"/>
                <w:iCs w:val="false"/>
                <w:color w:val="1B5E20"/>
                <w:sz w:val="20"/>
                <w:szCs w:val="20"/>
              </w:rPr>
              <w:t xml:space="preserve">FULL allocation</w:t>
            </w:r>
          </w:p>
        </w:tc>
      </w:tr>
      <w:tr>
        <w:tc>
          <w:tcPr>
            <w:tcW w:type="dxa" w:w="30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bCs/>
                <w:i w:val="false"/>
                <w:iCs w:val="false"/>
                <w:sz w:val="20"/>
                <w:szCs w:val="20"/>
              </w:rPr>
              <w:t xml:space="preserve">0.7 – 1.0</w:t>
            </w:r>
          </w:p>
        </w:tc>
        <w:tc>
          <w:tcPr>
            <w:tcW w:type="dxa" w:w="216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jc w:val="center"/>
            </w:pPr>
            <w:r>
              <w:rPr>
                <w:b w:val="false"/>
                <w:bCs w:val="false"/>
                <w:i w:val="false"/>
                <w:iCs w:val="false"/>
                <w:sz w:val="20"/>
                <w:szCs w:val="20"/>
              </w:rPr>
              <w:t xml:space="preserve">$200M – $400M</w:t>
            </w:r>
          </w:p>
        </w:tc>
        <w:tc>
          <w:tcPr>
            <w:tcW w:type="dxa" w:w="21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jc w:val="center"/>
            </w:pPr>
            <w:r>
              <w:rPr>
                <w:b w:val="false"/>
                <w:bCs w:val="false"/>
                <w:i w:val="false"/>
                <w:iCs w:val="false"/>
                <w:sz w:val="20"/>
                <w:szCs w:val="20"/>
              </w:rPr>
              <w:t xml:space="preserve">≥ 5</w:t>
            </w:r>
          </w:p>
        </w:tc>
        <w:tc>
          <w:tcPr>
            <w:tcW w:type="dxa" w:w="21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jc w:val="center"/>
            </w:pPr>
            <w:r>
              <w:rPr>
                <w:b/>
                <w:bCs/>
                <w:i w:val="false"/>
                <w:iCs w:val="false"/>
                <w:color w:val="1B5E20"/>
                <w:sz w:val="20"/>
                <w:szCs w:val="20"/>
              </w:rPr>
              <w:t xml:space="preserve">MEDIUM allocation</w:t>
            </w:r>
          </w:p>
        </w:tc>
      </w:tr>
      <w:tr>
        <w:tc>
          <w:tcPr>
            <w:tcW w:type="dxa" w:w="30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bCs/>
                <w:i w:val="false"/>
                <w:iCs w:val="false"/>
                <w:sz w:val="20"/>
                <w:szCs w:val="20"/>
              </w:rPr>
              <w:t xml:space="preserve">0.5 – 0.7</w:t>
            </w:r>
          </w:p>
        </w:tc>
        <w:tc>
          <w:tcPr>
            <w:tcW w:type="dxa" w:w="21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jc w:val="center"/>
            </w:pPr>
            <w:r>
              <w:rPr>
                <w:b w:val="false"/>
                <w:bCs w:val="false"/>
                <w:i w:val="false"/>
                <w:iCs w:val="false"/>
                <w:sz w:val="20"/>
                <w:szCs w:val="20"/>
              </w:rPr>
              <w:t xml:space="preserve">≥ $100M</w:t>
            </w:r>
          </w:p>
        </w:tc>
        <w:tc>
          <w:tcPr>
            <w:tcW w:type="dxa" w:w="21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jc w:val="center"/>
            </w:pPr>
            <w:r>
              <w:rPr>
                <w:b w:val="false"/>
                <w:bCs w:val="false"/>
                <w:i w:val="false"/>
                <w:iCs w:val="false"/>
                <w:sz w:val="20"/>
                <w:szCs w:val="20"/>
              </w:rPr>
              <w:t xml:space="preserve">≥ 4</w:t>
            </w:r>
          </w:p>
        </w:tc>
        <w:tc>
          <w:tcPr>
            <w:tcW w:type="dxa" w:w="2100"/>
            <w:tcBorders>
              <w:top w:val="single" w:color="CCCCCC" w:sz="4"/>
              <w:left w:val="single" w:color="CCCCCC" w:sz="4"/>
              <w:bottom w:val="single" w:color="CCCCCC" w:sz="4"/>
              <w:right w:val="single" w:color="CCCCCC" w:sz="4"/>
            </w:tcBorders>
            <w:shd w:fill="FBEEDA" w:val="clear"/>
            <w:tcMar>
              <w:top w:type="dxa" w:w="80"/>
              <w:left w:type="dxa" w:w="130"/>
              <w:bottom w:type="dxa" w:w="80"/>
              <w:right w:type="dxa" w:w="130"/>
            </w:tcMar>
            <w:vAlign w:val="top"/>
          </w:tcPr>
          <w:p>
            <w:pPr>
              <w:spacing w:after="30"/>
              <w:jc w:val="center"/>
            </w:pPr>
            <w:r>
              <w:rPr>
                <w:b/>
                <w:bCs/>
                <w:i w:val="false"/>
                <w:iCs w:val="false"/>
                <w:color w:val="E07A1F"/>
                <w:sz w:val="20"/>
                <w:szCs w:val="20"/>
              </w:rPr>
              <w:t xml:space="preserve">SMALL allocation</w:t>
            </w:r>
          </w:p>
        </w:tc>
      </w:tr>
      <w:tr>
        <w:tc>
          <w:tcPr>
            <w:tcW w:type="dxa" w:w="30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bCs/>
                <w:i w:val="false"/>
                <w:iCs w:val="false"/>
                <w:sz w:val="20"/>
                <w:szCs w:val="20"/>
              </w:rPr>
              <w:t xml:space="preserve">0.3 – 0.5  OR  Robustness &lt; 4</w:t>
            </w:r>
          </w:p>
        </w:tc>
        <w:tc>
          <w:tcPr>
            <w:tcW w:type="dxa" w:w="216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jc w:val="center"/>
            </w:pPr>
            <w:r>
              <w:rPr>
                <w:b w:val="false"/>
                <w:bCs w:val="false"/>
                <w:i w:val="false"/>
                <w:iCs w:val="false"/>
                <w:sz w:val="20"/>
                <w:szCs w:val="20"/>
              </w:rPr>
              <w:t xml:space="preserve">Any</w:t>
            </w:r>
          </w:p>
        </w:tc>
        <w:tc>
          <w:tcPr>
            <w:tcW w:type="dxa" w:w="21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jc w:val="center"/>
            </w:pPr>
            <w:r>
              <w:rPr>
                <w:b w:val="false"/>
                <w:bCs w:val="false"/>
                <w:i w:val="false"/>
                <w:iCs w:val="false"/>
                <w:sz w:val="20"/>
                <w:szCs w:val="20"/>
              </w:rPr>
              <w:t xml:space="preserve">Any</w:t>
            </w:r>
          </w:p>
        </w:tc>
        <w:tc>
          <w:tcPr>
            <w:tcW w:type="dxa" w:w="2100"/>
            <w:tcBorders>
              <w:top w:val="single" w:color="CCCCCC" w:sz="4"/>
              <w:left w:val="single" w:color="CCCCCC" w:sz="4"/>
              <w:bottom w:val="single" w:color="CCCCCC" w:sz="4"/>
              <w:right w:val="single" w:color="CCCCCC" w:sz="4"/>
            </w:tcBorders>
            <w:shd w:fill="FBEEDA" w:val="clear"/>
            <w:tcMar>
              <w:top w:type="dxa" w:w="80"/>
              <w:left w:type="dxa" w:w="130"/>
              <w:bottom w:type="dxa" w:w="80"/>
              <w:right w:type="dxa" w:w="130"/>
            </w:tcMar>
            <w:vAlign w:val="top"/>
          </w:tcPr>
          <w:p>
            <w:pPr>
              <w:spacing w:after="30"/>
              <w:jc w:val="center"/>
            </w:pPr>
            <w:r>
              <w:rPr>
                <w:b/>
                <w:bCs/>
                <w:i w:val="false"/>
                <w:iCs w:val="false"/>
                <w:color w:val="E07A1F"/>
                <w:sz w:val="20"/>
                <w:szCs w:val="20"/>
              </w:rPr>
              <w:t xml:space="preserve">DEFER — re-scope</w:t>
            </w:r>
          </w:p>
        </w:tc>
      </w:tr>
      <w:tr>
        <w:tc>
          <w:tcPr>
            <w:tcW w:type="dxa" w:w="30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bCs/>
                <w:i w:val="false"/>
                <w:iCs w:val="false"/>
                <w:sz w:val="20"/>
                <w:szCs w:val="20"/>
              </w:rPr>
              <w:t xml:space="preserve">&lt; 0.3</w:t>
            </w:r>
          </w:p>
        </w:tc>
        <w:tc>
          <w:tcPr>
            <w:tcW w:type="dxa" w:w="21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jc w:val="center"/>
            </w:pPr>
            <w:r>
              <w:rPr>
                <w:b w:val="false"/>
                <w:bCs w:val="false"/>
                <w:i w:val="false"/>
                <w:iCs w:val="false"/>
                <w:sz w:val="20"/>
                <w:szCs w:val="20"/>
              </w:rPr>
              <w:t xml:space="preserve">Any</w:t>
            </w:r>
          </w:p>
        </w:tc>
        <w:tc>
          <w:tcPr>
            <w:tcW w:type="dxa" w:w="21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jc w:val="center"/>
            </w:pPr>
            <w:r>
              <w:rPr>
                <w:b w:val="false"/>
                <w:bCs w:val="false"/>
                <w:i w:val="false"/>
                <w:iCs w:val="false"/>
                <w:sz w:val="20"/>
                <w:szCs w:val="20"/>
              </w:rPr>
              <w:t xml:space="preserve">Any</w:t>
            </w:r>
          </w:p>
        </w:tc>
        <w:tc>
          <w:tcPr>
            <w:tcW w:type="dxa" w:w="210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jc w:val="center"/>
            </w:pPr>
            <w:r>
              <w:rPr>
                <w:b/>
                <w:bCs/>
                <w:i w:val="false"/>
                <w:iCs w:val="false"/>
                <w:color w:val="8E2F2F"/>
                <w:sz w:val="20"/>
                <w:szCs w:val="20"/>
              </w:rPr>
              <w:t xml:space="preserve">DECLINE</w:t>
            </w:r>
          </w:p>
        </w:tc>
      </w:tr>
    </w:tbl>
    <w:p>
      <w:pPr>
        <w:spacing w:after="100"/>
      </w:pPr>
      <w:r>
        <w:rPr>
          <w:b w:val="false"/>
          <w:bCs w:val="false"/>
          <w:i w:val="false"/>
          <w:iCs w:val="false"/>
          <w:sz w:val="22"/>
          <w:szCs w:val="22"/>
        </w:rPr>
        <w:t xml:space="preserve"/>
      </w:r>
    </w:p>
    <w:p>
      <w:pPr>
        <w:spacing w:after="100"/>
      </w:pPr>
      <w:r>
        <w:rPr>
          <w:b w:val="false"/>
          <w:bCs w:val="false"/>
          <w:i w:val="false"/>
          <w:iCs w:val="false"/>
          <w:sz w:val="22"/>
          <w:szCs w:val="22"/>
        </w:rPr>
        <w:t xml:space="preserve">This single-page table is the IC's first-pass screen. The full evaluation framework above governs nuance; the table governs the headline decision.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sz w:val="18"/>
        <w:szCs w:val="18"/>
      </w:rPr>
      <w:t xml:space="preserve">Page </w:t>
    </w:r>
    <w:r>
      <w:rPr>
        <w:sz w:val="18"/>
        <w:szCs w:val="18"/>
      </w:rPr>
      <w:fldChar w:fldCharType="begin"/>
      <w:instrText xml:space="preserve">PAGE</w:instrText>
      <w:fldChar w:fldCharType="separate"/>
      <w:fldChar w:fldCharType="end"/>
    </w:r>
    <w:r>
      <w:rPr>
        <w:b w:val="false"/>
        <w:bCs w:val="false"/>
        <w:i w:val="false"/>
        <w:iCs w:val="false"/>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iCs/>
        <w:color w:val="1F3A5F"/>
        <w:sz w:val="18"/>
        <w:szCs w:val="18"/>
      </w:rPr>
      <w:t xml:space="preserve">Investment Review — Results Interpretation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60" w:before="140"/>
      <w:outlineLvl w:val="2"/>
    </w:pPr>
    <w:rPr>
      <w:rFonts w:ascii="Calibri" w:cs="Calibri" w:eastAsia="Calibri" w:hAnsi="Calibri"/>
      <w:b/>
      <w:bCs/>
      <w:i/>
      <w:iCs/>
      <w:color w:val="B886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2026-06-08T12:53:27.197Z</dcterms:created>
  <dcterms:modified xsi:type="dcterms:W3CDTF">2026-06-08T12:53:27.207Z</dcterms:modified>
</cp:coreProperties>
</file>

<file path=docProps/custom.xml><?xml version="1.0" encoding="utf-8"?>
<Properties xmlns="http://schemas.openxmlformats.org/officeDocument/2006/custom-properties" xmlns:vt="http://schemas.openxmlformats.org/officeDocument/2006/docPropsVTypes"/>
</file>