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i w:val="false"/>
          <w:iCs w:val="false"/>
          <w:color w:val="1F3A5F"/>
          <w:sz w:val="56"/>
          <w:szCs w:val="56"/>
        </w:rPr>
        <w:t xml:space="preserve">Teaching the Dataset</w:t>
      </w:r>
    </w:p>
    <w:p>
      <w:pPr>
        <w:spacing w:after="120"/>
        <w:jc w:val="center"/>
      </w:pPr>
      <w:r>
        <w:rPr>
          <w:b w:val="false"/>
          <w:bCs w:val="false"/>
          <w:i w:val="false"/>
          <w:iCs w:val="false"/>
          <w:color w:val="1F3A5F"/>
          <w:sz w:val="30"/>
          <w:szCs w:val="30"/>
        </w:rPr>
        <w:t xml:space="preserve">From first principles, plain English first, quant second</w:t>
      </w:r>
    </w:p>
    <w:p>
      <w:pPr>
        <w:spacing w:after="800"/>
        <w:jc w:val="center"/>
      </w:pPr>
      <w:r>
        <w:rPr>
          <w:b w:val="false"/>
          <w:bCs w:val="false"/>
          <w:i/>
          <w:iCs/>
          <w:sz w:val="24"/>
          <w:szCs w:val="24"/>
        </w:rPr>
        <w:t xml:space="preserve">Built for defending your understanding to a portfolio manager</w:t>
      </w:r>
    </w:p>
    <w:p>
      <w:pPr>
        <w:spacing w:after="60"/>
        <w:jc w:val="center"/>
      </w:pPr>
      <w:r>
        <w:rPr>
          <w:b w:val="false"/>
          <w:bCs w:val="false"/>
          <w:i w:val="false"/>
          <w:iCs w:val="false"/>
          <w:sz w:val="22"/>
          <w:szCs w:val="22"/>
        </w:rPr>
        <w:t xml:space="preserve">Datasets: ETF OHLCV + SP400/500/600 PIT panels</w:t>
      </w:r>
    </w:p>
    <w:p>
      <w:pPr>
        <w:spacing w:after="60"/>
        <w:jc w:val="center"/>
      </w:pPr>
      <w:r>
        <w:rPr>
          <w:b w:val="false"/>
          <w:bCs w:val="false"/>
          <w:i w:val="false"/>
          <w:iCs w:val="false"/>
          <w:sz w:val="22"/>
          <w:szCs w:val="22"/>
        </w:rPr>
        <w:t xml:space="preserve">Coverage: 2016-03-01 to 2025-12-31</w:t>
      </w:r>
    </w:p>
    <w:p>
      <w:pPr>
        <w:spacing w:after="60"/>
        <w:jc w:val="center"/>
      </w:pPr>
      <w:r>
        <w:rPr>
          <w:b w:val="false"/>
          <w:bCs w:val="false"/>
          <w:i w:val="false"/>
          <w:iCs w:val="false"/>
          <w:sz w:val="22"/>
          <w:szCs w:val="22"/>
        </w:rPr>
        <w:t xml:space="preserve">Date: June 8, 2026</w:t>
      </w:r>
    </w:p>
    <w:p>
      <w:r>
        <w:br w:type="page"/>
      </w:r>
    </w:p>
    <w:p>
      <w:pPr>
        <w:pStyle w:val="Heading1"/>
      </w:pPr>
      <w:r>
        <w:rPr>
          <w:b w:val="false"/>
          <w:bCs w:val="false"/>
          <w:i w:val="false"/>
          <w:iCs w:val="false"/>
          <w:sz w:val="22"/>
          <w:szCs w:val="22"/>
        </w:rPr>
        <w:t xml:space="preserve">How to read this document</w:t>
      </w:r>
    </w:p>
    <w:p>
      <w:pPr>
        <w:spacing w:after="100"/>
      </w:pPr>
      <w:r>
        <w:rPr>
          <w:b w:val="false"/>
          <w:bCs w:val="false"/>
          <w:i w:val="false"/>
          <w:iCs w:val="false"/>
          <w:sz w:val="22"/>
          <w:szCs w:val="22"/>
        </w:rPr>
        <w:t xml:space="preserve">Every concept is presented twice. The plain-English box tells you what the data means — the way you would explain it to someone who doesn't know finance. The quant box tells you what the data is in technical terms — types, units, conventions, gotchas. You need both. The plain-English version is what protects you from confusion under PM cross-examination. The quant version is what protects you from coding errors in your backtest.</w:t>
      </w:r>
    </w:p>
    <w:p>
      <w:pPr>
        <w:spacing w:after="100"/>
      </w:pPr>
      <w:r>
        <w:rPr>
          <w:b w:val="false"/>
          <w:bCs w:val="false"/>
          <w:i w:val="false"/>
          <w:iCs w:val="false"/>
          <w:sz w:val="22"/>
          <w:szCs w:val="22"/>
        </w:rPr>
        <w:t xml:space="preserve">Read the foundational concepts chapter first. Five ideas — PIT, calendar grid, back-adjustment, total-vs-price return, GICS — appear everywhere afterwards. Internalizing them once saves you from re-explaining them per dataset.</w:t>
      </w:r>
    </w:p>
    <w:p>
      <w:pPr>
        <w:spacing w:after="100"/>
      </w:pPr>
      <w:r>
        <w:rPr>
          <w:b w:val="false"/>
          <w:bCs w:val="false"/>
          <w:i w:val="false"/>
          <w:iCs w:val="false"/>
          <w:sz w:val="22"/>
          <w:szCs w:val="22"/>
        </w:rPr>
        <w:t xml:space="preserve">Each dataset chapter answers the nine questions in order: what it represents, why it exists, how a quant uses it, what each column means, what information each column contains, what features you can engineer, what mistakes researchers make, what biases lurk, and how it connects to the other datasets.</w:t>
      </w:r>
    </w:p>
    <w:p>
      <w:pPr>
        <w:spacing w:after="100"/>
      </w:pPr>
      <w:r>
        <w:rPr>
          <w:b w:val="false"/>
          <w:bCs w:val="false"/>
          <w:i w:val="false"/>
          <w:iCs w:val="false"/>
          <w:sz w:val="22"/>
          <w:szCs w:val="22"/>
        </w:rPr>
        <w:t xml:space="preserve">The final chapter is the PM defense. It is the set of questions a portfolio manager actually asks when you walk into the room with a strategy that uses this data. Memorizing those answers is the difference between sounding fluent and sounding rehearsed.</w:t>
      </w:r>
    </w:p>
    <w:p>
      <w:r>
        <w:br w:type="page"/>
      </w:r>
    </w:p>
    <w:p>
      <w:pPr>
        <w:pStyle w:val="Heading1"/>
      </w:pPr>
      <w:r>
        <w:rPr>
          <w:b w:val="false"/>
          <w:bCs w:val="false"/>
          <w:i w:val="false"/>
          <w:iCs w:val="false"/>
          <w:sz w:val="22"/>
          <w:szCs w:val="22"/>
        </w:rPr>
        <w:t xml:space="preserve">Chapter 1 — Five foundational concepts</w:t>
      </w:r>
    </w:p>
    <w:p>
      <w:pPr>
        <w:pStyle w:val="Heading2"/>
      </w:pPr>
      <w:r>
        <w:rPr>
          <w:b w:val="false"/>
          <w:bCs w:val="false"/>
          <w:i w:val="false"/>
          <w:iCs w:val="false"/>
          <w:sz w:val="22"/>
          <w:szCs w:val="22"/>
        </w:rPr>
        <w:t xml:space="preserve">1.1 Point-in-time (PIT)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bCs/>
                <w:i w:val="false"/>
                <w:iCs w:val="false"/>
                <w:color w:val="8A6E1E"/>
                <w:sz w:val="18"/>
                <w:szCs w:val="18"/>
              </w:rPr>
              <w:t xml:space="preserve">Plain English</w:t>
            </w:r>
          </w:p>
        </w:tc>
        <w:tc>
          <w:tcPr>
            <w:tcW w:type="dxa" w:w="826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val="false"/>
                <w:bCs w:val="false"/>
                <w:i w:val="false"/>
                <w:iCs w:val="false"/>
                <w:sz w:val="21"/>
                <w:szCs w:val="21"/>
              </w:rPr>
              <w:t xml:space="preserve">A point-in-time dataset shows you what was true on each historical date, using only information that was actually knowable on that date. A non-PIT dataset shows you today's facts applied to history, even where today's facts didn't exist back then. Example: today, we know that Tesla was added to the S&amp;P 500 in December 2020. A PIT dataset reflects that Tesla joined on that specific date — before December 2020, it is not in the SP500 file. A non-PIT ("current membership") dataset would show Tesla as an SP500 member on every date in the file, retroactively. Using non-PIT data in a backtest is one of the most common ways to fake performance.</w:t>
            </w:r>
          </w:p>
        </w:tc>
      </w:tr>
      <w:tr>
        <w:tc>
          <w:tcPr>
            <w:tcW w:type="dxa" w:w="110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bCs/>
                <w:i w:val="false"/>
                <w:iCs w:val="false"/>
                <w:color w:val="1F3A5F"/>
                <w:sz w:val="18"/>
                <w:szCs w:val="18"/>
              </w:rPr>
              <w:t xml:space="preserve">Quant terms</w:t>
            </w:r>
          </w:p>
        </w:tc>
        <w:tc>
          <w:tcPr>
            <w:tcW w:type="dxa" w:w="826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val="false"/>
                <w:bCs w:val="false"/>
                <w:i w:val="false"/>
                <w:iCs w:val="false"/>
                <w:sz w:val="21"/>
                <w:szCs w:val="21"/>
              </w:rPr>
              <w:t xml:space="preserve">PIT integrity here means three things hold simultaneously: (a) the membership list at ID_DATE M reflects S&amp;P's official constituency as of month-end M, (b) prices/volumes/market-caps are sourced as the values reported in real time for that name on that date, (c) GICS tags reflect classifications applied as of that date. The dataset you have largely satisfies (a) and (b) but only partly satisfies (c) — sector tags are stable through each ID's life rather than dynamically reclassified, which is a known limitation around the 2018 GICS reorganization.</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1.2 Calendar-day vs business-day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bCs/>
                <w:i w:val="false"/>
                <w:iCs w:val="false"/>
                <w:color w:val="8A6E1E"/>
                <w:sz w:val="18"/>
                <w:szCs w:val="18"/>
              </w:rPr>
              <w:t xml:space="preserve">Plain English</w:t>
            </w:r>
          </w:p>
        </w:tc>
        <w:tc>
          <w:tcPr>
            <w:tcW w:type="dxa" w:w="826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val="false"/>
                <w:bCs w:val="false"/>
                <w:i w:val="false"/>
                <w:iCs w:val="false"/>
                <w:sz w:val="21"/>
                <w:szCs w:val="21"/>
              </w:rPr>
              <w:t xml:space="preserve">Your PIT files have one row per stock per calendar day. That means weekends and holidays are included with no price or volume — financial values are blank on those days because the market didn't trade. Your ETF file is different: it has one row per stock per business day, skipping weekends entirely. Why does this matter? If you load the PIT file and naively compute average daily volume, you will divide by too many days and get a misleadingly low number. You have to filter out the non-trading days first.</w:t>
            </w:r>
          </w:p>
        </w:tc>
      </w:tr>
      <w:tr>
        <w:tc>
          <w:tcPr>
            <w:tcW w:type="dxa" w:w="110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bCs/>
                <w:i w:val="false"/>
                <w:iCs w:val="false"/>
                <w:color w:val="1F3A5F"/>
                <w:sz w:val="18"/>
                <w:szCs w:val="18"/>
              </w:rPr>
              <w:t xml:space="preserve">Quant terms</w:t>
            </w:r>
          </w:p>
        </w:tc>
        <w:tc>
          <w:tcPr>
            <w:tcW w:type="dxa" w:w="826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val="false"/>
                <w:bCs w:val="false"/>
                <w:i w:val="false"/>
                <w:iCs w:val="false"/>
                <w:sz w:val="21"/>
                <w:szCs w:val="21"/>
              </w:rPr>
              <w:t xml:space="preserve">Calendar grids inflate row count by ~40% (5/7) and require an explicit weekday filter (DATE.dt.dayofweek &lt; 5) plus an exclusion of US market holidays. Holidays are weekday rows with NaN financials, distinguishable from corporate-action gaps by the fact that every name in the panel has NaN on the same date. In practice the simplest correct filter is Price.notna() — it drops both weekends and holidays in one pass. Do not forward-fill NaN prices; that imputes trading that did not happen.</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1.3 Back-adjustment for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bCs/>
                <w:i w:val="false"/>
                <w:iCs w:val="false"/>
                <w:color w:val="8A6E1E"/>
                <w:sz w:val="18"/>
                <w:szCs w:val="18"/>
              </w:rPr>
              <w:t xml:space="preserve">Plain English</w:t>
            </w:r>
          </w:p>
        </w:tc>
        <w:tc>
          <w:tcPr>
            <w:tcW w:type="dxa" w:w="826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val="false"/>
                <w:bCs w:val="false"/>
                <w:i w:val="false"/>
                <w:iCs w:val="false"/>
                <w:sz w:val="21"/>
                <w:szCs w:val="21"/>
              </w:rPr>
              <w:t xml:space="preserve">When a company splits its stock (say 4-for-1), the price drops to a quarter of what it was and the share count quadruples. Real history records the original prices. The dataset you have rewrites history: it goes back and divides all earlier prices by the split ratio, so the price series is smooth across the split. This is convenient — you don't have to manually handle the split when computing returns — but it has consequences. The 2017 Apple price in your dataset is $30, not $120 (the real number from 2017). The 2017 share count is also adjusted (×4), so market cap is correct. Volume is similarly adjusted. Net effect: returns are right, dollar volume is right, market cap is right, but absolute price levels, raw share counts, and reported tape volume are not what a trader actually saw in 2017.</w:t>
            </w:r>
          </w:p>
        </w:tc>
      </w:tr>
      <w:tr>
        <w:tc>
          <w:tcPr>
            <w:tcW w:type="dxa" w:w="110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bCs/>
                <w:i w:val="false"/>
                <w:iCs w:val="false"/>
                <w:color w:val="1F3A5F"/>
                <w:sz w:val="18"/>
                <w:szCs w:val="18"/>
              </w:rPr>
              <w:t xml:space="preserve">Quant terms</w:t>
            </w:r>
          </w:p>
        </w:tc>
        <w:tc>
          <w:tcPr>
            <w:tcW w:type="dxa" w:w="826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val="false"/>
                <w:bCs w:val="false"/>
                <w:i w:val="false"/>
                <w:iCs w:val="false"/>
                <w:sz w:val="21"/>
                <w:szCs w:val="21"/>
              </w:rPr>
              <w:t xml:space="preserve">Back-adjustment anchors the series at the current share class. For a name with cumulative subsequent split ratio s (e.g., s=40 for NVDA from 2016 through its 4:1 and 10:1 splits), historical Price is divided by s, Shares_Out is multiplied by s, Volume is divided by s, and Market_Cap = Price × Shares_Out is invariant. Implications: percent returns are correct; price-level features (minimum-price filter, tick-size approximations, $-rounded levels) embed lookahead because the level was determined with hindsight; share-count or share-volume features have a scale that doesn't match historical exchange data. Mitigate by using Market_Cap for size filters and dollar volume for liquidity filters.</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1.4 Total return vs price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bCs/>
                <w:i w:val="false"/>
                <w:iCs w:val="false"/>
                <w:color w:val="8A6E1E"/>
                <w:sz w:val="18"/>
                <w:szCs w:val="18"/>
              </w:rPr>
              <w:t xml:space="preserve">Plain English</w:t>
            </w:r>
          </w:p>
        </w:tc>
        <w:tc>
          <w:tcPr>
            <w:tcW w:type="dxa" w:w="826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val="false"/>
                <w:bCs w:val="false"/>
                <w:i w:val="false"/>
                <w:iCs w:val="false"/>
                <w:sz w:val="21"/>
                <w:szCs w:val="21"/>
              </w:rPr>
              <w:t xml:space="preserve">When you own a stock, you make money two ways: the price goes up, and you receive dividends. The 'price return' counts only the first. The 'total return' counts both. Your ETF file has an Adj_Close column that is total-return adjusted (it builds in the dividend reinvestment). Your PIT file's Price column is only split-adjusted; it doesn't add dividends. So if you compare the percent change of ETF Adj_Close to the percent change of PIT Price for the same stock, you would get different answers — the ETF version is larger by approximately the dividend yield. You need to pick one convention and apply it consistently, or you will systematically misprice positions when mixing the two datasets.</w:t>
            </w:r>
          </w:p>
        </w:tc>
      </w:tr>
      <w:tr>
        <w:tc>
          <w:tcPr>
            <w:tcW w:type="dxa" w:w="110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bCs/>
                <w:i w:val="false"/>
                <w:iCs w:val="false"/>
                <w:color w:val="1F3A5F"/>
                <w:sz w:val="18"/>
                <w:szCs w:val="18"/>
              </w:rPr>
              <w:t xml:space="preserve">Quant terms</w:t>
            </w:r>
          </w:p>
        </w:tc>
        <w:tc>
          <w:tcPr>
            <w:tcW w:type="dxa" w:w="826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val="false"/>
                <w:bCs w:val="false"/>
                <w:i w:val="false"/>
                <w:iCs w:val="false"/>
                <w:sz w:val="21"/>
                <w:szCs w:val="21"/>
              </w:rPr>
              <w:t xml:space="preserve">PIT Price.pct_change() yields the price return r_price = (P_t - P_{t-1}) / P_{t-1}. ETF Adj_Close.pct_change() yields the total return r_total = r_price + dividend_yield_t. The difference is ~150-300 bps annualized for typical ETFs and a similar magnitude for high-dividend single names. For internal consistency, the simplest convention is: use ETF Close.pct_change() (not Adj_Close) when comparing to PIT Price.pct_change(). If you want true total return, you need a single-name dividend feed in addition to this dataset.</w:t>
            </w:r>
          </w:p>
        </w:tc>
      </w:tr>
    </w:tbl>
    <w:p>
      <w:pPr>
        <w:spacing w:after="100"/>
      </w:pPr>
      <w:r>
        <w:rPr>
          <w:b w:val="false"/>
          <w:bCs w:val="false"/>
          <w:i w:val="false"/>
          <w:iCs w:val="false"/>
          <w:sz w:val="22"/>
          <w:szCs w:val="22"/>
        </w:rPr>
        <w:t xml:space="preserve"/>
      </w:r>
    </w:p>
    <w:p>
      <w:pPr>
        <w:pStyle w:val="Heading2"/>
      </w:pPr>
      <w:r>
        <w:rPr>
          <w:b w:val="false"/>
          <w:bCs w:val="false"/>
          <w:i w:val="false"/>
          <w:iCs w:val="false"/>
          <w:sz w:val="22"/>
          <w:szCs w:val="22"/>
        </w:rPr>
        <w:t xml:space="preserve">1.5 GICS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bCs/>
                <w:i w:val="false"/>
                <w:iCs w:val="false"/>
                <w:color w:val="8A6E1E"/>
                <w:sz w:val="18"/>
                <w:szCs w:val="18"/>
              </w:rPr>
              <w:t xml:space="preserve">Plain English</w:t>
            </w:r>
          </w:p>
        </w:tc>
        <w:tc>
          <w:tcPr>
            <w:tcW w:type="dxa" w:w="826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val="false"/>
                <w:bCs w:val="false"/>
                <w:i w:val="false"/>
                <w:iCs w:val="false"/>
                <w:sz w:val="21"/>
                <w:szCs w:val="21"/>
              </w:rPr>
              <w:t xml:space="preserve">GICS is the standard system for categorizing companies into industries. It has four levels, getting more specific as you go down: Sector (11 buckets, like 'Technology' or 'Financials'), Industry Group (24), Industry (74), Sub-Industry (~163). Apple is in the Information Technology sector, the Technology Hardware &amp; Equipment industry group, the Technology Hardware, Storage &amp; Peripherals industry, and the same name at the Sub-Industry level. The lower you go, the tighter the peer group — Sub-Industry is where stocks are most directly comparable. Your dataset includes all four levels.</w:t>
            </w:r>
          </w:p>
        </w:tc>
      </w:tr>
      <w:tr>
        <w:tc>
          <w:tcPr>
            <w:tcW w:type="dxa" w:w="110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bCs/>
                <w:i w:val="false"/>
                <w:iCs w:val="false"/>
                <w:color w:val="1F3A5F"/>
                <w:sz w:val="18"/>
                <w:szCs w:val="18"/>
              </w:rPr>
              <w:t xml:space="preserve">Quant terms</w:t>
            </w:r>
          </w:p>
        </w:tc>
        <w:tc>
          <w:tcPr>
            <w:tcW w:type="dxa" w:w="826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val="false"/>
                <w:bCs w:val="false"/>
                <w:i w:val="false"/>
                <w:iCs w:val="false"/>
                <w:sz w:val="21"/>
                <w:szCs w:val="21"/>
              </w:rPr>
              <w:t xml:space="preserve">Sector → Industry Group → Industry → Sub-Industry, with cardinalities approximately 11 / 24 / 74 / 163. In this dataset all four levels are present per row but are stable through each ID's life — i.e., a single GICS classification per ticker for the entire 2016-2025 window. This makes sub-industry an ideal peer-cohort variable for cross-sectional ranking and neutralization, but means you cannot study real-time reclassification effects (most notably the 2018-09 Telecom → Communication Services restructuring).</w:t>
            </w:r>
          </w:p>
        </w:tc>
      </w:tr>
    </w:tbl>
    <w:p>
      <w:r>
        <w:br w:type="page"/>
      </w:r>
    </w:p>
    <w:p>
      <w:pPr>
        <w:pStyle w:val="Heading1"/>
      </w:pPr>
      <w:r>
        <w:rPr>
          <w:b w:val="false"/>
          <w:bCs w:val="false"/>
          <w:i w:val="false"/>
          <w:iCs w:val="false"/>
          <w:sz w:val="22"/>
          <w:szCs w:val="22"/>
        </w:rPr>
        <w:t xml:space="preserve">Chapter 2 — etf_ohlcv_20160301_20251231.csv</w:t>
      </w:r>
    </w:p>
    <w:p>
      <w:pPr>
        <w:pStyle w:val="Heading2"/>
      </w:pPr>
      <w:r>
        <w:rPr>
          <w:b w:val="false"/>
          <w:bCs w:val="false"/>
          <w:i w:val="false"/>
          <w:iCs w:val="false"/>
          <w:sz w:val="22"/>
          <w:szCs w:val="22"/>
        </w:rPr>
        <w:t xml:space="preserve">2.1 What the dataset represents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bCs/>
                <w:i w:val="false"/>
                <w:iCs w:val="false"/>
                <w:color w:val="8A6E1E"/>
                <w:sz w:val="18"/>
                <w:szCs w:val="18"/>
              </w:rPr>
              <w:t xml:space="preserve">Plain English</w:t>
            </w:r>
          </w:p>
        </w:tc>
        <w:tc>
          <w:tcPr>
            <w:tcW w:type="dxa" w:w="826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val="false"/>
                <w:bCs w:val="false"/>
                <w:i w:val="false"/>
                <w:iCs w:val="false"/>
                <w:sz w:val="21"/>
                <w:szCs w:val="21"/>
              </w:rPr>
              <w:t xml:space="preserve">Daily opening, high, low, closing prices and trading volume for 14 exchange-traded funds, every business day from March 2016 through December 2025. The funds include the three biggest broad US equity ETFs (SPY tracking the S&amp;P 500, QQQ tracking the Nasdaq-100, RSP the equal-weighted S&amp;P 500) plus the eleven sector SPDR ETFs that track each GICS sector of the S&amp;P 500 individually (XLF for financials, XLK for tech, XLE for energy, etc.).</w:t>
            </w:r>
          </w:p>
        </w:tc>
      </w:tr>
      <w:tr>
        <w:tc>
          <w:tcPr>
            <w:tcW w:type="dxa" w:w="110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bCs/>
                <w:i w:val="false"/>
                <w:iCs w:val="false"/>
                <w:color w:val="1F3A5F"/>
                <w:sz w:val="18"/>
                <w:szCs w:val="18"/>
              </w:rPr>
              <w:t xml:space="preserve">Quant terms</w:t>
            </w:r>
          </w:p>
        </w:tc>
        <w:tc>
          <w:tcPr>
            <w:tcW w:type="dxa" w:w="826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val="false"/>
                <w:bCs w:val="false"/>
                <w:i w:val="false"/>
                <w:iCs w:val="false"/>
                <w:sz w:val="21"/>
                <w:szCs w:val="21"/>
              </w:rPr>
              <w:t xml:space="preserve">OHLCV panel keyed by (Ticker, Date) for 14 instruments, 2,475 business days per ticker (1,895 for XLC which launched 2018-06-19), no missing values, OHLC sanity verified (zero violations of High ≥ max(O,C), Low ≤ min(O,C), High ≥ Low), Adj_Close populated as a true total-return series.</w:t>
            </w:r>
          </w:p>
        </w:tc>
      </w:tr>
    </w:tbl>
    <w:p>
      <w:pPr>
        <w:pStyle w:val="Heading2"/>
      </w:pPr>
      <w:r>
        <w:rPr>
          <w:b w:val="false"/>
          <w:bCs w:val="false"/>
          <w:i w:val="false"/>
          <w:iCs w:val="false"/>
          <w:sz w:val="22"/>
          <w:szCs w:val="22"/>
        </w:rPr>
        <w:t xml:space="preserve">2.2 Why the dataset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bCs/>
                <w:i w:val="false"/>
                <w:iCs w:val="false"/>
                <w:color w:val="8A6E1E"/>
                <w:sz w:val="18"/>
                <w:szCs w:val="18"/>
              </w:rPr>
              <w:t xml:space="preserve">Plain English</w:t>
            </w:r>
          </w:p>
        </w:tc>
        <w:tc>
          <w:tcPr>
            <w:tcW w:type="dxa" w:w="826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val="false"/>
                <w:bCs w:val="false"/>
                <w:i w:val="false"/>
                <w:iCs w:val="false"/>
                <w:sz w:val="21"/>
                <w:szCs w:val="21"/>
              </w:rPr>
              <w:t xml:space="preserve">Three reasons. First, sector ETFs are the standard tool for measuring how each industry of the market is performing, separately from the broad market. Second, broad ETFs are the cheapest and most liquid way to express a view on the whole market — they are the default hedging instrument. Third, an ETF is itself a single tradable instrument that gives you a clean reference series — when you want a 'market return' or 'sector return' number, you don't have to compute it from constituents; you can just read it off the ETF.</w:t>
            </w:r>
          </w:p>
        </w:tc>
      </w:tr>
      <w:tr>
        <w:tc>
          <w:tcPr>
            <w:tcW w:type="dxa" w:w="110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bCs/>
                <w:i w:val="false"/>
                <w:iCs w:val="false"/>
                <w:color w:val="1F3A5F"/>
                <w:sz w:val="18"/>
                <w:szCs w:val="18"/>
              </w:rPr>
              <w:t xml:space="preserve">Quant terms</w:t>
            </w:r>
          </w:p>
        </w:tc>
        <w:tc>
          <w:tcPr>
            <w:tcW w:type="dxa" w:w="826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val="false"/>
                <w:bCs w:val="false"/>
                <w:i w:val="false"/>
                <w:iCs w:val="false"/>
                <w:sz w:val="21"/>
                <w:szCs w:val="21"/>
              </w:rPr>
              <w:t xml:space="preserve">Sector ETFs serve as: (a) a regression benchmark for residualizing single-name returns and isolating idiosyncratic alpha, (b) a hedging vehicle for sector-neutral portfolio construction, (c) an exposure decomposition target for risk attribution. Broad ETFs serve the equivalent role at the market level. Having both in the same file lets you decompose any single-name return into market + sector + idio without external data.</w:t>
            </w:r>
          </w:p>
        </w:tc>
      </w:tr>
    </w:tbl>
    <w:p>
      <w:pPr>
        <w:pStyle w:val="Heading2"/>
      </w:pPr>
      <w:r>
        <w:rPr>
          <w:b w:val="false"/>
          <w:bCs w:val="false"/>
          <w:i w:val="false"/>
          <w:iCs w:val="false"/>
          <w:sz w:val="22"/>
          <w:szCs w:val="22"/>
        </w:rPr>
        <w:t xml:space="preserve">2.3 How a quant researcher uses it</w:t>
      </w:r>
    </w:p>
    <w:p>
      <w:pPr>
        <w:pStyle w:val="ListParagraph"/>
        <w:numPr>
          <w:ilvl w:val="0"/>
          <w:numId w:val="2"/>
        </w:numPr>
        <w:spacing w:after="60"/>
      </w:pPr>
      <w:r>
        <w:rPr>
          <w:b w:val="false"/>
          <w:bCs w:val="false"/>
          <w:i w:val="false"/>
          <w:iCs w:val="false"/>
          <w:sz w:val="22"/>
          <w:szCs w:val="22"/>
        </w:rPr>
        <w:t xml:space="preserve">Benchmark for de-betaing single-name returns. For each name on each date, compute residual = name_return − beta × sector_ETF_return. The residual is the part of the return that isn't explained by sector exposure.</w:t>
      </w:r>
    </w:p>
    <w:p>
      <w:pPr>
        <w:pStyle w:val="ListParagraph"/>
        <w:numPr>
          <w:ilvl w:val="0"/>
          <w:numId w:val="2"/>
        </w:numPr>
        <w:spacing w:after="60"/>
      </w:pPr>
      <w:r>
        <w:rPr>
          <w:b w:val="false"/>
          <w:bCs w:val="false"/>
          <w:i w:val="false"/>
          <w:iCs w:val="false"/>
          <w:sz w:val="22"/>
          <w:szCs w:val="22"/>
        </w:rPr>
        <w:t xml:space="preserve">Sector momentum and rotation analysis at the index level rather than the noisy single-name level.</w:t>
      </w:r>
    </w:p>
    <w:p>
      <w:pPr>
        <w:pStyle w:val="ListParagraph"/>
        <w:numPr>
          <w:ilvl w:val="0"/>
          <w:numId w:val="2"/>
        </w:numPr>
        <w:spacing w:after="60"/>
      </w:pPr>
      <w:r>
        <w:rPr>
          <w:b w:val="false"/>
          <w:bCs w:val="false"/>
          <w:i w:val="false"/>
          <w:iCs w:val="false"/>
          <w:sz w:val="22"/>
          <w:szCs w:val="22"/>
        </w:rPr>
        <w:t xml:space="preserve">Volatility and correlation regime detection — sector ETF return cross-correlations are a clean read on whether the market is in a 'macro-driven' (high cross-correlation) or 'idio-driven' (low cross-correlation) regime.</w:t>
      </w:r>
    </w:p>
    <w:p>
      <w:pPr>
        <w:pStyle w:val="ListParagraph"/>
        <w:numPr>
          <w:ilvl w:val="0"/>
          <w:numId w:val="2"/>
        </w:numPr>
        <w:spacing w:after="60"/>
      </w:pPr>
      <w:r>
        <w:rPr>
          <w:b w:val="false"/>
          <w:bCs w:val="false"/>
          <w:i w:val="false"/>
          <w:iCs w:val="false"/>
          <w:sz w:val="22"/>
          <w:szCs w:val="22"/>
        </w:rPr>
        <w:t xml:space="preserve">Hedging instrument selection — sector-neutral L/S overlays use sector ETFs to neutralize aggregate exposure cheaply.</w:t>
      </w:r>
    </w:p>
    <w:p>
      <w:pPr>
        <w:pStyle w:val="ListParagraph"/>
        <w:numPr>
          <w:ilvl w:val="0"/>
          <w:numId w:val="2"/>
        </w:numPr>
        <w:spacing w:after="60"/>
      </w:pPr>
      <w:r>
        <w:rPr>
          <w:b w:val="false"/>
          <w:bCs w:val="false"/>
          <w:i w:val="false"/>
          <w:iCs w:val="false"/>
          <w:sz w:val="22"/>
          <w:szCs w:val="22"/>
        </w:rPr>
        <w:t xml:space="preserve">Liquidity / cost benchmarking — ETF dollar volume is a useful floor for transaction cost models.</w:t>
      </w:r>
    </w:p>
    <w:p>
      <w:pPr>
        <w:pStyle w:val="Heading2"/>
      </w:pPr>
      <w:r>
        <w:rPr>
          <w:b w:val="false"/>
          <w:bCs w:val="false"/>
          <w:i w:val="false"/>
          <w:iCs w:val="false"/>
          <w:sz w:val="22"/>
          <w:szCs w:val="22"/>
        </w:rPr>
        <w:t xml:space="preserve">2.4 What each column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5160"/>
      </w:tblGrid>
      <w:tr>
        <w:trPr>
          <w:tblHeader/>
        </w:trPr>
        <w:tc>
          <w:tcPr>
            <w:tcW w:type="dxa" w:w="15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Column</w:t>
            </w:r>
          </w:p>
        </w:tc>
        <w:tc>
          <w:tcPr>
            <w:tcW w:type="dxa" w:w="12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Type</w:t>
            </w:r>
          </w:p>
        </w:tc>
        <w:tc>
          <w:tcPr>
            <w:tcW w:type="dxa" w:w="15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Plain English</w:t>
            </w:r>
          </w:p>
        </w:tc>
        <w:tc>
          <w:tcPr>
            <w:tcW w:type="dxa" w:w="516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Quant detail</w:t>
            </w:r>
          </w:p>
        </w:tc>
      </w:tr>
      <w:tr>
        <w:tc>
          <w:tcPr>
            <w:tcW w:type="dxa" w:w="15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Ticker</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string</w:t>
            </w:r>
          </w:p>
        </w:tc>
        <w:tc>
          <w:tcPr>
            <w:tcW w:type="dxa" w:w="15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The ticker symbol that the ETF trades under.</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Standard exchange ticker, no Bloomberg suffix. 14 unique values. Primary key with Date.</w:t>
            </w:r>
          </w:p>
        </w:tc>
      </w:tr>
      <w:tr>
        <w:tc>
          <w:tcPr>
            <w:tcW w:type="dxa" w:w="15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ETF_Group</w:t>
            </w:r>
          </w:p>
        </w:tc>
        <w:tc>
          <w:tcPr>
            <w:tcW w:type="dxa" w:w="12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string</w:t>
            </w:r>
          </w:p>
        </w:tc>
        <w:tc>
          <w:tcPr>
            <w:tcW w:type="dxa" w:w="15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Whether the ETF tracks the whole market (Broad) or a single industry (Sector).</w:t>
            </w:r>
          </w:p>
        </w:tc>
        <w:tc>
          <w:tcPr>
            <w:tcW w:type="dxa" w:w="51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Two values: "Broad ETF" (SPY, QQQ, RSP) and "Sector ETF" (XLB/XLC/XLE/XLF/XLI/XLK/XLP/XLRE/XLU/XLV/XLY).</w:t>
            </w:r>
          </w:p>
        </w:tc>
      </w:tr>
      <w:tr>
        <w:tc>
          <w:tcPr>
            <w:tcW w:type="dxa" w:w="15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Date</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date</w:t>
            </w:r>
          </w:p>
        </w:tc>
        <w:tc>
          <w:tcPr>
            <w:tcW w:type="dxa" w:w="15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The day the prices and volume were observed.</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US business day (no weekends, no holidays). 2,475 days for most tickers; 1,895 for XLC.</w:t>
            </w:r>
          </w:p>
        </w:tc>
      </w:tr>
      <w:tr>
        <w:tc>
          <w:tcPr>
            <w:tcW w:type="dxa" w:w="15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Open / High / Low / Close</w:t>
            </w:r>
          </w:p>
        </w:tc>
        <w:tc>
          <w:tcPr>
            <w:tcW w:type="dxa" w:w="12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float</w:t>
            </w:r>
          </w:p>
        </w:tc>
        <w:tc>
          <w:tcPr>
            <w:tcW w:type="dxa" w:w="15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The trading price at the start of the day, the highest and lowest of the day, and the closing print.</w:t>
            </w:r>
          </w:p>
        </w:tc>
        <w:tc>
          <w:tcPr>
            <w:tcW w:type="dxa" w:w="51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Unadjusted prices in USD. OHLC sanity verified. Useful for intraday range proxies (Parkinson, Garman-Klass volatility).</w:t>
            </w:r>
          </w:p>
        </w:tc>
      </w:tr>
      <w:tr>
        <w:tc>
          <w:tcPr>
            <w:tcW w:type="dxa" w:w="15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Adj_Close</w:t>
            </w:r>
          </w:p>
        </w:tc>
        <w:tc>
          <w:tcPr>
            <w:tcW w:type="dxa" w:w="12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float</w:t>
            </w:r>
          </w:p>
        </w:tc>
        <w:tc>
          <w:tcPr>
            <w:tcW w:type="dxa" w:w="15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The closing price adjusted so that if you compute returns from it, those returns include the value of dividends.</w:t>
            </w:r>
          </w:p>
        </w:tc>
        <w:tc>
          <w:tcPr>
            <w:tcW w:type="dxa" w:w="51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Total-return adjusted close. Verified on XLE quarterly dividend dates (March/June/Sept/Dec) where Adj_Close drops by ~50-130 bps less than Close. Use this for return calculation.</w:t>
            </w:r>
          </w:p>
        </w:tc>
      </w:tr>
      <w:tr>
        <w:tc>
          <w:tcPr>
            <w:tcW w:type="dxa" w:w="15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Volume</w:t>
            </w:r>
          </w:p>
        </w:tc>
        <w:tc>
          <w:tcPr>
            <w:tcW w:type="dxa" w:w="12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float</w:t>
            </w:r>
          </w:p>
        </w:tc>
        <w:tc>
          <w:tcPr>
            <w:tcW w:type="dxa" w:w="15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Number of shares of the ETF that changed hands that day.</w:t>
            </w:r>
          </w:p>
        </w:tc>
        <w:tc>
          <w:tcPr>
            <w:tcW w:type="dxa" w:w="51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Raw share count, not adjusted. Multiply by Close for dollar volume. ETF Volume is informative about sector flow direction when paired with same-day return.</w:t>
            </w:r>
          </w:p>
        </w:tc>
      </w:tr>
    </w:tbl>
    <w:p>
      <w:pPr>
        <w:pStyle w:val="Heading2"/>
      </w:pPr>
      <w:r>
        <w:rPr>
          <w:b w:val="false"/>
          <w:bCs w:val="false"/>
          <w:i w:val="false"/>
          <w:iCs w:val="false"/>
          <w:sz w:val="22"/>
          <w:szCs w:val="22"/>
        </w:rPr>
        <w:t xml:space="preserve">2.5 Information content of each column</w:t>
      </w:r>
    </w:p>
    <w:p>
      <w:pPr>
        <w:spacing w:after="100"/>
      </w:pPr>
      <w:r>
        <w:rPr>
          <w:b w:val="false"/>
          <w:bCs w:val="false"/>
          <w:i w:val="false"/>
          <w:iCs w:val="false"/>
          <w:sz w:val="22"/>
          <w:szCs w:val="22"/>
        </w:rPr>
        <w:t xml:space="preserve">Each column carries different signal. The plain explanation tells you what the column says about the market; the quant translation tells you what mathematical object you can compute from it.</w:t>
      </w:r>
    </w:p>
    <w:p>
      <w:pPr>
        <w:pStyle w:val="ListParagraph"/>
        <w:numPr>
          <w:ilvl w:val="0"/>
          <w:numId w:val="2"/>
        </w:numPr>
        <w:spacing w:after="60"/>
      </w:pPr>
      <w:r>
        <w:rPr>
          <w:b w:val="false"/>
          <w:bCs w:val="false"/>
          <w:i w:val="false"/>
          <w:iCs w:val="false"/>
          <w:sz w:val="22"/>
          <w:szCs w:val="22"/>
        </w:rPr>
        <w:t xml:space="preserve">Open and Close → close-to-close return = direction of the market for that day (price return). Close-to-Open return = overnight return (information that arrived while the market was shut).</w:t>
      </w:r>
    </w:p>
    <w:p>
      <w:pPr>
        <w:pStyle w:val="ListParagraph"/>
        <w:numPr>
          <w:ilvl w:val="0"/>
          <w:numId w:val="2"/>
        </w:numPr>
        <w:spacing w:after="60"/>
      </w:pPr>
      <w:r>
        <w:rPr>
          <w:b w:val="false"/>
          <w:bCs w:val="false"/>
          <w:i w:val="false"/>
          <w:iCs w:val="false"/>
          <w:sz w:val="22"/>
          <w:szCs w:val="22"/>
        </w:rPr>
        <w:t xml:space="preserve">Open vs Close intraday return = the part of the move that happened during regular trading hours. Useful for separating overnight news effects from intraday flow.</w:t>
      </w:r>
    </w:p>
    <w:p>
      <w:pPr>
        <w:pStyle w:val="ListParagraph"/>
        <w:numPr>
          <w:ilvl w:val="0"/>
          <w:numId w:val="2"/>
        </w:numPr>
        <w:spacing w:after="60"/>
      </w:pPr>
      <w:r>
        <w:rPr>
          <w:b w:val="false"/>
          <w:bCs w:val="false"/>
          <w:i w:val="false"/>
          <w:iCs w:val="false"/>
          <w:sz w:val="22"/>
          <w:szCs w:val="22"/>
        </w:rPr>
        <w:t xml:space="preserve">High and Low together → intraday range — a proxy for how 'busy' or 'choppy' the day was. High-Low/Close is a noisy but cheap volatility estimator.</w:t>
      </w:r>
    </w:p>
    <w:p>
      <w:pPr>
        <w:pStyle w:val="ListParagraph"/>
        <w:numPr>
          <w:ilvl w:val="0"/>
          <w:numId w:val="2"/>
        </w:numPr>
        <w:spacing w:after="60"/>
      </w:pPr>
      <w:r>
        <w:rPr>
          <w:b w:val="false"/>
          <w:bCs w:val="false"/>
          <w:i w:val="false"/>
          <w:iCs w:val="false"/>
          <w:sz w:val="22"/>
          <w:szCs w:val="22"/>
        </w:rPr>
        <w:t xml:space="preserve">Adj_Close → total return. The right column for any return-based research.</w:t>
      </w:r>
    </w:p>
    <w:p>
      <w:pPr>
        <w:pStyle w:val="ListParagraph"/>
        <w:numPr>
          <w:ilvl w:val="0"/>
          <w:numId w:val="2"/>
        </w:numPr>
        <w:spacing w:after="60"/>
      </w:pPr>
      <w:r>
        <w:rPr>
          <w:b w:val="false"/>
          <w:bCs w:val="false"/>
          <w:i w:val="false"/>
          <w:iCs w:val="false"/>
          <w:sz w:val="22"/>
          <w:szCs w:val="22"/>
        </w:rPr>
        <w:t xml:space="preserve">Volume → flow direction (when paired with sign of return). Volume spikes on big up-days are accumulation; volume spikes on big down-days are distribution.</w:t>
      </w:r>
    </w:p>
    <w:p>
      <w:pPr>
        <w:pStyle w:val="Heading2"/>
      </w:pPr>
      <w:r>
        <w:rPr>
          <w:b w:val="false"/>
          <w:bCs w:val="false"/>
          <w:i w:val="false"/>
          <w:iCs w:val="false"/>
          <w:sz w:val="22"/>
          <w:szCs w:val="22"/>
        </w:rPr>
        <w:t xml:space="preserve">2.6 Features you can engineer from each column</w:t>
      </w:r>
    </w:p>
    <w:p>
      <w:pPr>
        <w:pStyle w:val="ListParagraph"/>
        <w:numPr>
          <w:ilvl w:val="0"/>
          <w:numId w:val="2"/>
        </w:numPr>
        <w:spacing w:after="60"/>
      </w:pPr>
      <w:r>
        <w:rPr>
          <w:b w:val="false"/>
          <w:bCs w:val="false"/>
          <w:i w:val="false"/>
          <w:iCs w:val="false"/>
          <w:sz w:val="22"/>
          <w:szCs w:val="22"/>
        </w:rPr>
        <w:t xml:space="preserve">Returns: daily, weekly, monthly, multi-horizon — from Adj_Close.pct_change() at various window lengths.</w:t>
      </w:r>
    </w:p>
    <w:p>
      <w:pPr>
        <w:pStyle w:val="ListParagraph"/>
        <w:numPr>
          <w:ilvl w:val="0"/>
          <w:numId w:val="2"/>
        </w:numPr>
        <w:spacing w:after="60"/>
      </w:pPr>
      <w:r>
        <w:rPr>
          <w:b w:val="false"/>
          <w:bCs w:val="false"/>
          <w:i w:val="false"/>
          <w:iCs w:val="false"/>
          <w:sz w:val="22"/>
          <w:szCs w:val="22"/>
        </w:rPr>
        <w:t xml:space="preserve">Realized volatility: rolling std of returns over 21d, 63d, 252d.</w:t>
      </w:r>
    </w:p>
    <w:p>
      <w:pPr>
        <w:pStyle w:val="ListParagraph"/>
        <w:numPr>
          <w:ilvl w:val="0"/>
          <w:numId w:val="2"/>
        </w:numPr>
        <w:spacing w:after="60"/>
      </w:pPr>
      <w:r>
        <w:rPr>
          <w:b w:val="false"/>
          <w:bCs w:val="false"/>
          <w:i w:val="false"/>
          <w:iCs w:val="false"/>
          <w:sz w:val="22"/>
          <w:szCs w:val="22"/>
        </w:rPr>
        <w:t xml:space="preserve">Range-based volatility: Parkinson (uses High/Low), Garman-Klass (uses OHLC). More efficient estimators than close-to-close.</w:t>
      </w:r>
    </w:p>
    <w:p>
      <w:pPr>
        <w:pStyle w:val="ListParagraph"/>
        <w:numPr>
          <w:ilvl w:val="0"/>
          <w:numId w:val="2"/>
        </w:numPr>
        <w:spacing w:after="60"/>
      </w:pPr>
      <w:r>
        <w:rPr>
          <w:b w:val="false"/>
          <w:bCs w:val="false"/>
          <w:i w:val="false"/>
          <w:iCs w:val="false"/>
          <w:sz w:val="22"/>
          <w:szCs w:val="22"/>
        </w:rPr>
        <w:t xml:space="preserve">Overnight vs intraday return decomposition.</w:t>
      </w:r>
    </w:p>
    <w:p>
      <w:pPr>
        <w:pStyle w:val="ListParagraph"/>
        <w:numPr>
          <w:ilvl w:val="0"/>
          <w:numId w:val="2"/>
        </w:numPr>
        <w:spacing w:after="60"/>
      </w:pPr>
      <w:r>
        <w:rPr>
          <w:b w:val="false"/>
          <w:bCs w:val="false"/>
          <w:i w:val="false"/>
          <w:iCs w:val="false"/>
          <w:sz w:val="22"/>
          <w:szCs w:val="22"/>
        </w:rPr>
        <w:t xml:space="preserve">Dollar volume: Volume × Close. Then dollar-volume moving averages and z-scores.</w:t>
      </w:r>
    </w:p>
    <w:p>
      <w:pPr>
        <w:pStyle w:val="ListParagraph"/>
        <w:numPr>
          <w:ilvl w:val="0"/>
          <w:numId w:val="2"/>
        </w:numPr>
        <w:spacing w:after="60"/>
      </w:pPr>
      <w:r>
        <w:rPr>
          <w:b w:val="false"/>
          <w:bCs w:val="false"/>
          <w:i w:val="false"/>
          <w:iCs w:val="false"/>
          <w:sz w:val="22"/>
          <w:szCs w:val="22"/>
        </w:rPr>
        <w:t xml:space="preserve">Sector momentum: 6m or 12m return on each sector ETF, ranked.</w:t>
      </w:r>
    </w:p>
    <w:p>
      <w:pPr>
        <w:pStyle w:val="ListParagraph"/>
        <w:numPr>
          <w:ilvl w:val="0"/>
          <w:numId w:val="2"/>
        </w:numPr>
        <w:spacing w:after="60"/>
      </w:pPr>
      <w:r>
        <w:rPr>
          <w:b w:val="false"/>
          <w:bCs w:val="false"/>
          <w:i w:val="false"/>
          <w:iCs w:val="false"/>
          <w:sz w:val="22"/>
          <w:szCs w:val="22"/>
        </w:rPr>
        <w:t xml:space="preserve">Cross-sector correlations: rolling pairwise correlations among the 11 sector ETFs as a macro regime indicator.</w:t>
      </w:r>
    </w:p>
    <w:p>
      <w:pPr>
        <w:pStyle w:val="ListParagraph"/>
        <w:numPr>
          <w:ilvl w:val="0"/>
          <w:numId w:val="2"/>
        </w:numPr>
        <w:spacing w:after="60"/>
      </w:pPr>
      <w:r>
        <w:rPr>
          <w:b w:val="false"/>
          <w:bCs w:val="false"/>
          <w:i w:val="false"/>
          <w:iCs w:val="false"/>
          <w:sz w:val="22"/>
          <w:szCs w:val="22"/>
        </w:rPr>
        <w:t xml:space="preserve">Sector dispersion: cross-sectional std of same-day sector ETF returns as a 'sector dispersion' signal.</w:t>
      </w:r>
    </w:p>
    <w:p>
      <w:pPr>
        <w:pStyle w:val="ListParagraph"/>
        <w:numPr>
          <w:ilvl w:val="0"/>
          <w:numId w:val="2"/>
        </w:numPr>
        <w:spacing w:after="60"/>
      </w:pPr>
      <w:r>
        <w:rPr>
          <w:b w:val="false"/>
          <w:bCs w:val="false"/>
          <w:i w:val="false"/>
          <w:iCs w:val="false"/>
          <w:sz w:val="22"/>
          <w:szCs w:val="22"/>
        </w:rPr>
        <w:t xml:space="preserve">ETF beta of single names: regress single-name return on sector ETF return over a rolling window to get a time-varying beta.</w:t>
      </w:r>
    </w:p>
    <w:p>
      <w:pPr>
        <w:pStyle w:val="ListParagraph"/>
        <w:numPr>
          <w:ilvl w:val="0"/>
          <w:numId w:val="2"/>
        </w:numPr>
        <w:spacing w:after="60"/>
      </w:pPr>
      <w:r>
        <w:rPr>
          <w:b w:val="false"/>
          <w:bCs w:val="false"/>
          <w:i w:val="false"/>
          <w:iCs w:val="false"/>
          <w:sz w:val="22"/>
          <w:szCs w:val="22"/>
        </w:rPr>
        <w:t xml:space="preserve">Sector ETF residual return for single names: name_return − rolling_beta × sector_ETF_return. The cleanest building block for idiosyncratic-alpha research.</w:t>
      </w:r>
    </w:p>
    <w:p>
      <w:pPr>
        <w:pStyle w:val="Heading2"/>
      </w:pPr>
      <w:r>
        <w:rPr>
          <w:b w:val="false"/>
          <w:bCs w:val="false"/>
          <w:i w:val="false"/>
          <w:iCs w:val="false"/>
          <w:sz w:val="22"/>
          <w:szCs w:val="22"/>
        </w:rPr>
        <w:t xml:space="preserve">2.7 Common mistakes researchers make</w:t>
      </w:r>
    </w:p>
    <w:p>
      <w:pPr>
        <w:pStyle w:val="ListParagraph"/>
        <w:numPr>
          <w:ilvl w:val="0"/>
          <w:numId w:val="2"/>
        </w:numPr>
        <w:spacing w:after="60"/>
      </w:pPr>
      <w:r>
        <w:rPr>
          <w:b w:val="false"/>
          <w:bCs w:val="false"/>
          <w:i w:val="false"/>
          <w:iCs w:val="false"/>
          <w:sz w:val="22"/>
          <w:szCs w:val="22"/>
        </w:rPr>
        <w:t xml:space="preserve">Using Close for return calculation when Adj_Close is what they need. Quietly drops 2-4% of annual return in dividend-bearing names.</w:t>
      </w:r>
    </w:p>
    <w:p>
      <w:pPr>
        <w:pStyle w:val="ListParagraph"/>
        <w:numPr>
          <w:ilvl w:val="0"/>
          <w:numId w:val="2"/>
        </w:numPr>
        <w:spacing w:after="60"/>
      </w:pPr>
      <w:r>
        <w:rPr>
          <w:b w:val="false"/>
          <w:bCs w:val="false"/>
          <w:i w:val="false"/>
          <w:iCs w:val="false"/>
          <w:sz w:val="22"/>
          <w:szCs w:val="22"/>
        </w:rPr>
        <w:t xml:space="preserve">Computing volatility from Adj_Close without realizing the volatility of total return differs slightly from the volatility of price return (the dividend reinvestment adds variance).</w:t>
      </w:r>
    </w:p>
    <w:p>
      <w:pPr>
        <w:pStyle w:val="ListParagraph"/>
        <w:numPr>
          <w:ilvl w:val="0"/>
          <w:numId w:val="2"/>
        </w:numPr>
        <w:spacing w:after="60"/>
      </w:pPr>
      <w:r>
        <w:rPr>
          <w:b w:val="false"/>
          <w:bCs w:val="false"/>
          <w:i w:val="false"/>
          <w:iCs w:val="false"/>
          <w:sz w:val="22"/>
          <w:szCs w:val="22"/>
        </w:rPr>
        <w:t xml:space="preserve">Treating XLC as having existed before its 2018-06-19 launch. Anything anchored to XLC pre-launch must use a synthetic predecessor (e.g., the carve-out from XLK that was the basis for XLC).</w:t>
      </w:r>
    </w:p>
    <w:p>
      <w:pPr>
        <w:pStyle w:val="ListParagraph"/>
        <w:numPr>
          <w:ilvl w:val="0"/>
          <w:numId w:val="2"/>
        </w:numPr>
        <w:spacing w:after="60"/>
      </w:pPr>
      <w:r>
        <w:rPr>
          <w:b w:val="false"/>
          <w:bCs w:val="false"/>
          <w:i w:val="false"/>
          <w:iCs w:val="false"/>
          <w:sz w:val="22"/>
          <w:szCs w:val="22"/>
        </w:rPr>
        <w:t xml:space="preserve">Using ETF volume as a proxy for sector flow without considering that ETF volume can spike for arbitrage activity unrelated to fundamental sector demand.</w:t>
      </w:r>
    </w:p>
    <w:p>
      <w:pPr>
        <w:pStyle w:val="ListParagraph"/>
        <w:numPr>
          <w:ilvl w:val="0"/>
          <w:numId w:val="2"/>
        </w:numPr>
        <w:spacing w:after="60"/>
      </w:pPr>
      <w:r>
        <w:rPr>
          <w:b w:val="false"/>
          <w:bCs w:val="false"/>
          <w:i w:val="false"/>
          <w:iCs w:val="false"/>
          <w:sz w:val="22"/>
          <w:szCs w:val="22"/>
        </w:rPr>
        <w:t xml:space="preserve">Forgetting that the SPDR sector ETFs hold ONLY S&amp;P 500 names. They do not represent the full sector if you are working with the S&amp;P 1500 — they will miss small/mid-cap sector exposure.</w:t>
      </w:r>
    </w:p>
    <w:p>
      <w:pPr>
        <w:pStyle w:val="ListParagraph"/>
        <w:numPr>
          <w:ilvl w:val="0"/>
          <w:numId w:val="2"/>
        </w:numPr>
        <w:spacing w:after="60"/>
      </w:pPr>
      <w:r>
        <w:rPr>
          <w:b w:val="false"/>
          <w:bCs w:val="false"/>
          <w:i w:val="false"/>
          <w:iCs w:val="false"/>
          <w:sz w:val="22"/>
          <w:szCs w:val="22"/>
        </w:rPr>
        <w:t xml:space="preserve">Comparing ETF Adj_Close returns directly to PIT Price returns. The convention mismatch (total return vs price return) creates a phantom alpha.</w:t>
      </w:r>
    </w:p>
    <w:p>
      <w:pPr>
        <w:pStyle w:val="Heading2"/>
      </w:pPr>
      <w:r>
        <w:rPr>
          <w:b w:val="false"/>
          <w:bCs w:val="false"/>
          <w:i w:val="false"/>
          <w:iCs w:val="false"/>
          <w:sz w:val="22"/>
          <w:szCs w:val="22"/>
        </w:rPr>
        <w:t xml:space="preserve">2.8 Sources of bias</w:t>
      </w:r>
    </w:p>
    <w:p>
      <w:pPr>
        <w:pStyle w:val="ListParagraph"/>
        <w:numPr>
          <w:ilvl w:val="0"/>
          <w:numId w:val="2"/>
        </w:numPr>
        <w:spacing w:after="60"/>
      </w:pPr>
      <w:r>
        <w:rPr>
          <w:b w:val="false"/>
          <w:bCs w:val="false"/>
          <w:i w:val="false"/>
          <w:iCs w:val="false"/>
          <w:sz w:val="22"/>
          <w:szCs w:val="22"/>
        </w:rPr>
        <w:t xml:space="preserve">Survivorship: only ETFs that still trade are in the file. ETFs that were delisted in the 2016-2025 window (some niche sector funds) are absent — relevant if you are trying to map all sector ETFs historically, less relevant if you are using only the SPDR set.</w:t>
      </w:r>
    </w:p>
    <w:p>
      <w:pPr>
        <w:pStyle w:val="ListParagraph"/>
        <w:numPr>
          <w:ilvl w:val="0"/>
          <w:numId w:val="2"/>
        </w:numPr>
        <w:spacing w:after="60"/>
      </w:pPr>
      <w:r>
        <w:rPr>
          <w:b w:val="false"/>
          <w:bCs w:val="false"/>
          <w:i w:val="false"/>
          <w:iCs w:val="false"/>
          <w:sz w:val="22"/>
          <w:szCs w:val="22"/>
        </w:rPr>
        <w:t xml:space="preserve">Vendor/source bias: the OHLC values come from a single vendor's consolidated tape view; for SPY there are multiple listing venues, and intraday venue mix can affect High/Low precision.</w:t>
      </w:r>
    </w:p>
    <w:p>
      <w:pPr>
        <w:pStyle w:val="ListParagraph"/>
        <w:numPr>
          <w:ilvl w:val="0"/>
          <w:numId w:val="2"/>
        </w:numPr>
        <w:spacing w:after="60"/>
      </w:pPr>
      <w:r>
        <w:rPr>
          <w:b w:val="false"/>
          <w:bCs w:val="false"/>
          <w:i w:val="false"/>
          <w:iCs w:val="false"/>
          <w:sz w:val="22"/>
          <w:szCs w:val="22"/>
        </w:rPr>
        <w:t xml:space="preserve">Inception bias for XLC: the 2018-06-19 launch creates a structural break in the sector decomposition. Before that date, communication services exposure was inside XLK and XLY. A naive 11-sector regression for pre-2018 dates will misattribute exposure.</w:t>
      </w:r>
    </w:p>
    <w:p>
      <w:pPr>
        <w:pStyle w:val="ListParagraph"/>
        <w:numPr>
          <w:ilvl w:val="0"/>
          <w:numId w:val="2"/>
        </w:numPr>
        <w:spacing w:after="60"/>
      </w:pPr>
      <w:r>
        <w:rPr>
          <w:b w:val="false"/>
          <w:bCs w:val="false"/>
          <w:i w:val="false"/>
          <w:iCs w:val="false"/>
          <w:sz w:val="22"/>
          <w:szCs w:val="22"/>
        </w:rPr>
        <w:t xml:space="preserve">Liquidity scale across the file: SPY is one of the most liquid instruments globally; some sector ETFs (XLB, XLRE) trade $300M-$1B in dollar volume daily. The volume series is on different orders of magnitude across tickers and must be z-scored per ticker.</w:t>
      </w:r>
    </w:p>
    <w:p>
      <w:pPr>
        <w:pStyle w:val="Heading2"/>
      </w:pPr>
      <w:r>
        <w:rPr>
          <w:b w:val="false"/>
          <w:bCs w:val="false"/>
          <w:i w:val="false"/>
          <w:iCs w:val="false"/>
          <w:sz w:val="22"/>
          <w:szCs w:val="22"/>
        </w:rPr>
        <w:t xml:space="preserve">2.9 How this dataset connects to the others</w:t>
      </w:r>
    </w:p>
    <w:p>
      <w:pPr>
        <w:spacing w:after="100"/>
      </w:pPr>
      <w:r>
        <w:rPr>
          <w:b w:val="false"/>
          <w:bCs w:val="false"/>
          <w:i w:val="false"/>
          <w:iCs w:val="false"/>
          <w:sz w:val="22"/>
          <w:szCs w:val="22"/>
        </w:rPr>
        <w:t xml:space="preserve">ETF data is the residualization tool for the PIT panels. For any single name in any PIT file, the relevant sector ETF is identified by GICS_Sector. You join on (Date, sector) to get the sector ETF return per row, run a rolling beta regression, and produce a residual return series for that name. The residual series is what most cross-sectional strategies actually trade. The Index_Ticker field in PIT files (SPX, MID, SML) corresponds — at a 1:1 level — to SPY, MDY, and IJR ETFs respectively (MDY and IJR are not in your file; SPY proxies for SPX but the others would need to be added if you wanted an index-level total return). For sector-level work, the 11 SPDRs are the canonical map.</w:t>
      </w:r>
    </w:p>
    <w:p>
      <w:r>
        <w:br w:type="page"/>
      </w:r>
    </w:p>
    <w:p>
      <w:pPr>
        <w:pStyle w:val="Heading1"/>
      </w:pPr>
      <w:r>
        <w:rPr>
          <w:b w:val="false"/>
          <w:bCs w:val="false"/>
          <w:i w:val="false"/>
          <w:iCs w:val="false"/>
          <w:sz w:val="22"/>
          <w:szCs w:val="22"/>
        </w:rPr>
        <w:t xml:space="preserve">Chapter 3 — The three PIT membership files (structural overview)</w:t>
      </w:r>
    </w:p>
    <w:p>
      <w:pPr>
        <w:spacing w:after="100"/>
      </w:pPr>
      <w:r>
        <w:rPr>
          <w:b w:val="false"/>
          <w:bCs w:val="false"/>
          <w:i w:val="false"/>
          <w:iCs w:val="false"/>
          <w:sz w:val="22"/>
          <w:szCs w:val="22"/>
        </w:rPr>
        <w:t xml:space="preserve">The three PIT files (sp400, sp500, sp600) are structurally identical: same 15 columns, same calendar grid, same conventions. They differ only in which index they cover. This chapter teaches the structure once; chapter 4 calls out what is distinctive about each tier.</w:t>
      </w:r>
    </w:p>
    <w:p>
      <w:pPr>
        <w:pStyle w:val="Heading2"/>
      </w:pPr>
      <w:r>
        <w:rPr>
          <w:b w:val="false"/>
          <w:bCs w:val="false"/>
          <w:i w:val="false"/>
          <w:iCs w:val="false"/>
          <w:sz w:val="22"/>
          <w:szCs w:val="22"/>
        </w:rPr>
        <w:t xml:space="preserve">3.1 What the dataset represents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bCs/>
                <w:i w:val="false"/>
                <w:iCs w:val="false"/>
                <w:color w:val="8A6E1E"/>
                <w:sz w:val="18"/>
                <w:szCs w:val="18"/>
              </w:rPr>
              <w:t xml:space="preserve">Plain English</w:t>
            </w:r>
          </w:p>
        </w:tc>
        <w:tc>
          <w:tcPr>
            <w:tcW w:type="dxa" w:w="826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val="false"/>
                <w:bCs w:val="false"/>
                <w:i w:val="false"/>
                <w:iCs w:val="false"/>
                <w:sz w:val="21"/>
                <w:szCs w:val="21"/>
              </w:rPr>
              <w:t xml:space="preserve">For every month from March 2016 through December 2025, the file records which stocks were members of the index at month-end, and provides every calendar day of price, volume, market cap, and shares-outstanding data for those stocks during that month. So if you ask 'which stocks were in the S&amp;P 500 on March 31, 2020, and what were their daily prices and volumes in March 2020?' — that's exactly what the file gives you, for every month in the window.</w:t>
            </w:r>
          </w:p>
        </w:tc>
      </w:tr>
      <w:tr>
        <w:tc>
          <w:tcPr>
            <w:tcW w:type="dxa" w:w="110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bCs/>
                <w:i w:val="false"/>
                <w:iCs w:val="false"/>
                <w:color w:val="1F3A5F"/>
                <w:sz w:val="18"/>
                <w:szCs w:val="18"/>
              </w:rPr>
              <w:t xml:space="preserve">Quant terms</w:t>
            </w:r>
          </w:p>
        </w:tc>
        <w:tc>
          <w:tcPr>
            <w:tcW w:type="dxa" w:w="826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val="false"/>
                <w:bCs w:val="false"/>
                <w:i w:val="false"/>
                <w:iCs w:val="false"/>
                <w:sz w:val="21"/>
                <w:szCs w:val="21"/>
              </w:rPr>
              <w:t xml:space="preserve">Long-format daily panel keyed by (ID, DATE, ID_DATE), where ID is the Bloomberg ticker, DATE is the calendar day, and ID_DATE is the month-end snapshot that the row's membership belongs to. 118 distinct ID_DATE values (Mar 2016 to Dec 2025), ~500 members per snapshot for SP500 (~400 for SP400, ~600 for SP600), ~30 calendar-day rows per (ID, ID_DATE) pair. Row count per file: 1.4M (SP400), 1.8M (SP500), 2.2M (SP600).</w:t>
            </w:r>
          </w:p>
        </w:tc>
      </w:tr>
    </w:tbl>
    <w:p>
      <w:pPr>
        <w:pStyle w:val="Heading2"/>
      </w:pPr>
      <w:r>
        <w:rPr>
          <w:b w:val="false"/>
          <w:bCs w:val="false"/>
          <w:i w:val="false"/>
          <w:iCs w:val="false"/>
          <w:sz w:val="22"/>
          <w:szCs w:val="22"/>
        </w:rPr>
        <w:t xml:space="preserve">3.2 Why the dataset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bCs/>
                <w:i w:val="false"/>
                <w:iCs w:val="false"/>
                <w:color w:val="8A6E1E"/>
                <w:sz w:val="18"/>
                <w:szCs w:val="18"/>
              </w:rPr>
              <w:t xml:space="preserve">Plain English</w:t>
            </w:r>
          </w:p>
        </w:tc>
        <w:tc>
          <w:tcPr>
            <w:tcW w:type="dxa" w:w="8260"/>
            <w:tcBorders>
              <w:top w:val="single" w:color="CCCCCC" w:sz="4"/>
              <w:left w:val="single" w:color="CCCCCC" w:sz="4"/>
              <w:bottom w:val="single" w:color="CCCCCC" w:sz="4"/>
              <w:right w:val="single" w:color="CCCCCC" w:sz="4"/>
            </w:tcBorders>
            <w:shd w:fill="F3F1E8" w:val="clear"/>
            <w:tcMar>
              <w:top w:type="dxa" w:w="80"/>
              <w:left w:type="dxa" w:w="130"/>
              <w:bottom w:type="dxa" w:w="80"/>
              <w:right w:type="dxa" w:w="130"/>
            </w:tcMar>
            <w:vAlign w:val="top"/>
          </w:tcPr>
          <w:p>
            <w:pPr>
              <w:spacing w:after="30"/>
            </w:pPr>
            <w:r>
              <w:rPr>
                <w:b w:val="false"/>
                <w:bCs w:val="false"/>
                <w:i w:val="false"/>
                <w:iCs w:val="false"/>
                <w:sz w:val="21"/>
                <w:szCs w:val="21"/>
              </w:rPr>
              <w:t xml:space="preserve">To run a backtest honestly. If you tested an S&amp;P 500 strategy using today's S&amp;P 500 membership applied to all of history, you would only test the strategy on companies that have survived to today. That favors winners by construction — survivorship bias. The PIT file fixes that. Each historical date uses the actual membership of that date, including companies that later got dropped, acquired, or went bankrupt. The file is the institutional fix for the most common form of cheating in equity research.</w:t>
            </w:r>
          </w:p>
        </w:tc>
      </w:tr>
      <w:tr>
        <w:tc>
          <w:tcPr>
            <w:tcW w:type="dxa" w:w="110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bCs/>
                <w:i w:val="false"/>
                <w:iCs w:val="false"/>
                <w:color w:val="1F3A5F"/>
                <w:sz w:val="18"/>
                <w:szCs w:val="18"/>
              </w:rPr>
              <w:t xml:space="preserve">Quant terms</w:t>
            </w:r>
          </w:p>
        </w:tc>
        <w:tc>
          <w:tcPr>
            <w:tcW w:type="dxa" w:w="8260"/>
            <w:tcBorders>
              <w:top w:val="single" w:color="CCCCCC" w:sz="4"/>
              <w:left w:val="single" w:color="CCCCCC" w:sz="4"/>
              <w:bottom w:val="single" w:color="CCCCCC" w:sz="4"/>
              <w:right w:val="single" w:color="CCCCCC" w:sz="4"/>
            </w:tcBorders>
            <w:shd w:fill="EAF1F8" w:val="clear"/>
            <w:tcMar>
              <w:top w:type="dxa" w:w="80"/>
              <w:left w:type="dxa" w:w="130"/>
              <w:bottom w:type="dxa" w:w="80"/>
              <w:right w:type="dxa" w:w="130"/>
            </w:tcMar>
            <w:vAlign w:val="top"/>
          </w:tcPr>
          <w:p>
            <w:pPr>
              <w:spacing w:after="30"/>
            </w:pPr>
            <w:r>
              <w:rPr>
                <w:b w:val="false"/>
                <w:bCs w:val="false"/>
                <w:i w:val="false"/>
                <w:iCs w:val="false"/>
                <w:sz w:val="21"/>
                <w:szCs w:val="21"/>
              </w:rPr>
              <w:t xml:space="preserve">The PIT panel encodes index membership as a function of time: M(t) = {ID : (ID, ID_DATE = month_end(t)) ∈ file}. Equipped with M(t), the backtester can build a universe-at-date function that returns the strictly contemporaneous tradable universe, with no forward leakage. Combined with the retention of delisted IDs (Bloomberg D-suffix), this is the minimum standard for institutional backtesting in single-name equities.</w:t>
            </w:r>
          </w:p>
        </w:tc>
      </w:tr>
    </w:tbl>
    <w:p>
      <w:pPr>
        <w:pStyle w:val="Heading2"/>
      </w:pPr>
      <w:r>
        <w:rPr>
          <w:b w:val="false"/>
          <w:bCs w:val="false"/>
          <w:i w:val="false"/>
          <w:iCs w:val="false"/>
          <w:sz w:val="22"/>
          <w:szCs w:val="22"/>
        </w:rPr>
        <w:t xml:space="preserve">3.3 How a quant researcher uses it</w:t>
      </w:r>
    </w:p>
    <w:p>
      <w:pPr>
        <w:pStyle w:val="ListParagraph"/>
        <w:numPr>
          <w:ilvl w:val="0"/>
          <w:numId w:val="2"/>
        </w:numPr>
        <w:spacing w:after="60"/>
      </w:pPr>
      <w:r>
        <w:rPr>
          <w:b w:val="false"/>
          <w:bCs w:val="false"/>
          <w:i w:val="false"/>
          <w:iCs w:val="false"/>
          <w:sz w:val="22"/>
          <w:szCs w:val="22"/>
        </w:rPr>
        <w:t xml:space="preserve">Universe definition. For any trade date t, the universe of tradable names is M(t-1) (last revealed snapshot).</w:t>
      </w:r>
    </w:p>
    <w:p>
      <w:pPr>
        <w:pStyle w:val="ListParagraph"/>
        <w:numPr>
          <w:ilvl w:val="0"/>
          <w:numId w:val="2"/>
        </w:numPr>
        <w:spacing w:after="60"/>
      </w:pPr>
      <w:r>
        <w:rPr>
          <w:b w:val="false"/>
          <w:bCs w:val="false"/>
          <w:i w:val="false"/>
          <w:iCs w:val="false"/>
          <w:sz w:val="22"/>
          <w:szCs w:val="22"/>
        </w:rPr>
        <w:t xml:space="preserve">Cross-sectional ranking. For each date, rank all names in the universe by a feature (momentum, vol, dollar volume, etc.). The PIT structure ensures the cross-section reflects the actual contemporaneous opportunity set.</w:t>
      </w:r>
    </w:p>
    <w:p>
      <w:pPr>
        <w:pStyle w:val="ListParagraph"/>
        <w:numPr>
          <w:ilvl w:val="0"/>
          <w:numId w:val="2"/>
        </w:numPr>
        <w:spacing w:after="60"/>
      </w:pPr>
      <w:r>
        <w:rPr>
          <w:b w:val="false"/>
          <w:bCs w:val="false"/>
          <w:i w:val="false"/>
          <w:iCs w:val="false"/>
          <w:sz w:val="22"/>
          <w:szCs w:val="22"/>
        </w:rPr>
        <w:t xml:space="preserve">Sector / sub-industry neutralization. The four GICS levels in the file let you neutralize portfolio exposures at the chosen granularity.</w:t>
      </w:r>
    </w:p>
    <w:p>
      <w:pPr>
        <w:pStyle w:val="ListParagraph"/>
        <w:numPr>
          <w:ilvl w:val="0"/>
          <w:numId w:val="2"/>
        </w:numPr>
        <w:spacing w:after="60"/>
      </w:pPr>
      <w:r>
        <w:rPr>
          <w:b w:val="false"/>
          <w:bCs w:val="false"/>
          <w:i w:val="false"/>
          <w:iCs w:val="false"/>
          <w:sz w:val="22"/>
          <w:szCs w:val="22"/>
        </w:rPr>
        <w:t xml:space="preserve">Backtest of long-short factor strategies, with realistic borrow constraints applied per name.</w:t>
      </w:r>
    </w:p>
    <w:p>
      <w:pPr>
        <w:pStyle w:val="ListParagraph"/>
        <w:numPr>
          <w:ilvl w:val="0"/>
          <w:numId w:val="2"/>
        </w:numPr>
        <w:spacing w:after="60"/>
      </w:pPr>
      <w:r>
        <w:rPr>
          <w:b w:val="false"/>
          <w:bCs w:val="false"/>
          <w:i w:val="false"/>
          <w:iCs w:val="false"/>
          <w:sz w:val="22"/>
          <w:szCs w:val="22"/>
        </w:rPr>
        <w:t xml:space="preserve">Index-change event studies. The transition of an ID from one ID_DATE snapshot to the next (appearing or disappearing) is the inclusion/deletion event.</w:t>
      </w:r>
    </w:p>
    <w:p>
      <w:pPr>
        <w:pStyle w:val="ListParagraph"/>
        <w:numPr>
          <w:ilvl w:val="0"/>
          <w:numId w:val="2"/>
        </w:numPr>
        <w:spacing w:after="60"/>
      </w:pPr>
      <w:r>
        <w:rPr>
          <w:b w:val="false"/>
          <w:bCs w:val="false"/>
          <w:i w:val="false"/>
          <w:iCs w:val="false"/>
          <w:sz w:val="22"/>
          <w:szCs w:val="22"/>
        </w:rPr>
        <w:t xml:space="preserve">Cross-tier migration tracking. By joining the same ID across the three PIT files over time, you observe promotions and demotions.</w:t>
      </w:r>
    </w:p>
    <w:p>
      <w:pPr>
        <w:pStyle w:val="Heading2"/>
      </w:pPr>
      <w:r>
        <w:rPr>
          <w:b w:val="false"/>
          <w:bCs w:val="false"/>
          <w:i w:val="false"/>
          <w:iCs w:val="false"/>
          <w:sz w:val="22"/>
          <w:szCs w:val="22"/>
        </w:rPr>
        <w:t xml:space="preserve">3.4 What each column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Column</w:t>
            </w:r>
          </w:p>
        </w:tc>
        <w:tc>
          <w:tcPr>
            <w:tcW w:type="dxa" w:w="170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Plain English</w:t>
            </w:r>
          </w:p>
        </w:tc>
        <w:tc>
          <w:tcPr>
            <w:tcW w:type="dxa" w:w="5960"/>
            <w:tcBorders>
              <w:top w:val="single" w:color="CCCCCC" w:sz="4"/>
              <w:left w:val="single" w:color="CCCCCC" w:sz="4"/>
              <w:bottom w:val="single" w:color="CCCCCC" w:sz="4"/>
              <w:right w:val="single" w:color="CCCCCC" w:sz="4"/>
            </w:tcBorders>
            <w:shd w:fill="1F3A5F" w:val="clear"/>
            <w:tcMar>
              <w:top w:type="dxa" w:w="80"/>
              <w:left w:type="dxa" w:w="130"/>
              <w:bottom w:type="dxa" w:w="80"/>
              <w:right w:type="dxa" w:w="130"/>
            </w:tcMar>
            <w:vAlign w:val="top"/>
          </w:tcPr>
          <w:p>
            <w:pPr>
              <w:spacing w:after="30"/>
            </w:pPr>
            <w:r>
              <w:rPr>
                <w:b/>
                <w:bCs/>
                <w:i w:val="false"/>
                <w:iCs w:val="false"/>
                <w:color w:val="FFFFFF"/>
                <w:sz w:val="18"/>
                <w:szCs w:val="18"/>
              </w:rPr>
              <w:t xml:space="preserve">Quant detail</w:t>
            </w:r>
          </w:p>
        </w:tc>
      </w:tr>
      <w:tr>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ID</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The Bloomberg name for the stock — looks like "AAPL UW Equity".</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Composite Bloomberg ID. Exchange suffix tokens: UN=NYSE, UW=Nasdaq Global Select, UQ=Nasdaq Global Market, US=composite. Numeric prefix + D (e.g. 1558783D US Equity) marks an explicitly delisted security.</w:t>
            </w:r>
          </w:p>
        </w:tc>
      </w:tr>
      <w:tr>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DATE</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The calendar day the row's data is for.</w:t>
            </w:r>
          </w:p>
        </w:tc>
        <w:tc>
          <w:tcPr>
            <w:tcW w:type="dxa" w:w="59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Calendar-day grid (not business-day). Filter weekends with DATE.dt.dayofweek &lt; 5 or simply Price.notna() to drop weekends + holidays + non-trading periods in one step.</w:t>
            </w:r>
          </w:p>
        </w:tc>
      </w:tr>
      <w:tr>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CURRENCY</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Which currency the prices are quoted in.</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USD throughout. No FX adjustment required for this universe.</w:t>
            </w:r>
          </w:p>
        </w:tc>
      </w:tr>
      <w:tr>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ID_DATE</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The month-end date that the row's membership snapshot belongs to.</w:t>
            </w:r>
          </w:p>
        </w:tc>
        <w:tc>
          <w:tcPr>
            <w:tcW w:type="dxa" w:w="59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Always a month-end. 118 distinct values (2016-03-31 → 2025-12-31). Every DATE in the row falls in the calendar month ending at ID_DATE (verified 100%).</w:t>
            </w:r>
          </w:p>
        </w:tc>
      </w:tr>
      <w:tr>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Price</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Closing price of the stock that day, in dollars.</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Split-adjusted close in USD. NOT dividend-adjusted (asymmetric with ETF Adj_Close). NaN on weekends, holidays, and non-trading dates.</w:t>
            </w:r>
          </w:p>
        </w:tc>
      </w:tr>
      <w:tr>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Volume</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Number of shares traded that day.</w:t>
            </w:r>
          </w:p>
        </w:tc>
        <w:tc>
          <w:tcPr>
            <w:tcW w:type="dxa" w:w="59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Back-adjusted consistent with Price/Shares_Out. Not raw tape volume. Dollar volume (Price × Volume) is invariant; use it for liquidity filters.</w:t>
            </w:r>
          </w:p>
        </w:tc>
      </w:tr>
      <w:tr>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Market_Cap</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The total value of the company in dollars (price × shares outstanding).</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USD. Invariant under back-adjustment. Use this — not Price — for size filters.</w:t>
            </w:r>
          </w:p>
        </w:tc>
      </w:tr>
      <w:tr>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Shares_Out</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Number of shares the company has outstanding.</w:t>
            </w:r>
          </w:p>
        </w:tc>
        <w:tc>
          <w:tcPr>
            <w:tcW w:type="dxa" w:w="59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Back-adjusted to current share-class basis. Doesn't match historical filings raw share counts.</w:t>
            </w:r>
          </w:p>
        </w:tc>
      </w:tr>
      <w:tr>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GICS_Sector</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Top-level industry classification (one of 11 sectors).</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Stable per ID over life. The 2018-09 Telecom→Communication Services reclassification is masked.</w:t>
            </w:r>
          </w:p>
        </w:tc>
      </w:tr>
      <w:tr>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GICS_Ind_Group</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Second level — 24 industry groups.</w:t>
            </w:r>
          </w:p>
        </w:tc>
        <w:tc>
          <w:tcPr>
            <w:tcW w:type="dxa" w:w="59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Sub-classification of sector. Stable per ID.</w:t>
            </w:r>
          </w:p>
        </w:tc>
      </w:tr>
      <w:tr>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GICS_Industry</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Third level — 74 industries.</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Stable per ID. Useful as the practical neutralization level when sub-industry cohorts are too thin.</w:t>
            </w:r>
          </w:p>
        </w:tc>
      </w:tr>
      <w:tr>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GICS_Sub_Industry</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Fourth level — ~163 sub-industries. Most specific peer grouping.</w:t>
            </w:r>
          </w:p>
        </w:tc>
        <w:tc>
          <w:tcPr>
            <w:tcW w:type="dxa" w:w="59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Stable per ID. The natural peer cohort for cross-sectional ranking.</w:t>
            </w:r>
          </w:p>
        </w:tc>
      </w:tr>
      <w:tr>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bCs/>
                <w:i w:val="false"/>
                <w:iCs w:val="false"/>
                <w:sz w:val="18"/>
                <w:szCs w:val="18"/>
              </w:rPr>
              <w:t xml:space="preserve">Index / Index_Ticker</w:t>
            </w:r>
          </w:p>
        </w:tc>
        <w:tc>
          <w:tcPr>
            <w:tcW w:type="dxa" w:w="170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Which index the file is for.</w:t>
            </w:r>
          </w:p>
        </w:tc>
        <w:tc>
          <w:tcPr>
            <w:tcW w:type="dxa" w:w="5960"/>
            <w:tcBorders>
              <w:top w:val="single" w:color="CCCCCC" w:sz="4"/>
              <w:left w:val="single" w:color="CCCCCC" w:sz="4"/>
              <w:bottom w:val="single" w:color="CCCCCC" w:sz="4"/>
              <w:right w:val="single" w:color="CCCCCC" w:sz="4"/>
            </w:tcBorders>
            <w:tcMar>
              <w:top w:type="dxa" w:w="80"/>
              <w:left w:type="dxa" w:w="130"/>
              <w:bottom w:type="dxa" w:w="80"/>
              <w:right w:type="dxa" w:w="130"/>
            </w:tcMar>
            <w:vAlign w:val="top"/>
          </w:tcPr>
          <w:p>
            <w:pPr>
              <w:spacing w:after="30"/>
            </w:pPr>
            <w:r>
              <w:rPr>
                <w:b w:val="false"/>
                <w:bCs w:val="false"/>
                <w:i w:val="false"/>
                <w:iCs w:val="false"/>
                <w:sz w:val="18"/>
                <w:szCs w:val="18"/>
              </w:rPr>
              <w:t xml:space="preserve">Constant per file. SP500/SPX, SP400/MID, SP600/SML. Useful only when files are concatenated.</w:t>
            </w:r>
          </w:p>
        </w:tc>
      </w:tr>
      <w:tr>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bCs/>
                <w:i w:val="false"/>
                <w:iCs w:val="false"/>
                <w:sz w:val="18"/>
                <w:szCs w:val="18"/>
              </w:rPr>
              <w:t xml:space="preserve">PIT_Member_Date</w:t>
            </w:r>
          </w:p>
        </w:tc>
        <w:tc>
          <w:tcPr>
            <w:tcW w:type="dxa" w:w="170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Same as ID_DATE — duplicate column.</w:t>
            </w:r>
          </w:p>
        </w:tc>
        <w:tc>
          <w:tcPr>
            <w:tcW w:type="dxa" w:w="5960"/>
            <w:tcBorders>
              <w:top w:val="single" w:color="CCCCCC" w:sz="4"/>
              <w:left w:val="single" w:color="CCCCCC" w:sz="4"/>
              <w:bottom w:val="single" w:color="CCCCCC" w:sz="4"/>
              <w:right w:val="single" w:color="CCCCCC" w:sz="4"/>
            </w:tcBorders>
            <w:shd w:fill="F7F9FC" w:val="clear"/>
            <w:tcMar>
              <w:top w:type="dxa" w:w="80"/>
              <w:left w:type="dxa" w:w="130"/>
              <w:bottom w:type="dxa" w:w="80"/>
              <w:right w:type="dxa" w:w="130"/>
            </w:tcMar>
            <w:vAlign w:val="top"/>
          </w:tcPr>
          <w:p>
            <w:pPr>
              <w:spacing w:after="30"/>
            </w:pPr>
            <w:r>
              <w:rPr>
                <w:b w:val="false"/>
                <w:bCs w:val="false"/>
                <w:i w:val="false"/>
                <w:iCs w:val="false"/>
                <w:sz w:val="18"/>
                <w:szCs w:val="18"/>
              </w:rPr>
              <w:t xml:space="preserve">Verified identical to ID_DATE in 100% of rows. Drop in loader.</w:t>
            </w:r>
          </w:p>
        </w:tc>
      </w:tr>
    </w:tbl>
    <w:p>
      <w:pPr>
        <w:pStyle w:val="Heading2"/>
      </w:pPr>
      <w:r>
        <w:rPr>
          <w:b w:val="false"/>
          <w:bCs w:val="false"/>
          <w:i w:val="false"/>
          <w:iCs w:val="false"/>
          <w:sz w:val="22"/>
          <w:szCs w:val="22"/>
        </w:rPr>
        <w:t xml:space="preserve">3.5 Information content of each column</w:t>
      </w:r>
    </w:p>
    <w:p>
      <w:pPr>
        <w:pStyle w:val="ListParagraph"/>
        <w:numPr>
          <w:ilvl w:val="0"/>
          <w:numId w:val="2"/>
        </w:numPr>
        <w:spacing w:after="60"/>
      </w:pPr>
      <w:r>
        <w:rPr>
          <w:b w:val="false"/>
          <w:bCs w:val="false"/>
          <w:i w:val="false"/>
          <w:iCs w:val="false"/>
          <w:sz w:val="22"/>
          <w:szCs w:val="22"/>
        </w:rPr>
        <w:t xml:space="preserve">ID → identity over time. Lets you track a single security through index migrations and through delisting. The D-suffix specifically identifies CUSIPs that no longer exist.</w:t>
      </w:r>
    </w:p>
    <w:p>
      <w:pPr>
        <w:pStyle w:val="ListParagraph"/>
        <w:numPr>
          <w:ilvl w:val="0"/>
          <w:numId w:val="2"/>
        </w:numPr>
        <w:spacing w:after="60"/>
      </w:pPr>
      <w:r>
        <w:rPr>
          <w:b w:val="false"/>
          <w:bCs w:val="false"/>
          <w:i w:val="false"/>
          <w:iCs w:val="false"/>
          <w:sz w:val="22"/>
          <w:szCs w:val="22"/>
        </w:rPr>
        <w:t xml:space="preserve">DATE → time index. Combined with ID_DATE filtering, lets you reconstruct any historical universe-at-date.</w:t>
      </w:r>
    </w:p>
    <w:p>
      <w:pPr>
        <w:pStyle w:val="ListParagraph"/>
        <w:numPr>
          <w:ilvl w:val="0"/>
          <w:numId w:val="2"/>
        </w:numPr>
        <w:spacing w:after="60"/>
      </w:pPr>
      <w:r>
        <w:rPr>
          <w:b w:val="false"/>
          <w:bCs w:val="false"/>
          <w:i w:val="false"/>
          <w:iCs w:val="false"/>
          <w:sz w:val="22"/>
          <w:szCs w:val="22"/>
        </w:rPr>
        <w:t xml:space="preserve">ID_DATE → membership timestamp. The primary defense against survivorship and lookahead — anchor every signal computation to ID_DATE ≤ trade_date − 1 month.</w:t>
      </w:r>
    </w:p>
    <w:p>
      <w:pPr>
        <w:pStyle w:val="ListParagraph"/>
        <w:numPr>
          <w:ilvl w:val="0"/>
          <w:numId w:val="2"/>
        </w:numPr>
        <w:spacing w:after="60"/>
      </w:pPr>
      <w:r>
        <w:rPr>
          <w:b w:val="false"/>
          <w:bCs w:val="false"/>
          <w:i w:val="false"/>
          <w:iCs w:val="false"/>
          <w:sz w:val="22"/>
          <w:szCs w:val="22"/>
        </w:rPr>
        <w:t xml:space="preserve">Price → return series, price-level proxies (use cautiously due to back-adjustment), price-gap features.</w:t>
      </w:r>
    </w:p>
    <w:p>
      <w:pPr>
        <w:pStyle w:val="ListParagraph"/>
        <w:numPr>
          <w:ilvl w:val="0"/>
          <w:numId w:val="2"/>
        </w:numPr>
        <w:spacing w:after="60"/>
      </w:pPr>
      <w:r>
        <w:rPr>
          <w:b w:val="false"/>
          <w:bCs w:val="false"/>
          <w:i w:val="false"/>
          <w:iCs w:val="false"/>
          <w:sz w:val="22"/>
          <w:szCs w:val="22"/>
        </w:rPr>
        <w:t xml:space="preserve">Volume → liquidity proxy when combined with Price. Direct flow indicator at the single-name level.</w:t>
      </w:r>
    </w:p>
    <w:p>
      <w:pPr>
        <w:pStyle w:val="ListParagraph"/>
        <w:numPr>
          <w:ilvl w:val="0"/>
          <w:numId w:val="2"/>
        </w:numPr>
        <w:spacing w:after="60"/>
      </w:pPr>
      <w:r>
        <w:rPr>
          <w:b w:val="false"/>
          <w:bCs w:val="false"/>
          <w:i w:val="false"/>
          <w:iCs w:val="false"/>
          <w:sz w:val="22"/>
          <w:szCs w:val="22"/>
        </w:rPr>
        <w:t xml:space="preserve">Market_Cap → size factor, capacity constraint signal, cross-tier migration trajectory.</w:t>
      </w:r>
    </w:p>
    <w:p>
      <w:pPr>
        <w:pStyle w:val="ListParagraph"/>
        <w:numPr>
          <w:ilvl w:val="0"/>
          <w:numId w:val="2"/>
        </w:numPr>
        <w:spacing w:after="60"/>
      </w:pPr>
      <w:r>
        <w:rPr>
          <w:b w:val="false"/>
          <w:bCs w:val="false"/>
          <w:i w:val="false"/>
          <w:iCs w:val="false"/>
          <w:sz w:val="22"/>
          <w:szCs w:val="22"/>
        </w:rPr>
        <w:t xml:space="preserve">Shares_Out → on its own, not directly tradable. Indirectly useful: dividing market cap into price × shares lets you sanity-check the back-adjustment.</w:t>
      </w:r>
    </w:p>
    <w:p>
      <w:pPr>
        <w:pStyle w:val="ListParagraph"/>
        <w:numPr>
          <w:ilvl w:val="0"/>
          <w:numId w:val="2"/>
        </w:numPr>
        <w:spacing w:after="60"/>
      </w:pPr>
      <w:r>
        <w:rPr>
          <w:b w:val="false"/>
          <w:bCs w:val="false"/>
          <w:i w:val="false"/>
          <w:iCs w:val="false"/>
          <w:sz w:val="22"/>
          <w:szCs w:val="22"/>
        </w:rPr>
        <w:t xml:space="preserve">GICS levels → peer-group definition, neutralization granularity, sector exposure measurement.</w:t>
      </w:r>
    </w:p>
    <w:p>
      <w:pPr>
        <w:pStyle w:val="Heading2"/>
      </w:pPr>
      <w:r>
        <w:rPr>
          <w:b w:val="false"/>
          <w:bCs w:val="false"/>
          <w:i w:val="false"/>
          <w:iCs w:val="false"/>
          <w:sz w:val="22"/>
          <w:szCs w:val="22"/>
        </w:rPr>
        <w:t xml:space="preserve">3.6 Features you can engineer from each column</w:t>
      </w:r>
    </w:p>
    <w:p>
      <w:pPr>
        <w:pStyle w:val="ListParagraph"/>
        <w:numPr>
          <w:ilvl w:val="0"/>
          <w:numId w:val="2"/>
        </w:numPr>
        <w:spacing w:after="60"/>
      </w:pPr>
      <w:r>
        <w:rPr>
          <w:b w:val="false"/>
          <w:bCs w:val="false"/>
          <w:i w:val="false"/>
          <w:iCs w:val="false"/>
          <w:sz w:val="22"/>
          <w:szCs w:val="22"/>
        </w:rPr>
        <w:t xml:space="preserve">From Price: daily / weekly / monthly returns, multi-horizon momentum, volatility, drawdown, max-over-lookback, distance from 52-week high, time-since-high.</w:t>
      </w:r>
    </w:p>
    <w:p>
      <w:pPr>
        <w:pStyle w:val="ListParagraph"/>
        <w:numPr>
          <w:ilvl w:val="0"/>
          <w:numId w:val="2"/>
        </w:numPr>
        <w:spacing w:after="60"/>
      </w:pPr>
      <w:r>
        <w:rPr>
          <w:b w:val="false"/>
          <w:bCs w:val="false"/>
          <w:i w:val="false"/>
          <w:iCs w:val="false"/>
          <w:sz w:val="22"/>
          <w:szCs w:val="22"/>
        </w:rPr>
        <w:t xml:space="preserve">From Volume + Price: dollar volume, average dollar volume, dollar volume z-score, turnover (Volume / Shares_Out), turnover z-score.</w:t>
      </w:r>
    </w:p>
    <w:p>
      <w:pPr>
        <w:pStyle w:val="ListParagraph"/>
        <w:numPr>
          <w:ilvl w:val="0"/>
          <w:numId w:val="2"/>
        </w:numPr>
        <w:spacing w:after="60"/>
      </w:pPr>
      <w:r>
        <w:rPr>
          <w:b w:val="false"/>
          <w:bCs w:val="false"/>
          <w:i w:val="false"/>
          <w:iCs w:val="false"/>
          <w:sz w:val="22"/>
          <w:szCs w:val="22"/>
        </w:rPr>
        <w:t xml:space="preserve">From Market_Cap: size buckets, within-index cap rank, cap rank trajectory over 3/6/12 months (input to migration-prediction signals).</w:t>
      </w:r>
    </w:p>
    <w:p>
      <w:pPr>
        <w:pStyle w:val="ListParagraph"/>
        <w:numPr>
          <w:ilvl w:val="0"/>
          <w:numId w:val="2"/>
        </w:numPr>
        <w:spacing w:after="60"/>
      </w:pPr>
      <w:r>
        <w:rPr>
          <w:b w:val="false"/>
          <w:bCs w:val="false"/>
          <w:i w:val="false"/>
          <w:iCs w:val="false"/>
          <w:sz w:val="22"/>
          <w:szCs w:val="22"/>
        </w:rPr>
        <w:t xml:space="preserve">From ID_DATE membership: tenure-in-index (days since first appearance), membership state (member/non-member at date t), cross-tier history (which other indices has this name been in).</w:t>
      </w:r>
    </w:p>
    <w:p>
      <w:pPr>
        <w:pStyle w:val="ListParagraph"/>
        <w:numPr>
          <w:ilvl w:val="0"/>
          <w:numId w:val="2"/>
        </w:numPr>
        <w:spacing w:after="60"/>
      </w:pPr>
      <w:r>
        <w:rPr>
          <w:b w:val="false"/>
          <w:bCs w:val="false"/>
          <w:i w:val="false"/>
          <w:iCs w:val="false"/>
          <w:sz w:val="22"/>
          <w:szCs w:val="22"/>
        </w:rPr>
        <w:t xml:space="preserve">From GICS: sub-industry peer cohort, peer count per sub-industry, cap-weighted leader per sub-industry, within-sub-industry rank of any feature, sub-industry HHI (concentration).</w:t>
      </w:r>
    </w:p>
    <w:p>
      <w:pPr>
        <w:pStyle w:val="ListParagraph"/>
        <w:numPr>
          <w:ilvl w:val="0"/>
          <w:numId w:val="2"/>
        </w:numPr>
        <w:spacing w:after="60"/>
      </w:pPr>
      <w:r>
        <w:rPr>
          <w:b w:val="false"/>
          <w:bCs w:val="false"/>
          <w:i w:val="false"/>
          <w:iCs w:val="false"/>
          <w:sz w:val="22"/>
          <w:szCs w:val="22"/>
        </w:rPr>
        <w:t xml:space="preserve">Compound features: residual return (de-betaed with sector ETF), within-sub-industry residual rank, cross-tier composite returns (large-cap industry return predicting small-cap peer returns).</w:t>
      </w:r>
    </w:p>
    <w:p>
      <w:pPr>
        <w:pStyle w:val="Heading2"/>
      </w:pPr>
      <w:r>
        <w:rPr>
          <w:b w:val="false"/>
          <w:bCs w:val="false"/>
          <w:i w:val="false"/>
          <w:iCs w:val="false"/>
          <w:sz w:val="22"/>
          <w:szCs w:val="22"/>
        </w:rPr>
        <w:t xml:space="preserve">3.7 Common mistakes researchers make</w:t>
      </w:r>
    </w:p>
    <w:p>
      <w:pPr>
        <w:pStyle w:val="ListParagraph"/>
        <w:numPr>
          <w:ilvl w:val="0"/>
          <w:numId w:val="2"/>
        </w:numPr>
        <w:spacing w:after="60"/>
      </w:pPr>
      <w:r>
        <w:rPr>
          <w:b w:val="false"/>
          <w:bCs w:val="false"/>
          <w:i w:val="false"/>
          <w:iCs w:val="false"/>
          <w:sz w:val="22"/>
          <w:szCs w:val="22"/>
        </w:rPr>
        <w:t xml:space="preserve">Treating the calendar-day grid as business-day. Inflates row count, divides averages by too many days, breaks dollar-volume calculations.</w:t>
      </w:r>
    </w:p>
    <w:p>
      <w:pPr>
        <w:pStyle w:val="ListParagraph"/>
        <w:numPr>
          <w:ilvl w:val="0"/>
          <w:numId w:val="2"/>
        </w:numPr>
        <w:spacing w:after="60"/>
      </w:pPr>
      <w:r>
        <w:rPr>
          <w:b w:val="false"/>
          <w:bCs w:val="false"/>
          <w:i w:val="false"/>
          <w:iCs w:val="false"/>
          <w:sz w:val="22"/>
          <w:szCs w:val="22"/>
        </w:rPr>
        <w:t xml:space="preserve">Forward-filling NaN prices. The NaN means the security didn't trade (pre-IPO, post-delisting, suspended). Forward-filling pretends it did, and that pretend trade is always on the wrong side.</w:t>
      </w:r>
    </w:p>
    <w:p>
      <w:pPr>
        <w:pStyle w:val="ListParagraph"/>
        <w:numPr>
          <w:ilvl w:val="0"/>
          <w:numId w:val="2"/>
        </w:numPr>
        <w:spacing w:after="60"/>
      </w:pPr>
      <w:r>
        <w:rPr>
          <w:b w:val="false"/>
          <w:bCs w:val="false"/>
          <w:i w:val="false"/>
          <w:iCs w:val="false"/>
          <w:sz w:val="22"/>
          <w:szCs w:val="22"/>
        </w:rPr>
        <w:t xml:space="preserve">Using the same-month snapshot to trade dates inside that month. The snapshot is revealed at month-end; using it for trades made on the 15th is 16 days of lookahead.</w:t>
      </w:r>
    </w:p>
    <w:p>
      <w:pPr>
        <w:pStyle w:val="ListParagraph"/>
        <w:numPr>
          <w:ilvl w:val="0"/>
          <w:numId w:val="2"/>
        </w:numPr>
        <w:spacing w:after="60"/>
      </w:pPr>
      <w:r>
        <w:rPr>
          <w:b w:val="false"/>
          <w:bCs w:val="false"/>
          <w:i w:val="false"/>
          <w:iCs w:val="false"/>
          <w:sz w:val="22"/>
          <w:szCs w:val="22"/>
        </w:rPr>
        <w:t xml:space="preserve">Using Price for size buckets. Back-adjustment makes price levels not comparable across time. Use Market_Cap.</w:t>
      </w:r>
    </w:p>
    <w:p>
      <w:pPr>
        <w:pStyle w:val="ListParagraph"/>
        <w:numPr>
          <w:ilvl w:val="0"/>
          <w:numId w:val="2"/>
        </w:numPr>
        <w:spacing w:after="60"/>
      </w:pPr>
      <w:r>
        <w:rPr>
          <w:b w:val="false"/>
          <w:bCs w:val="false"/>
          <w:i w:val="false"/>
          <w:iCs w:val="false"/>
          <w:sz w:val="22"/>
          <w:szCs w:val="22"/>
        </w:rPr>
        <w:t xml:space="preserve">Computing share-volume averages and comparing across years. Back-adjustment scales them differently across split events. Use dollar volume.</w:t>
      </w:r>
    </w:p>
    <w:p>
      <w:pPr>
        <w:pStyle w:val="ListParagraph"/>
        <w:numPr>
          <w:ilvl w:val="0"/>
          <w:numId w:val="2"/>
        </w:numPr>
        <w:spacing w:after="60"/>
      </w:pPr>
      <w:r>
        <w:rPr>
          <w:b w:val="false"/>
          <w:bCs w:val="false"/>
          <w:i w:val="false"/>
          <w:iCs w:val="false"/>
          <w:sz w:val="22"/>
          <w:szCs w:val="22"/>
        </w:rPr>
        <w:t xml:space="preserve">Joining PIT files to ETF file on DATE without first filtering PIT to business days. Generates a giant left-join with NaN-filled junk.</w:t>
      </w:r>
    </w:p>
    <w:p>
      <w:pPr>
        <w:pStyle w:val="ListParagraph"/>
        <w:numPr>
          <w:ilvl w:val="0"/>
          <w:numId w:val="2"/>
        </w:numPr>
        <w:spacing w:after="60"/>
      </w:pPr>
      <w:r>
        <w:rPr>
          <w:b w:val="false"/>
          <w:bCs w:val="false"/>
          <w:i w:val="false"/>
          <w:iCs w:val="false"/>
          <w:sz w:val="22"/>
          <w:szCs w:val="22"/>
        </w:rPr>
        <w:t xml:space="preserve">Computing returns within a stock's index-membership window only. If the stock leaves the index mid-month and you cut the return series at that point, you systematically truncate negative-tail returns. Better: track the stock until full delisting, even after it leaves the index.</w:t>
      </w:r>
    </w:p>
    <w:p>
      <w:pPr>
        <w:pStyle w:val="ListParagraph"/>
        <w:numPr>
          <w:ilvl w:val="0"/>
          <w:numId w:val="2"/>
        </w:numPr>
        <w:spacing w:after="60"/>
      </w:pPr>
      <w:r>
        <w:rPr>
          <w:b w:val="false"/>
          <w:bCs w:val="false"/>
          <w:i w:val="false"/>
          <w:iCs w:val="false"/>
          <w:sz w:val="22"/>
          <w:szCs w:val="22"/>
        </w:rPr>
        <w:t xml:space="preserve">Forgetting that PIT Price is not dividend-adjusted. Comparing strategies against an ETF total-return benchmark while pricing your own portfolio off PIT Price double-counts dividends in the benchmark and under-counts them in the portfolio.</w:t>
      </w:r>
    </w:p>
    <w:p>
      <w:pPr>
        <w:pStyle w:val="ListParagraph"/>
        <w:numPr>
          <w:ilvl w:val="0"/>
          <w:numId w:val="2"/>
        </w:numPr>
        <w:spacing w:after="60"/>
      </w:pPr>
      <w:r>
        <w:rPr>
          <w:b w:val="false"/>
          <w:bCs w:val="false"/>
          <w:i w:val="false"/>
          <w:iCs w:val="false"/>
          <w:sz w:val="22"/>
          <w:szCs w:val="22"/>
        </w:rPr>
        <w:t xml:space="preserve">Hard-coding sector counts. The 2018 GICS reorganization moved names between sectors; if your code expects 'Telecom' as a sector for pre-2018 dates, you will get empty cohorts. Use whatever sector tag the file provides.</w:t>
      </w:r>
    </w:p>
    <w:p>
      <w:pPr>
        <w:pStyle w:val="Heading2"/>
      </w:pPr>
      <w:r>
        <w:rPr>
          <w:b w:val="false"/>
          <w:bCs w:val="false"/>
          <w:i w:val="false"/>
          <w:iCs w:val="false"/>
          <w:sz w:val="22"/>
          <w:szCs w:val="22"/>
        </w:rPr>
        <w:t xml:space="preserve">3.8 Sources of bias</w:t>
      </w:r>
    </w:p>
    <w:p>
      <w:pPr>
        <w:pStyle w:val="ListParagraph"/>
        <w:numPr>
          <w:ilvl w:val="0"/>
          <w:numId w:val="2"/>
        </w:numPr>
        <w:spacing w:after="60"/>
      </w:pPr>
      <w:r>
        <w:rPr>
          <w:b w:val="false"/>
          <w:bCs w:val="false"/>
          <w:i w:val="false"/>
          <w:iCs w:val="false"/>
          <w:sz w:val="22"/>
          <w:szCs w:val="22"/>
        </w:rPr>
        <w:t xml:space="preserve">Survivorship bias — mitigated, not eliminated. Delisted IDs are present (D-suffix convention), but: (a) acquisitions for cash terminate the price series without recording the take-out premium, (b) spinoffs create gaps that aren't always cleanly reconciled, (c) the 2018 GICS reclassification is masked because sector codes are stable per ID.</w:t>
      </w:r>
    </w:p>
    <w:p>
      <w:pPr>
        <w:pStyle w:val="ListParagraph"/>
        <w:numPr>
          <w:ilvl w:val="0"/>
          <w:numId w:val="2"/>
        </w:numPr>
        <w:spacing w:after="60"/>
      </w:pPr>
      <w:r>
        <w:rPr>
          <w:b w:val="false"/>
          <w:bCs w:val="false"/>
          <w:i w:val="false"/>
          <w:iCs w:val="false"/>
          <w:sz w:val="22"/>
          <w:szCs w:val="22"/>
        </w:rPr>
        <w:t xml:space="preserve">Look-ahead bias — possible if you use same-month membership snapshots for in-month trades, or if you use the back-adjusted price level as a feature (the level reflects later splits that hadn't happened yet).</w:t>
      </w:r>
    </w:p>
    <w:p>
      <w:pPr>
        <w:pStyle w:val="ListParagraph"/>
        <w:numPr>
          <w:ilvl w:val="0"/>
          <w:numId w:val="2"/>
        </w:numPr>
        <w:spacing w:after="60"/>
      </w:pPr>
      <w:r>
        <w:rPr>
          <w:b w:val="false"/>
          <w:bCs w:val="false"/>
          <w:i w:val="false"/>
          <w:iCs w:val="false"/>
          <w:sz w:val="22"/>
          <w:szCs w:val="22"/>
        </w:rPr>
        <w:t xml:space="preserve">Selection bias for joins — when joining PIT to ETF or to itself across tiers, only names with valid Price exist in the join. Names suspended on the trade date silently disappear from your universe and the disappearance correlates with bad news.</w:t>
      </w:r>
    </w:p>
    <w:p>
      <w:pPr>
        <w:pStyle w:val="ListParagraph"/>
        <w:numPr>
          <w:ilvl w:val="0"/>
          <w:numId w:val="2"/>
        </w:numPr>
        <w:spacing w:after="60"/>
      </w:pPr>
      <w:r>
        <w:rPr>
          <w:b w:val="false"/>
          <w:bCs w:val="false"/>
          <w:i w:val="false"/>
          <w:iCs w:val="false"/>
          <w:sz w:val="22"/>
          <w:szCs w:val="22"/>
        </w:rPr>
        <w:t xml:space="preserve">Vendor bias — sourced from a single vendor's consolidated feed; alternative vendors (Refinitiv, S&amp;P direct, Compustat) may differ on edge cases (corporate actions, share-class allocations, intra-month reclassifications).</w:t>
      </w:r>
    </w:p>
    <w:p>
      <w:pPr>
        <w:pStyle w:val="ListParagraph"/>
        <w:numPr>
          <w:ilvl w:val="0"/>
          <w:numId w:val="2"/>
        </w:numPr>
        <w:spacing w:after="60"/>
      </w:pPr>
      <w:r>
        <w:rPr>
          <w:b w:val="false"/>
          <w:bCs w:val="false"/>
          <w:i w:val="false"/>
          <w:iCs w:val="false"/>
          <w:sz w:val="22"/>
          <w:szCs w:val="22"/>
        </w:rPr>
        <w:t xml:space="preserve">Sample-window bias — the panel starts 2016-03-01. Names with long histories pre-2016 have their tenure-in-index understated. The migration-history-since-2016 will under-count names that promoted/demoted before the window.</w:t>
      </w:r>
    </w:p>
    <w:p>
      <w:pPr>
        <w:pStyle w:val="Heading2"/>
      </w:pPr>
      <w:r>
        <w:rPr>
          <w:b w:val="false"/>
          <w:bCs w:val="false"/>
          <w:i w:val="false"/>
          <w:iCs w:val="false"/>
          <w:sz w:val="22"/>
          <w:szCs w:val="22"/>
        </w:rPr>
        <w:t xml:space="preserve">3.9 How this dataset connects to the others</w:t>
      </w:r>
    </w:p>
    <w:p>
      <w:pPr>
        <w:spacing w:after="100"/>
      </w:pPr>
      <w:r>
        <w:rPr>
          <w:b w:val="false"/>
          <w:bCs w:val="false"/>
          <w:i w:val="false"/>
          <w:iCs w:val="false"/>
          <w:sz w:val="22"/>
          <w:szCs w:val="22"/>
        </w:rPr>
        <w:t xml:space="preserve">Three connections matter, and you should be ready to talk through each.</w:t>
      </w:r>
    </w:p>
    <w:p>
      <w:pPr>
        <w:pStyle w:val="ListParagraph"/>
        <w:numPr>
          <w:ilvl w:val="0"/>
          <w:numId w:val="2"/>
        </w:numPr>
        <w:spacing w:after="60"/>
      </w:pPr>
      <w:r>
        <w:rPr>
          <w:b w:val="false"/>
          <w:bCs w:val="false"/>
          <w:i w:val="false"/>
          <w:iCs w:val="false"/>
          <w:sz w:val="22"/>
          <w:szCs w:val="22"/>
        </w:rPr>
        <w:t xml:space="preserve">PIT ↔ ETF (within-name residualization). For any name, look up its GICS_Sector, map to the corresponding sector ETF (e.g., Information Technology → XLK), and regress single-name returns on the ETF return to extract idiosyncratic signal. This is the primary use of the ETF file for single-name strategies.</w:t>
      </w:r>
    </w:p>
    <w:p>
      <w:pPr>
        <w:pStyle w:val="ListParagraph"/>
        <w:numPr>
          <w:ilvl w:val="0"/>
          <w:numId w:val="2"/>
        </w:numPr>
        <w:spacing w:after="60"/>
      </w:pPr>
      <w:r>
        <w:rPr>
          <w:b w:val="false"/>
          <w:bCs w:val="false"/>
          <w:i w:val="false"/>
          <w:iCs w:val="false"/>
          <w:sz w:val="22"/>
          <w:szCs w:val="22"/>
        </w:rPr>
        <w:t xml:space="preserve">PIT ↔ PIT (cross-tier dynamics). The same ID can appear in different files at different times — that is a promotion or demotion. Joining the three PIT files on ID lets you reconstruct a stock's full S&amp;P 1500 lifetime, including its size journey.</w:t>
      </w:r>
    </w:p>
    <w:p>
      <w:pPr>
        <w:pStyle w:val="ListParagraph"/>
        <w:numPr>
          <w:ilvl w:val="0"/>
          <w:numId w:val="2"/>
        </w:numPr>
        <w:spacing w:after="60"/>
      </w:pPr>
      <w:r>
        <w:rPr>
          <w:b w:val="false"/>
          <w:bCs w:val="false"/>
          <w:i w:val="false"/>
          <w:iCs w:val="false"/>
          <w:sz w:val="22"/>
          <w:szCs w:val="22"/>
        </w:rPr>
        <w:t xml:space="preserve">PIT × ETF × time (regime conditioning). The ETF return cross-correlation regime (high cross-correlation = macro-driven; low = stock-picking) can be a conditioning variable for the PIT-based strategies — many cross-sectional strategies underperform in macro-driven regimes.</w:t>
      </w:r>
    </w:p>
    <w:p>
      <w:r>
        <w:br w:type="page"/>
      </w:r>
    </w:p>
    <w:p>
      <w:pPr>
        <w:pStyle w:val="Heading1"/>
      </w:pPr>
      <w:r>
        <w:rPr>
          <w:b w:val="false"/>
          <w:bCs w:val="false"/>
          <w:i w:val="false"/>
          <w:iCs w:val="false"/>
          <w:sz w:val="22"/>
          <w:szCs w:val="22"/>
        </w:rPr>
        <w:t xml:space="preserve">Chapter 4 — What distinguishes each PIT file</w:t>
      </w:r>
    </w:p>
    <w:p>
      <w:pPr>
        <w:spacing w:after="100"/>
      </w:pPr>
      <w:r>
        <w:rPr>
          <w:b w:val="false"/>
          <w:bCs w:val="false"/>
          <w:i w:val="false"/>
          <w:iCs w:val="false"/>
          <w:sz w:val="22"/>
          <w:szCs w:val="22"/>
        </w:rPr>
        <w:t xml:space="preserve">Same structure across the three files; different roles in research.</w:t>
      </w:r>
    </w:p>
    <w:p>
      <w:pPr>
        <w:pStyle w:val="Heading2"/>
      </w:pPr>
      <w:r>
        <w:rPr>
          <w:b w:val="false"/>
          <w:bCs w:val="false"/>
          <w:i w:val="false"/>
          <w:iCs w:val="false"/>
          <w:sz w:val="22"/>
          <w:szCs w:val="22"/>
        </w:rPr>
        <w:t xml:space="preserve">4.1 sp500_pit (large-cap, SPX Index)</w:t>
      </w:r>
    </w:p>
    <w:p>
      <w:pPr>
        <w:pStyle w:val="ListParagraph"/>
        <w:numPr>
          <w:ilvl w:val="0"/>
          <w:numId w:val="2"/>
        </w:numPr>
        <w:spacing w:after="60"/>
      </w:pPr>
      <w:r>
        <w:rPr>
          <w:b w:val="false"/>
          <w:bCs w:val="false"/>
          <w:i w:val="false"/>
          <w:iCs w:val="false"/>
          <w:sz w:val="22"/>
          <w:szCs w:val="22"/>
        </w:rPr>
        <w:t xml:space="preserve">503-506 names per snapshot (range from dual-class shares like GOOG/GOOGL, FOX/FOXA, NWSA/NWS).</w:t>
      </w:r>
    </w:p>
    <w:p>
      <w:pPr>
        <w:pStyle w:val="ListParagraph"/>
        <w:numPr>
          <w:ilvl w:val="0"/>
          <w:numId w:val="2"/>
        </w:numPr>
        <w:spacing w:after="60"/>
      </w:pPr>
      <w:r>
        <w:rPr>
          <w:b w:val="false"/>
          <w:bCs w:val="false"/>
          <w:i w:val="false"/>
          <w:iCs w:val="false"/>
          <w:sz w:val="22"/>
          <w:szCs w:val="22"/>
        </w:rPr>
        <w:t xml:space="preserve">Lowest annual churn (~24 in/out per year) → most stable peer cohorts → cleanest single-name research.</w:t>
      </w:r>
    </w:p>
    <w:p>
      <w:pPr>
        <w:pStyle w:val="ListParagraph"/>
        <w:numPr>
          <w:ilvl w:val="0"/>
          <w:numId w:val="2"/>
        </w:numPr>
        <w:spacing w:after="60"/>
      </w:pPr>
      <w:r>
        <w:rPr>
          <w:b w:val="false"/>
          <w:bCs w:val="false"/>
          <w:i w:val="false"/>
          <w:iCs w:val="false"/>
          <w:sz w:val="22"/>
          <w:szCs w:val="22"/>
        </w:rPr>
        <w:t xml:space="preserve">Highest liquidity → smallest transaction-cost concerns → most generous capacity for strategies.</w:t>
      </w:r>
    </w:p>
    <w:p>
      <w:pPr>
        <w:pStyle w:val="ListParagraph"/>
        <w:numPr>
          <w:ilvl w:val="0"/>
          <w:numId w:val="2"/>
        </w:numPr>
        <w:spacing w:after="60"/>
      </w:pPr>
      <w:r>
        <w:rPr>
          <w:b w:val="false"/>
          <w:bCs w:val="false"/>
          <w:i w:val="false"/>
          <w:iCs w:val="false"/>
          <w:sz w:val="22"/>
          <w:szCs w:val="22"/>
        </w:rPr>
        <w:t xml:space="preserve">Greatest analyst coverage → mispricings are smaller, alpha decay faster. Use SP500 as the universe where you must defeat the highest-efficiency segment.</w:t>
      </w:r>
    </w:p>
    <w:p>
      <w:pPr>
        <w:pStyle w:val="ListParagraph"/>
        <w:numPr>
          <w:ilvl w:val="0"/>
          <w:numId w:val="2"/>
        </w:numPr>
        <w:spacing w:after="60"/>
      </w:pPr>
      <w:r>
        <w:rPr>
          <w:b w:val="false"/>
          <w:bCs w:val="false"/>
          <w:i w:val="false"/>
          <w:iCs w:val="false"/>
          <w:sz w:val="22"/>
          <w:szCs w:val="22"/>
        </w:rPr>
        <w:t xml:space="preserve">Maps cleanly to XLK/XLF/XLE etc. sector ETFs because SPDR sector funds hold only SP500 constituents.</w:t>
      </w:r>
    </w:p>
    <w:p>
      <w:pPr>
        <w:pStyle w:val="Heading2"/>
      </w:pPr>
      <w:r>
        <w:rPr>
          <w:b w:val="false"/>
          <w:bCs w:val="false"/>
          <w:i w:val="false"/>
          <w:iCs w:val="false"/>
          <w:sz w:val="22"/>
          <w:szCs w:val="22"/>
        </w:rPr>
        <w:t xml:space="preserve">4.2 sp400_pit (mid-cap, MID Index)</w:t>
      </w:r>
    </w:p>
    <w:p>
      <w:pPr>
        <w:pStyle w:val="ListParagraph"/>
        <w:numPr>
          <w:ilvl w:val="0"/>
          <w:numId w:val="2"/>
        </w:numPr>
        <w:spacing w:after="60"/>
      </w:pPr>
      <w:r>
        <w:rPr>
          <w:b w:val="false"/>
          <w:bCs w:val="false"/>
          <w:i w:val="false"/>
          <w:iCs w:val="false"/>
          <w:sz w:val="22"/>
          <w:szCs w:val="22"/>
        </w:rPr>
        <w:t xml:space="preserve">400-401 names per snapshot.</w:t>
      </w:r>
    </w:p>
    <w:p>
      <w:pPr>
        <w:pStyle w:val="ListParagraph"/>
        <w:numPr>
          <w:ilvl w:val="0"/>
          <w:numId w:val="2"/>
        </w:numPr>
        <w:spacing w:after="60"/>
      </w:pPr>
      <w:r>
        <w:rPr>
          <w:b w:val="false"/>
          <w:bCs w:val="false"/>
          <w:i w:val="false"/>
          <w:iCs w:val="false"/>
          <w:sz w:val="22"/>
          <w:szCs w:val="22"/>
        </w:rPr>
        <w:t xml:space="preserve">Medium churn (~51/yr) → more promotion/demotion events to study.</w:t>
      </w:r>
    </w:p>
    <w:p>
      <w:pPr>
        <w:pStyle w:val="ListParagraph"/>
        <w:numPr>
          <w:ilvl w:val="0"/>
          <w:numId w:val="2"/>
        </w:numPr>
        <w:spacing w:after="60"/>
      </w:pPr>
      <w:r>
        <w:rPr>
          <w:b w:val="false"/>
          <w:bCs w:val="false"/>
          <w:i w:val="false"/>
          <w:iCs w:val="false"/>
          <w:sz w:val="22"/>
          <w:szCs w:val="22"/>
        </w:rPr>
        <w:t xml:space="preserve">Moderate liquidity. Capacity strong for sleeves up to several hundred million; impact rises faster than SP500 names.</w:t>
      </w:r>
    </w:p>
    <w:p>
      <w:pPr>
        <w:pStyle w:val="ListParagraph"/>
        <w:numPr>
          <w:ilvl w:val="0"/>
          <w:numId w:val="2"/>
        </w:numPr>
        <w:spacing w:after="60"/>
      </w:pPr>
      <w:r>
        <w:rPr>
          <w:b w:val="false"/>
          <w:bCs w:val="false"/>
          <w:i w:val="false"/>
          <w:iCs w:val="false"/>
          <w:sz w:val="22"/>
          <w:szCs w:val="22"/>
        </w:rPr>
        <w:t xml:space="preserve">Less analyst coverage → potentially larger inefficiencies. Good universe for momentum, residual-momentum, and lead-lag strategies.</w:t>
      </w:r>
    </w:p>
    <w:p>
      <w:pPr>
        <w:pStyle w:val="ListParagraph"/>
        <w:numPr>
          <w:ilvl w:val="0"/>
          <w:numId w:val="2"/>
        </w:numPr>
        <w:spacing w:after="60"/>
      </w:pPr>
      <w:r>
        <w:rPr>
          <w:b w:val="false"/>
          <w:bCs w:val="false"/>
          <w:i w:val="false"/>
          <w:iCs w:val="false"/>
          <w:sz w:val="22"/>
          <w:szCs w:val="22"/>
        </w:rPr>
        <w:t xml:space="preserve">Does NOT have a clean sector ETF equivalent (XL-prefixed ETFs hold only SP500 names). Sector residualization for SP400 names against XLK introduces a mid-cap idiosyncratic component — this is sometimes a feature (it's exactly the residual you want to trade) and sometimes a bug (you're not fully de-betaed). Be explicit about which.</w:t>
      </w:r>
    </w:p>
    <w:p>
      <w:pPr>
        <w:pStyle w:val="Heading2"/>
      </w:pPr>
      <w:r>
        <w:rPr>
          <w:b w:val="false"/>
          <w:bCs w:val="false"/>
          <w:i w:val="false"/>
          <w:iCs w:val="false"/>
          <w:sz w:val="22"/>
          <w:szCs w:val="22"/>
        </w:rPr>
        <w:t xml:space="preserve">4.3 sp600_pit (small-cap, SML Index)</w:t>
      </w:r>
    </w:p>
    <w:p>
      <w:pPr>
        <w:pStyle w:val="ListParagraph"/>
        <w:numPr>
          <w:ilvl w:val="0"/>
          <w:numId w:val="2"/>
        </w:numPr>
        <w:spacing w:after="60"/>
      </w:pPr>
      <w:r>
        <w:rPr>
          <w:b w:val="false"/>
          <w:bCs w:val="false"/>
          <w:i w:val="false"/>
          <w:iCs w:val="false"/>
          <w:sz w:val="22"/>
          <w:szCs w:val="22"/>
        </w:rPr>
        <w:t xml:space="preserve">601-603 names per snapshot.</w:t>
      </w:r>
    </w:p>
    <w:p>
      <w:pPr>
        <w:pStyle w:val="ListParagraph"/>
        <w:numPr>
          <w:ilvl w:val="0"/>
          <w:numId w:val="2"/>
        </w:numPr>
        <w:spacing w:after="60"/>
      </w:pPr>
      <w:r>
        <w:rPr>
          <w:b w:val="false"/>
          <w:bCs w:val="false"/>
          <w:i w:val="false"/>
          <w:iCs w:val="false"/>
          <w:sz w:val="22"/>
          <w:szCs w:val="22"/>
        </w:rPr>
        <w:t xml:space="preserve">Highest churn (~74/yr) → most promotion/demotion events → richest universe for membership-dynamics research.</w:t>
      </w:r>
    </w:p>
    <w:p>
      <w:pPr>
        <w:pStyle w:val="ListParagraph"/>
        <w:numPr>
          <w:ilvl w:val="0"/>
          <w:numId w:val="2"/>
        </w:numPr>
        <w:spacing w:after="60"/>
      </w:pPr>
      <w:r>
        <w:rPr>
          <w:b w:val="false"/>
          <w:bCs w:val="false"/>
          <w:i w:val="false"/>
          <w:iCs w:val="false"/>
          <w:sz w:val="22"/>
          <w:szCs w:val="22"/>
        </w:rPr>
        <w:t xml:space="preserve">Lowest liquidity → narrowest capacity. Transaction costs and borrow rates dominate net Sharpe at smaller AUM than the larger tiers.</w:t>
      </w:r>
    </w:p>
    <w:p>
      <w:pPr>
        <w:pStyle w:val="ListParagraph"/>
        <w:numPr>
          <w:ilvl w:val="0"/>
          <w:numId w:val="2"/>
        </w:numPr>
        <w:spacing w:after="60"/>
      </w:pPr>
      <w:r>
        <w:rPr>
          <w:b w:val="false"/>
          <w:bCs w:val="false"/>
          <w:i w:val="false"/>
          <w:iCs w:val="false"/>
          <w:sz w:val="22"/>
          <w:szCs w:val="22"/>
        </w:rPr>
        <w:t xml:space="preserve">Largest cohort (~1,305 ever-members, ~702 removed over the decade) → most data points for survival analysis and event studies.</w:t>
      </w:r>
    </w:p>
    <w:p>
      <w:pPr>
        <w:pStyle w:val="ListParagraph"/>
        <w:numPr>
          <w:ilvl w:val="0"/>
          <w:numId w:val="2"/>
        </w:numPr>
        <w:spacing w:after="60"/>
      </w:pPr>
      <w:r>
        <w:rPr>
          <w:b w:val="false"/>
          <w:bCs w:val="false"/>
          <w:i w:val="false"/>
          <w:iCs w:val="false"/>
          <w:sz w:val="22"/>
          <w:szCs w:val="22"/>
        </w:rPr>
        <w:t xml:space="preserve">Sector ETFs do not represent SP600 directly. Any sector-residual strategy for SP600 names is more 'idio' than for SP500 names by construction.</w:t>
      </w:r>
    </w:p>
    <w:p>
      <w:pPr>
        <w:pStyle w:val="ListParagraph"/>
        <w:numPr>
          <w:ilvl w:val="0"/>
          <w:numId w:val="2"/>
        </w:numPr>
        <w:spacing w:after="60"/>
      </w:pPr>
      <w:r>
        <w:rPr>
          <w:b w:val="false"/>
          <w:bCs w:val="false"/>
          <w:i w:val="false"/>
          <w:iCs w:val="false"/>
          <w:sz w:val="22"/>
          <w:szCs w:val="22"/>
        </w:rPr>
        <w:t xml:space="preserve">Highest data-quality risk. The audit flagged FSLR/EQT-style adjustment artifacts most prominently in the small/mid universe. Apply tighter winsorization.</w:t>
      </w:r>
    </w:p>
    <w:p>
      <w:r>
        <w:br w:type="page"/>
      </w:r>
    </w:p>
    <w:p>
      <w:pPr>
        <w:pStyle w:val="Heading1"/>
      </w:pPr>
      <w:r>
        <w:rPr>
          <w:b w:val="false"/>
          <w:bCs w:val="false"/>
          <w:i w:val="false"/>
          <w:iCs w:val="false"/>
          <w:sz w:val="22"/>
          <w:szCs w:val="22"/>
        </w:rPr>
        <w:t xml:space="preserve">Chapter 5 — How the four datasets connect</w:t>
      </w:r>
    </w:p>
    <w:p>
      <w:pPr>
        <w:spacing w:after="100"/>
      </w:pPr>
      <w:r>
        <w:rPr>
          <w:b w:val="false"/>
          <w:bCs w:val="false"/>
          <w:i w:val="false"/>
          <w:iCs w:val="false"/>
          <w:sz w:val="22"/>
          <w:szCs w:val="22"/>
        </w:rPr>
        <w:t xml:space="preserve">The four files are not four independent datasets. They are pieces of one universe. Knowing how to join them is the difference between using the data and being used by it.</w:t>
      </w:r>
    </w:p>
    <w:p>
      <w:pPr>
        <w:pStyle w:val="Heading2"/>
      </w:pPr>
      <w:r>
        <w:rPr>
          <w:b w:val="false"/>
          <w:bCs w:val="false"/>
          <w:i w:val="false"/>
          <w:iCs w:val="false"/>
          <w:sz w:val="22"/>
          <w:szCs w:val="22"/>
        </w:rPr>
        <w:t xml:space="preserve">5.1 The natural join graph</w:t>
      </w:r>
    </w:p>
    <w:p>
      <w:pPr>
        <w:pStyle w:val="ListParagraph"/>
        <w:numPr>
          <w:ilvl w:val="0"/>
          <w:numId w:val="2"/>
        </w:numPr>
        <w:spacing w:after="60"/>
      </w:pPr>
      <w:r>
        <w:rPr>
          <w:b w:val="false"/>
          <w:bCs w:val="false"/>
          <w:i w:val="false"/>
          <w:iCs w:val="false"/>
          <w:sz w:val="22"/>
          <w:szCs w:val="22"/>
        </w:rPr>
        <w:t xml:space="preserve">PIT ↔ PIT: join on (ID, DATE) to track cross-tier migrations. A name's full S&amp;P 1500 history is reconstructed by concatenating the three PIT files and grouping by ID.</w:t>
      </w:r>
    </w:p>
    <w:p>
      <w:pPr>
        <w:pStyle w:val="ListParagraph"/>
        <w:numPr>
          <w:ilvl w:val="0"/>
          <w:numId w:val="2"/>
        </w:numPr>
        <w:spacing w:after="60"/>
      </w:pPr>
      <w:r>
        <w:rPr>
          <w:b w:val="false"/>
          <w:bCs w:val="false"/>
          <w:i w:val="false"/>
          <w:iCs w:val="false"/>
          <w:sz w:val="22"/>
          <w:szCs w:val="22"/>
        </w:rPr>
        <w:t xml:space="preserve">PIT ↔ ETF: join on (DATE, sector_ETF_ticker_inferred_from_GICS_Sector). Used for residualization, risk decomposition, and sector-neutral overlays.</w:t>
      </w:r>
    </w:p>
    <w:p>
      <w:pPr>
        <w:pStyle w:val="ListParagraph"/>
        <w:numPr>
          <w:ilvl w:val="0"/>
          <w:numId w:val="2"/>
        </w:numPr>
        <w:spacing w:after="60"/>
      </w:pPr>
      <w:r>
        <w:rPr>
          <w:b w:val="false"/>
          <w:bCs w:val="false"/>
          <w:i w:val="false"/>
          <w:iCs w:val="false"/>
          <w:sz w:val="22"/>
          <w:szCs w:val="22"/>
        </w:rPr>
        <w:t xml:space="preserve">PIT × time: ID_DATE provides the membership-at-date function. Always lag by at least one snapshot before using in trading rules.</w:t>
      </w:r>
    </w:p>
    <w:p>
      <w:pPr>
        <w:pStyle w:val="ListParagraph"/>
        <w:numPr>
          <w:ilvl w:val="0"/>
          <w:numId w:val="2"/>
        </w:numPr>
        <w:spacing w:after="60"/>
      </w:pPr>
      <w:r>
        <w:rPr>
          <w:b w:val="false"/>
          <w:bCs w:val="false"/>
          <w:i w:val="false"/>
          <w:iCs w:val="false"/>
          <w:sz w:val="22"/>
          <w:szCs w:val="22"/>
        </w:rPr>
        <w:t xml:space="preserve">Cross-section × ETF: at each date, the cross-section of ETF returns is itself a feature (sector dispersion, sector momentum) that conditions PIT-based signals.</w:t>
      </w:r>
    </w:p>
    <w:p>
      <w:pPr>
        <w:pStyle w:val="Heading2"/>
      </w:pPr>
      <w:r>
        <w:rPr>
          <w:b w:val="false"/>
          <w:bCs w:val="false"/>
          <w:i w:val="false"/>
          <w:iCs w:val="false"/>
          <w:sz w:val="22"/>
          <w:szCs w:val="22"/>
        </w:rPr>
        <w:t xml:space="preserve">5.2 What becomes possible when you join them</w:t>
      </w:r>
    </w:p>
    <w:p>
      <w:pPr>
        <w:pStyle w:val="ListParagraph"/>
        <w:numPr>
          <w:ilvl w:val="0"/>
          <w:numId w:val="2"/>
        </w:numPr>
        <w:spacing w:after="60"/>
      </w:pPr>
      <w:r>
        <w:rPr>
          <w:b w:val="false"/>
          <w:bCs w:val="false"/>
          <w:i w:val="false"/>
          <w:iCs w:val="false"/>
          <w:sz w:val="22"/>
          <w:szCs w:val="22"/>
        </w:rPr>
        <w:t xml:space="preserve">Sector-residual single-name return series, the workhorse of institutional L/S research.</w:t>
      </w:r>
    </w:p>
    <w:p>
      <w:pPr>
        <w:pStyle w:val="ListParagraph"/>
        <w:numPr>
          <w:ilvl w:val="0"/>
          <w:numId w:val="2"/>
        </w:numPr>
        <w:spacing w:after="60"/>
      </w:pPr>
      <w:r>
        <w:rPr>
          <w:b w:val="false"/>
          <w:bCs w:val="false"/>
          <w:i w:val="false"/>
          <w:iCs w:val="false"/>
          <w:sz w:val="22"/>
          <w:szCs w:val="22"/>
        </w:rPr>
        <w:t xml:space="preserve">Cross-tier signal construction — using SP500 names as leaders for SP400 and SP600 followers within the same Industry.</w:t>
      </w:r>
    </w:p>
    <w:p>
      <w:pPr>
        <w:pStyle w:val="ListParagraph"/>
        <w:numPr>
          <w:ilvl w:val="0"/>
          <w:numId w:val="2"/>
        </w:numPr>
        <w:spacing w:after="60"/>
      </w:pPr>
      <w:r>
        <w:rPr>
          <w:b w:val="false"/>
          <w:bCs w:val="false"/>
          <w:i w:val="false"/>
          <w:iCs w:val="false"/>
          <w:sz w:val="22"/>
          <w:szCs w:val="22"/>
        </w:rPr>
        <w:t xml:space="preserve">Migration-imminence prediction — using market-cap rank trajectory across the PIT panel to forecast promotions, validated against actual cross-tier appearances.</w:t>
      </w:r>
    </w:p>
    <w:p>
      <w:pPr>
        <w:pStyle w:val="ListParagraph"/>
        <w:numPr>
          <w:ilvl w:val="0"/>
          <w:numId w:val="2"/>
        </w:numPr>
        <w:spacing w:after="60"/>
      </w:pPr>
      <w:r>
        <w:rPr>
          <w:b w:val="false"/>
          <w:bCs w:val="false"/>
          <w:i w:val="false"/>
          <w:iCs w:val="false"/>
          <w:sz w:val="22"/>
          <w:szCs w:val="22"/>
        </w:rPr>
        <w:t xml:space="preserve">Regime-conditional strategy weights — using ETF cross-correlation regime to scale exposure of cross-sectional PIT-based strategies.</w:t>
      </w:r>
    </w:p>
    <w:p>
      <w:pPr>
        <w:pStyle w:val="ListParagraph"/>
        <w:numPr>
          <w:ilvl w:val="0"/>
          <w:numId w:val="2"/>
        </w:numPr>
        <w:spacing w:after="60"/>
      </w:pPr>
      <w:r>
        <w:rPr>
          <w:b w:val="false"/>
          <w:bCs w:val="false"/>
          <w:i w:val="false"/>
          <w:iCs w:val="false"/>
          <w:sz w:val="22"/>
          <w:szCs w:val="22"/>
        </w:rPr>
        <w:t xml:space="preserve">Honest pre-trade transaction cost modeling — combining PIT dollar volume per name with ETF dollar volume per sector for sector-vehicle hedging.</w:t>
      </w:r>
    </w:p>
    <w:p>
      <w:pPr>
        <w:pStyle w:val="Heading2"/>
      </w:pPr>
      <w:r>
        <w:rPr>
          <w:b w:val="false"/>
          <w:bCs w:val="false"/>
          <w:i w:val="false"/>
          <w:iCs w:val="false"/>
          <w:sz w:val="22"/>
          <w:szCs w:val="22"/>
        </w:rPr>
        <w:t xml:space="preserve">5.3 The two integrity rules to never break</w:t>
      </w:r>
    </w:p>
    <w:p>
      <w:pPr>
        <w:pStyle w:val="ListParagraph"/>
        <w:numPr>
          <w:ilvl w:val="0"/>
          <w:numId w:val="2"/>
        </w:numPr>
        <w:spacing w:after="60"/>
      </w:pPr>
      <w:r>
        <w:rPr>
          <w:b w:val="false"/>
          <w:bCs w:val="false"/>
          <w:i w:val="false"/>
          <w:iCs w:val="false"/>
          <w:sz w:val="22"/>
          <w:szCs w:val="22"/>
        </w:rPr>
        <w:t xml:space="preserve">Membership-as-of-date rule: for any decision made on date D, the universe is M(ID_DATE = max snapshot &lt; D). Never the same-month snapshot.</w:t>
      </w:r>
    </w:p>
    <w:p>
      <w:pPr>
        <w:pStyle w:val="ListParagraph"/>
        <w:numPr>
          <w:ilvl w:val="0"/>
          <w:numId w:val="2"/>
        </w:numPr>
        <w:spacing w:after="60"/>
      </w:pPr>
      <w:r>
        <w:rPr>
          <w:b w:val="false"/>
          <w:bCs w:val="false"/>
          <w:i w:val="false"/>
          <w:iCs w:val="false"/>
          <w:sz w:val="22"/>
          <w:szCs w:val="22"/>
        </w:rPr>
        <w:t xml:space="preserve">Return-convention rule: pick one. If you use PIT Price returns, use ETF Close returns. If you use ETF Adj_Close returns (total), use a separate dividend-adjusted single-name source. Mixing the two creates phantom alpha.</w:t>
      </w:r>
    </w:p>
    <w:p>
      <w:r>
        <w:br w:type="page"/>
      </w:r>
    </w:p>
    <w:p>
      <w:pPr>
        <w:pStyle w:val="Heading1"/>
      </w:pPr>
      <w:r>
        <w:rPr>
          <w:b w:val="false"/>
          <w:bCs w:val="false"/>
          <w:i w:val="false"/>
          <w:iCs w:val="false"/>
          <w:sz w:val="22"/>
          <w:szCs w:val="22"/>
        </w:rPr>
        <w:t xml:space="preserve">Chapter 6 — Defending this to a portfolio manager</w:t>
      </w:r>
    </w:p>
    <w:p>
      <w:pPr>
        <w:spacing w:after="100"/>
      </w:pPr>
      <w:r>
        <w:rPr>
          <w:b w:val="false"/>
          <w:bCs w:val="false"/>
          <w:i w:val="false"/>
          <w:iCs w:val="false"/>
          <w:sz w:val="22"/>
          <w:szCs w:val="22"/>
        </w:rPr>
        <w:t xml:space="preserve">Anticipated questions, with the answer you give and the underlying point that answer makes about you. Every answer ties to a specific section of this document so you know exactly where to point.</w:t>
      </w:r>
    </w:p>
    <w:p>
      <w:pPr>
        <w:pStyle w:val="Heading3"/>
      </w:pPr>
      <w:r>
        <w:rPr>
          <w:b w:val="false"/>
          <w:bCs w:val="false"/>
          <w:i w:val="false"/>
          <w:iCs w:val="false"/>
          <w:sz w:val="22"/>
          <w:szCs w:val="22"/>
        </w:rPr>
        <w:t xml:space="preserve">Q1. 'What kind of bias is in this data?'</w:t>
      </w:r>
    </w:p>
    <w:p>
      <w:pPr>
        <w:spacing w:after="100"/>
      </w:pPr>
      <w:r>
        <w:rPr>
          <w:b w:val="false"/>
          <w:bCs w:val="false"/>
          <w:i w:val="false"/>
          <w:iCs w:val="false"/>
          <w:sz w:val="22"/>
          <w:szCs w:val="22"/>
        </w:rPr>
        <w:t xml:space="preserve">"Three kinds, of which two are mitigated and one is partial. Survivorship is largely mitigated by retaining delisted IDs; the residual is acquisitions-for-cash whose terminal premium isn't recorded. Lookahead is mitigated by the PIT structure if I lag the snapshot, but the back-adjusted prices embed future split decisions, so any rule using absolute price levels has subtle hindsight. GICS sectors are stable per ID, which masks the 2018 reclassification — I'd flag that for any strategy that uses pre-2018 sector membership." — points back to 3.8 and 1.3.</w:t>
      </w:r>
    </w:p>
    <w:p>
      <w:pPr>
        <w:pStyle w:val="Heading3"/>
      </w:pPr>
      <w:r>
        <w:rPr>
          <w:b w:val="false"/>
          <w:bCs w:val="false"/>
          <w:i w:val="false"/>
          <w:iCs w:val="false"/>
          <w:sz w:val="22"/>
          <w:szCs w:val="22"/>
        </w:rPr>
        <w:t xml:space="preserve">Q2. 'How do you handle the calendar-day grid?'</w:t>
      </w:r>
    </w:p>
    <w:p>
      <w:pPr>
        <w:spacing w:after="100"/>
      </w:pPr>
      <w:r>
        <w:rPr>
          <w:b w:val="false"/>
          <w:bCs w:val="false"/>
          <w:i w:val="false"/>
          <w:iCs w:val="false"/>
          <w:sz w:val="22"/>
          <w:szCs w:val="22"/>
        </w:rPr>
        <w:t xml:space="preserve">"Drop rows where Price is NaN at load. That filter removes weekends, holidays, and non-trading days in one pass. Forward-filling would be wrong — NaN means the security didn't trade, not 'price unchanged.'" — points back to 1.2 and 3.7.</w:t>
      </w:r>
    </w:p>
    <w:p>
      <w:pPr>
        <w:pStyle w:val="Heading3"/>
      </w:pPr>
      <w:r>
        <w:rPr>
          <w:b w:val="false"/>
          <w:bCs w:val="false"/>
          <w:i w:val="false"/>
          <w:iCs w:val="false"/>
          <w:sz w:val="22"/>
          <w:szCs w:val="22"/>
        </w:rPr>
        <w:t xml:space="preserve">Q3. 'Are prices adjusted? In what way?'</w:t>
      </w:r>
    </w:p>
    <w:p>
      <w:pPr>
        <w:spacing w:after="100"/>
      </w:pPr>
      <w:r>
        <w:rPr>
          <w:b w:val="false"/>
          <w:bCs w:val="false"/>
          <w:i w:val="false"/>
          <w:iCs w:val="false"/>
          <w:sz w:val="22"/>
          <w:szCs w:val="22"/>
        </w:rPr>
        <w:t xml:space="preserve">"Prices and shares outstanding and volume are all back-adjusted for splits to today's share-class basis. Market cap, being price × shares, is invariant under this adjustment, so it's the correct number to use for size buckets. Dollar volume (price × volume) is also invariant. Absolute price levels and raw share counts are not the historical exchange-tape numbers — I'd avoid features that depend on them." — points back to 1.3.</w:t>
      </w:r>
    </w:p>
    <w:p>
      <w:pPr>
        <w:pStyle w:val="Heading3"/>
      </w:pPr>
      <w:r>
        <w:rPr>
          <w:b w:val="false"/>
          <w:bCs w:val="false"/>
          <w:i w:val="false"/>
          <w:iCs w:val="false"/>
          <w:sz w:val="22"/>
          <w:szCs w:val="22"/>
        </w:rPr>
        <w:t xml:space="preserve">Q4. 'How do you compute returns?'</w:t>
      </w:r>
    </w:p>
    <w:p>
      <w:pPr>
        <w:spacing w:after="100"/>
      </w:pPr>
      <w:r>
        <w:rPr>
          <w:b w:val="false"/>
          <w:bCs w:val="false"/>
          <w:i w:val="false"/>
          <w:iCs w:val="false"/>
          <w:sz w:val="22"/>
          <w:szCs w:val="22"/>
        </w:rPr>
        <w:t xml:space="preserve">"For single names from the PIT files, I use Price.pct_change() filtered to business days. This gives price returns. For total-return calculations I'd need an external dividend feed. For ETFs I use Adj_Close.pct_change() if I want total return, or Close.pct_change() if I want to be on the same convention as the PIT files. The key is to pick one convention per study and never mix." — points back to 1.4.</w:t>
      </w:r>
    </w:p>
    <w:p>
      <w:pPr>
        <w:pStyle w:val="Heading3"/>
      </w:pPr>
      <w:r>
        <w:rPr>
          <w:b w:val="false"/>
          <w:bCs w:val="false"/>
          <w:i w:val="false"/>
          <w:iCs w:val="false"/>
          <w:sz w:val="22"/>
          <w:szCs w:val="22"/>
        </w:rPr>
        <w:t xml:space="preserve">Q5. 'How do you define the tradable universe at date t?'</w:t>
      </w:r>
    </w:p>
    <w:p>
      <w:pPr>
        <w:spacing w:after="100"/>
      </w:pPr>
      <w:r>
        <w:rPr>
          <w:b w:val="false"/>
          <w:bCs w:val="false"/>
          <w:i w:val="false"/>
          <w:iCs w:val="false"/>
          <w:sz w:val="22"/>
          <w:szCs w:val="22"/>
        </w:rPr>
        <w:t xml:space="preserve">"M(t) = the set of IDs in the snapshot whose ID_DATE is the most recent month-end strictly before t. Never the same-month snapshot — that would be 1-30 days of lookahead. For a backtest that trades on the first business day of the month, the relevant universe is the prior month's snapshot." — points back to 3.2 and 5.3.</w:t>
      </w:r>
    </w:p>
    <w:p>
      <w:pPr>
        <w:pStyle w:val="Heading3"/>
      </w:pPr>
      <w:r>
        <w:rPr>
          <w:b w:val="false"/>
          <w:bCs w:val="false"/>
          <w:i w:val="false"/>
          <w:iCs w:val="false"/>
          <w:sz w:val="22"/>
          <w:szCs w:val="22"/>
        </w:rPr>
        <w:t xml:space="preserve">Q6. 'What's PIT_Member_Date?'</w:t>
      </w:r>
    </w:p>
    <w:p>
      <w:pPr>
        <w:spacing w:after="100"/>
      </w:pPr>
      <w:r>
        <w:rPr>
          <w:b w:val="false"/>
          <w:bCs w:val="false"/>
          <w:i w:val="false"/>
          <w:iCs w:val="false"/>
          <w:sz w:val="22"/>
          <w:szCs w:val="22"/>
        </w:rPr>
        <w:t xml:space="preserve">"It's a duplicate of ID_DATE — I verified they're identical in 100% of rows. I drop it in my loader." — points back to 3.4. (Short answers are a feature, not a bug. They signal you've actually checked.)</w:t>
      </w:r>
    </w:p>
    <w:p>
      <w:pPr>
        <w:pStyle w:val="Heading3"/>
      </w:pPr>
      <w:r>
        <w:rPr>
          <w:b w:val="false"/>
          <w:bCs w:val="false"/>
          <w:i w:val="false"/>
          <w:iCs w:val="false"/>
          <w:sz w:val="22"/>
          <w:szCs w:val="22"/>
        </w:rPr>
        <w:t xml:space="preserve">Q7. 'How do you join PIT and ETF?'</w:t>
      </w:r>
    </w:p>
    <w:p>
      <w:pPr>
        <w:spacing w:after="100"/>
      </w:pPr>
      <w:r>
        <w:rPr>
          <w:b w:val="false"/>
          <w:bCs w:val="false"/>
          <w:i w:val="false"/>
          <w:iCs w:val="false"/>
          <w:sz w:val="22"/>
          <w:szCs w:val="22"/>
        </w:rPr>
        <w:t xml:space="preserve">"On (DATE, sector_ETF_ticker) after filtering PIT to business days. The sector ETF ticker is derived from GICS_Sector — Information Technology maps to XLK, Financials to XLF, and so on. The XLC mapping starts only after 2018-06-19 (XLC inception), which is something I'd be explicit about for any pre-2018 study." — points back to 5.1 and 2.7.</w:t>
      </w:r>
    </w:p>
    <w:p>
      <w:pPr>
        <w:pStyle w:val="Heading3"/>
      </w:pPr>
      <w:r>
        <w:rPr>
          <w:b w:val="false"/>
          <w:bCs w:val="false"/>
          <w:i w:val="false"/>
          <w:iCs w:val="false"/>
          <w:sz w:val="22"/>
          <w:szCs w:val="22"/>
        </w:rPr>
        <w:t xml:space="preserve">Q8. 'How do you track a name across the three index tiers?'</w:t>
      </w:r>
    </w:p>
    <w:p>
      <w:pPr>
        <w:spacing w:after="100"/>
      </w:pPr>
      <w:r>
        <w:rPr>
          <w:b w:val="false"/>
          <w:bCs w:val="false"/>
          <w:i w:val="false"/>
          <w:iCs w:val="false"/>
          <w:sz w:val="22"/>
          <w:szCs w:val="22"/>
        </w:rPr>
        <w:t xml:space="preserve">"Concatenate the three PIT files and group by ID. The result is the name's full S&amp;P 1500 lifetime, showing which index it was in at each snapshot. About 52 names appear in all three over 2016-2025; 174 are in SP400 and SP500 at different times, 342 in SP400 and SP600, 73 in SP500 and SP600." — points back to 4 and 5.1.</w:t>
      </w:r>
    </w:p>
    <w:p>
      <w:pPr>
        <w:pStyle w:val="Heading3"/>
      </w:pPr>
      <w:r>
        <w:rPr>
          <w:b w:val="false"/>
          <w:bCs w:val="false"/>
          <w:i w:val="false"/>
          <w:iCs w:val="false"/>
          <w:sz w:val="22"/>
          <w:szCs w:val="22"/>
        </w:rPr>
        <w:t xml:space="preserve">Q9. 'What's the cleanest residualization?'</w:t>
      </w:r>
    </w:p>
    <w:p>
      <w:pPr>
        <w:spacing w:after="100"/>
      </w:pPr>
      <w:r>
        <w:rPr>
          <w:b w:val="false"/>
          <w:bCs w:val="false"/>
          <w:i w:val="false"/>
          <w:iCs w:val="false"/>
          <w:sz w:val="22"/>
          <w:szCs w:val="22"/>
        </w:rPr>
        <w:t xml:space="preserve">"For SP500 names, regress on the matching sector SPDR (XLK, XLF, etc.) over a rolling window — typically 126 days. The residual is the idiosyncratic return. For SP400 and SP600 names, the same regression isn't a clean de-beta because the SPDRs hold only SP500 constituents — the residual includes a small/mid-cap component. I'd either (a) accept that, calling the residual 'small-cap idio + sector-size mismatch' and trading it deliberately, or (b) construct a size-adjusted sector basket if I need a cleaner residual. The choice depends on the strategy." — points back to 4.2, 4.3, 5.2.</w:t>
      </w:r>
    </w:p>
    <w:p>
      <w:pPr>
        <w:pStyle w:val="Heading3"/>
      </w:pPr>
      <w:r>
        <w:rPr>
          <w:b w:val="false"/>
          <w:bCs w:val="false"/>
          <w:i w:val="false"/>
          <w:iCs w:val="false"/>
          <w:sz w:val="22"/>
          <w:szCs w:val="22"/>
        </w:rPr>
        <w:t xml:space="preserve">Q10. 'How do you handle delisted names?'</w:t>
      </w:r>
    </w:p>
    <w:p>
      <w:pPr>
        <w:spacing w:after="100"/>
      </w:pPr>
      <w:r>
        <w:rPr>
          <w:b w:val="false"/>
          <w:bCs w:val="false"/>
          <w:i w:val="false"/>
          <w:iCs w:val="false"/>
          <w:sz w:val="22"/>
          <w:szCs w:val="22"/>
        </w:rPr>
        <w:t xml:space="preserve">"The dataset retains them — Bloomberg's D-suffix convention marks them explicitly. For a name that gets delisted mid-month, I keep its return series until the last valid Price observation, then treat the position as closed at that price. I don't impute a post-delisting path. The known residual issue is cash acquisitions: the take-out premium at deal close isn't in the dataset — the price series just ends at the last quoted day. For an acquired name I'd note this in the writeup but I wouldn't attempt to reconstruct the deal terms from this dataset alone." — points back to 3.8 and 5.</w:t>
      </w:r>
    </w:p>
    <w:p>
      <w:pPr>
        <w:pStyle w:val="Heading3"/>
      </w:pPr>
      <w:r>
        <w:rPr>
          <w:b w:val="false"/>
          <w:bCs w:val="false"/>
          <w:i w:val="false"/>
          <w:iCs w:val="false"/>
          <w:sz w:val="22"/>
          <w:szCs w:val="22"/>
        </w:rPr>
        <w:t xml:space="preserve">Q11. 'What about the FSLR and EQT outliers?'</w:t>
      </w:r>
    </w:p>
    <w:p>
      <w:pPr>
        <w:spacing w:after="100"/>
      </w:pPr>
      <w:r>
        <w:rPr>
          <w:b w:val="false"/>
          <w:bCs w:val="false"/>
          <w:i w:val="false"/>
          <w:iCs w:val="false"/>
          <w:sz w:val="22"/>
          <w:szCs w:val="22"/>
        </w:rPr>
        <w:t xml:space="preserve">"From the data audit I ran on this dataset, FSLR shows a 365% return on 2022-12-01 and EQT shows 125% on 2022-10-03. Neither is a real market move. Both look like vendor adjustment artifacts. In my pipeline I winsorize daily returns at ±50% and flag any clipped (ID, DATE) pair to a quarantine log. The two events I named are on the quarantine list pending vendor reconciliation." — points back to the audit doc and 3.7.</w:t>
      </w:r>
    </w:p>
    <w:p>
      <w:pPr>
        <w:pStyle w:val="Heading3"/>
      </w:pPr>
      <w:r>
        <w:rPr>
          <w:b w:val="false"/>
          <w:bCs w:val="false"/>
          <w:i w:val="false"/>
          <w:iCs w:val="false"/>
          <w:sz w:val="22"/>
          <w:szCs w:val="22"/>
        </w:rPr>
        <w:t xml:space="preserve">Q12. 'How would you use this if you had only one column?'</w:t>
      </w:r>
    </w:p>
    <w:p>
      <w:pPr>
        <w:spacing w:after="100"/>
      </w:pPr>
      <w:r>
        <w:rPr>
          <w:b w:val="false"/>
          <w:bCs w:val="false"/>
          <w:i w:val="false"/>
          <w:iCs w:val="false"/>
          <w:sz w:val="22"/>
          <w:szCs w:val="22"/>
        </w:rPr>
        <w:t xml:space="preserve">"Market_Cap. It's the only single column that gives me the universe (every name with a positive value), the size factor, the cross-tier migration trajectory, and a consistent dollar value across the back-adjusted regime. Price would give returns but not size; Volume alone doesn't give direction; GICS alone doesn't give magnitudes. Market_Cap is the closest to a single sufficient statistic." — open-ended question; the answer is yours, but pointing to Market_Cap as invariant under back-adjustment shows you understand 1.3 and 3.5.</w:t>
      </w:r>
    </w:p>
    <w:p>
      <w:pPr>
        <w:spacing w:after="100"/>
      </w:pPr>
      <w:r>
        <w:rPr>
          <w:b w:val="false"/>
          <w:bCs w:val="false"/>
          <w:i w:val="false"/>
          <w:iCs w:val="false"/>
          <w:sz w:val="22"/>
          <w:szCs w:val="22"/>
        </w:rPr>
        <w:t xml:space="preserve"/>
      </w:r>
    </w:p>
    <w:p>
      <w:pPr>
        <w:spacing w:after="100"/>
      </w:pPr>
      <w:r>
        <w:rPr>
          <w:b w:val="false"/>
          <w:bCs w:val="false"/>
          <w:i w:val="false"/>
          <w:iCs w:val="false"/>
          <w:sz w:val="22"/>
          <w:szCs w:val="22"/>
        </w:rPr>
        <w:t xml:space="preserve">These twelve questions cover roughly 80% of what a PM asks during a data-fluency screen. The remaining 20% is firm-specific, and the right approach for those is to listen carefully to what the interviewer actually asks before answering.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sz w:val="18"/>
        <w:szCs w:val="18"/>
      </w:rPr>
      <w:t xml:space="preserve">Page </w:t>
    </w:r>
    <w:r>
      <w:rPr>
        <w:sz w:val="18"/>
        <w:szCs w:val="18"/>
      </w:rPr>
      <w:fldChar w:fldCharType="begin"/>
      <w:instrText xml:space="preserve">PAGE</w:instrText>
      <w:fldChar w:fldCharType="separate"/>
      <w:fldChar w:fldCharType="end"/>
    </w:r>
    <w:r>
      <w:rPr>
        <w:b w:val="false"/>
        <w:bCs w:val="false"/>
        <w:i w:val="false"/>
        <w:iCs w:val="false"/>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iCs/>
        <w:color w:val="1F3A5F"/>
        <w:sz w:val="18"/>
        <w:szCs w:val="18"/>
      </w:rPr>
      <w:t xml:space="preserve">Teaching the Dataset — First-Principles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40"/>
      <w:outlineLvl w:val="2"/>
    </w:pPr>
    <w:rPr>
      <w:rFonts w:ascii="Calibri" w:cs="Calibri" w:eastAsia="Calibri" w:hAnsi="Calibri"/>
      <w:b/>
      <w:bCs/>
      <w:color w:val="B886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2026-06-07T22:27:31.383Z</dcterms:created>
  <dcterms:modified xsi:type="dcterms:W3CDTF">2026-06-07T22:27:31.383Z</dcterms:modified>
</cp:coreProperties>
</file>

<file path=docProps/custom.xml><?xml version="1.0" encoding="utf-8"?>
<Properties xmlns="http://schemas.openxmlformats.org/officeDocument/2006/custom-properties" xmlns:vt="http://schemas.openxmlformats.org/officeDocument/2006/docPropsVTypes"/>
</file>