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i w:val="false"/>
          <w:iCs w:val="false"/>
          <w:color w:val="1F3A5F"/>
          <w:sz w:val="56"/>
          <w:szCs w:val="56"/>
        </w:rPr>
        <w:t xml:space="preserve">Research Hypothesis Catalog</w:t>
      </w:r>
    </w:p>
    <w:p>
      <w:pPr>
        <w:spacing w:after="120"/>
        <w:jc w:val="center"/>
      </w:pPr>
      <w:r>
        <w:rPr>
          <w:b w:val="false"/>
          <w:bCs w:val="false"/>
          <w:i w:val="false"/>
          <w:iCs w:val="false"/>
          <w:color w:val="1F3A5F"/>
          <w:sz w:val="30"/>
          <w:szCs w:val="30"/>
        </w:rPr>
        <w:t xml:space="preserve">US Equity Long-Short — Idea Book v1.0</w:t>
      </w:r>
    </w:p>
    <w:p>
      <w:pPr>
        <w:spacing w:after="800"/>
        <w:jc w:val="center"/>
      </w:pPr>
      <w:r>
        <w:rPr>
          <w:b w:val="false"/>
          <w:bCs w:val="false"/>
          <w:i/>
          <w:iCs/>
          <w:sz w:val="22"/>
          <w:szCs w:val="22"/>
        </w:rPr>
        <w:t xml:space="preserve">25 hypotheses · 10 ranked · 1 fund-first</w:t>
      </w:r>
    </w:p>
    <w:p>
      <w:pPr>
        <w:spacing w:after="60"/>
        <w:jc w:val="center"/>
      </w:pPr>
      <w:r>
        <w:rPr>
          <w:b w:val="false"/>
          <w:bCs w:val="false"/>
          <w:i w:val="false"/>
          <w:iCs w:val="false"/>
          <w:sz w:val="22"/>
          <w:szCs w:val="22"/>
        </w:rPr>
        <w:t xml:space="preserve">Author: Head of Research</w:t>
      </w:r>
    </w:p>
    <w:p>
      <w:pPr>
        <w:spacing w:after="60"/>
        <w:jc w:val="center"/>
      </w:pPr>
      <w:r>
        <w:rPr>
          <w:b w:val="false"/>
          <w:bCs w:val="false"/>
          <w:i w:val="false"/>
          <w:iCs w:val="false"/>
          <w:sz w:val="22"/>
          <w:szCs w:val="22"/>
        </w:rPr>
        <w:t xml:space="preserve">Date: June 8, 2026</w:t>
      </w:r>
    </w:p>
    <w:p>
      <w:r>
        <w:br w:type="page"/>
      </w:r>
    </w:p>
    <w:p>
      <w:pPr>
        <w:pStyle w:val="Heading1"/>
      </w:pPr>
      <w:r>
        <w:rPr>
          <w:b w:val="false"/>
          <w:bCs w:val="false"/>
          <w:i w:val="false"/>
          <w:iCs w:val="false"/>
          <w:sz w:val="20"/>
          <w:szCs w:val="20"/>
        </w:rPr>
        <w:t xml:space="preserve">Scope and ground rules</w:t>
      </w:r>
    </w:p>
    <w:p>
      <w:pPr>
        <w:spacing w:after="80"/>
      </w:pPr>
      <w:r>
        <w:rPr>
          <w:b w:val="false"/>
          <w:bCs w:val="false"/>
          <w:i w:val="false"/>
          <w:iCs w:val="false"/>
          <w:sz w:val="20"/>
          <w:szCs w:val="20"/>
        </w:rPr>
        <w:t xml:space="preserve">Data available: daily Price, Volume, Market Cap, Shares Out, GICS at four levels, PIT membership across S&amp;P 400/500/600, and daily OHLCV for 14 ETFs (3 broad, 11 sector SPDRs). No fundamentals, earnings dates, analyst data, short interest, intraday, or news. Every hypothesis below respects that constraint.</w:t>
      </w:r>
    </w:p>
    <w:p>
      <w:pPr>
        <w:spacing w:after="80"/>
      </w:pPr>
      <w:r>
        <w:rPr>
          <w:b w:val="false"/>
          <w:bCs w:val="false"/>
          <w:i w:val="false"/>
          <w:iCs w:val="false"/>
          <w:sz w:val="20"/>
          <w:szCs w:val="20"/>
        </w:rPr>
        <w:t xml:space="preserve">The brief was to avoid textbook factors. Bare 12-month momentum, raw low-vol, and book-to-price are not in the catalog. Each idea below leans on at least one of the four edges available in this panel: (a) the PIT cross-index structure of the S&amp;P 1500 family, (b) the 163-bucket GICS Sub-Industry granularity, (c) volume behavior beyond simple ADV ranking, or (d) cross-sectional peer relationships within and across industries.</w:t>
      </w:r>
    </w:p>
    <w:p>
      <w:pPr>
        <w:spacing w:after="80"/>
      </w:pPr>
      <w:r>
        <w:rPr>
          <w:b w:val="false"/>
          <w:bCs w:val="false"/>
          <w:i w:val="false"/>
          <w:iCs w:val="false"/>
          <w:sz w:val="20"/>
          <w:szCs w:val="20"/>
        </w:rPr>
        <w:t xml:space="preserve">Scoring conventions: Originality (1=textbook, 10=novel published in last 12 months or unpublished). Robustness (1=fragile to single-event regimes, 10=expected to survive multiple market regimes and parameter perturbations). Turnover quoted as approximate average holding period. Capacity quoted in AUM that the strategy could absorb at &lt; 30 bps of one-day market impact assuming 10% participation.</w:t>
      </w:r>
    </w:p>
    <w:p>
      <w:r>
        <w:br w:type="page"/>
      </w:r>
    </w:p>
    <w:p>
      <w:pPr>
        <w:pStyle w:val="Heading1"/>
      </w:pPr>
      <w:r>
        <w:rPr>
          <w:b w:val="false"/>
          <w:bCs w:val="false"/>
          <w:i w:val="false"/>
          <w:iCs w:val="false"/>
          <w:sz w:val="20"/>
          <w:szCs w:val="20"/>
        </w:rPr>
        <w:t xml:space="preserve">Hypothesis catalog</w:t>
      </w:r>
    </w:p>
    <w:p>
      <w:pPr>
        <w:pStyle w:val="Heading2"/>
      </w:pPr>
      <w:r>
        <w:rPr>
          <w:b w:val="false"/>
          <w:bCs w:val="false"/>
          <w:i w:val="false"/>
          <w:iCs w:val="false"/>
          <w:sz w:val="20"/>
          <w:szCs w:val="20"/>
        </w:rPr>
        <w:t xml:space="preserve">Group A. Index membership dynamics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H1. </w:t>
            </w:r>
            <w:r>
              <w:rPr>
                <w:b/>
                <w:bCs/>
                <w:i w:val="false"/>
                <w:iCs w:val="false"/>
                <w:color w:val="FFFFFF"/>
                <w:sz w:val="22"/>
                <w:szCs w:val="22"/>
              </w:rPr>
              <w:t xml:space="preserve">Migration-imminence: predicting cross-index promotion before it happens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Names migrate SP600 → SP400 → SP500 as market cap grows; ~74 small-cap and ~51 mid-cap names rotate per year. Migrations are mechanical (rules-based on float-adjusted market cap, sector balance, profitability) and partly forecastable from observable cap dynamics.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Passive index funds and indexed mandates must trade the migration on the effective date. A name about to be promoted to SP500 attracts pre-announcement positioning from active managers anticipating ~$5-15B of SP500-tracker AUM forced to buy. The reverse is true for demotions.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Name with market cap &gt; top-15% of its current index for 3+ consecutive monthly snapshots outperforms its current-index peers by 150-300 bps in the 60 days preceding the snapshot in which it actually migrates up.</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Within-index market cap rank, rolling 3-6 month rank trajectory, sub-industry concentration in destination index (sector balance constraint), dollar-volume rank, GICS sector buckets.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Migration timing depends on S&amp;P committee discretion, not just market cap (e.g., REIT and dual-class share rules). False positives where a name lingers above the threshold for years without being promoted. Crowding once the signal is well known.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Low. Holding periods 30-90 days. Annual portfolio turnover 200-400%.</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Medium-high. $300M-$1B sleeve. Constrained by the small number of candidates per year (perhaps 50-100 migration-imminent names at any time).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8 — the pre-announcement migration premium is documented in academic literature for SP500 adds specifically; this dataset uniquely lets us extend it across all three tiers and to migrations in both directions.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7 — works across regimes because the mechanism (forced passive flow) is structural, not cyclical.</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H2. </w:t>
            </w:r>
            <w:r>
              <w:rPr>
                <w:b/>
                <w:bCs/>
                <w:i w:val="false"/>
                <w:iCs w:val="false"/>
                <w:color w:val="FFFFFF"/>
                <w:sz w:val="22"/>
                <w:szCs w:val="22"/>
              </w:rPr>
              <w:t xml:space="preserve">Post-promotion drift</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When a name is promoted SP600 → SP400 or SP400 → SP500, passive index funds rebalance over multiple weeks (most rebalance monthly, some quarterly). The buying does not finish on the effective date.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Continuation flow from late-rebalancing trackers, smart-beta funds keying off the index, and momentum chasers creates predictable drift in the weeks following promotion.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Promoted names outperform index-controlled peers by 80-200 bps in the 20 trading days following the first snapshot in which they appear in the larger index.</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Promotion event date (derivable from first appearance in destination PIT file), peer cohort within same sub-industry and destination index, sector ETF return for control.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Crowding (well-known effect). Effect concentrated in 2-3 days then fades — backtest must avoid look-ahead on the exact day of promotion. Effect may have decayed post-2020 with the rise of efficient index trackers.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High. 20-day average holding period. 1000%+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Low-medium. $100-300M. Limited by the modest number of promotions per year and short signal life.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5 — the SP500 inclusion effect is famously academic, but extension to the SP400/600 tiers in PIT form is less explored.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5 — effect size has been compressing over time as more participants front-run it.</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H3. </w:t>
            </w:r>
            <w:r>
              <w:rPr>
                <w:b/>
                <w:bCs/>
                <w:i w:val="false"/>
                <w:iCs w:val="false"/>
                <w:color w:val="FFFFFF"/>
                <w:sz w:val="22"/>
                <w:szCs w:val="22"/>
              </w:rPr>
              <w:t xml:space="preserve">Demotion overreaction reversal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When a name is demoted SP500 → SP400 or SP400 → SP600, SP500-tracking funds are forced to dump regardless of price. The forced selling overshoots fair value.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Liquidity shock from mechanical sellers creates a near-term dislocation; in the weeks following, the name reverts toward its sub-industry peers as fundamental-driven buyers arrive.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Demoted names outperform their destination-index sub-industry peers by 150-400 bps in days 5 through 40 post-demotion (skip the first 5 days to avoid catching the falling knife).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Demotion event from PIT panel disappearance/appearance, sub-industry peer cohort in destination index, dollar-volume spike around demotion, lagged price level relative to 252d high.</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Many demotions are due to genuine deterioration (small bank failures, biotech terminal value moves) where the demotion is a symptom not the cause. Sample sizes per year are small (~25-30 SP500 demotions).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30-40 day average holding period. ~800%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Low. $50-150M. Constrained by the universe of demotions per year.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7 — overreaction to passive flow shocks is documented but rarely productized in a systematic L/S context across the SP1500 family.</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6 — sensitive to skip-day choice and to bucketing logic for which demotions are 'mechanical' vs 'fundamental'.</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H4. </w:t>
            </w:r>
            <w:r>
              <w:rPr>
                <w:b/>
                <w:bCs/>
                <w:i w:val="false"/>
                <w:iCs w:val="false"/>
                <w:color w:val="FFFFFF"/>
                <w:sz w:val="22"/>
                <w:szCs w:val="22"/>
              </w:rPr>
              <w:t xml:space="preserve">Cliff-edge underperformance: names at the bottom decile of their index</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Stocks in the bottom 10% by market cap within their current index are visible deletion candidates. Market participants price in the deletion probability gradually.</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Anticipatory selling by index-aware active managers and 'cliff-name' avoidance by closet-indexers creates persistent underperformance. The cliff-name shorts trade like a deletion option with theta decay.</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Bottom-decile-by-cap names within each S&amp;P 1500 tier underperform top-decile peers in the same tier and sub-industry by 200-500 bps over the next quarter.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Within-index cap rank refreshed monthly, sub-industry membership, dollar-volume rank, idiosyncratic vol (252d residual std vs sector ETF).</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Bottom-decile names are also high-vol and small — much of the alpha may be absorbed by the size and vol factor exposures. Need careful neutralization. Borrow costs for the smallest SP600 shorts can be punitive.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Low. Monthly rank refresh, 60-90 day average hold. ~400%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Low for the SP600 cliff names ($50-150M); medium for SP400/500 ($200-500M).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8 — explicit cliff-edge framing as a tradable signal is rarely done; usually folded into generic size factor.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6 — depends heavily on whether residual factor exposures are properly stripped.</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H5. </w:t>
            </w:r>
            <w:r>
              <w:rPr>
                <w:b/>
                <w:bCs/>
                <w:i w:val="false"/>
                <w:iCs w:val="false"/>
                <w:color w:val="FFFFFF"/>
                <w:sz w:val="22"/>
                <w:szCs w:val="22"/>
              </w:rPr>
              <w:t xml:space="preserve">Fresh-add fade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Newly added SP500 members enter the index with elevated visibility, sell-side coverage, and passive flow tailwinds — but also stretched valuations. Their first 6-month return is often underwhelming vs incumbent peers.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The promotion event creates a one-time price jump; absent further upside catalysts, the post-add path is mean-reverting. Hype fades and the name competes on its standalone fundamentals against larger, better-followed incumbents.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Names whose first SP500 appearance is within the last 6 months underperform median sub-industry peers (with 5+ years of SP500 membership) by 100-250 bps annualized over the subsequent 6 months.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Tenure-in-current-index (days since first appearance in PIT file), sub-industry peer cohort, market-cap-controlled comparison, 60d return prior to addition.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The opposite of post-promotion drift (H2) — net effect depends on time horizon and which factor dominates. Need careful disentangling.</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Low. 60-120 day holding. ~200%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$200-400M.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6 — post-addition mean reversion is a known follow-up to the SP500 inclusion effect literature.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6 — sample sizes ~25/yr for SP500 adds limit statistical power.</w:t>
            </w:r>
          </w:p>
        </w:tc>
      </w:tr>
    </w:tbl>
    <w:p>
      <w:r>
        <w:br w:type="page"/>
      </w:r>
    </w:p>
    <w:p>
      <w:pPr>
        <w:pStyle w:val="Heading2"/>
      </w:pPr>
      <w:r>
        <w:rPr>
          <w:b w:val="false"/>
          <w:bCs w:val="false"/>
          <w:i w:val="false"/>
          <w:iCs w:val="false"/>
          <w:sz w:val="20"/>
          <w:szCs w:val="20"/>
        </w:rPr>
        <w:t xml:space="preserve">Group B. Industry structure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H6. </w:t>
            </w:r>
            <w:r>
              <w:rPr>
                <w:b/>
                <w:bCs/>
                <w:i w:val="false"/>
                <w:iCs w:val="false"/>
                <w:color w:val="FFFFFF"/>
                <w:sz w:val="22"/>
                <w:szCs w:val="22"/>
              </w:rPr>
              <w:t xml:space="preserve">Sub-industry leader-follower lead-lag</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Each GICS Sub-Industry has a clear cap-weighted leader (often &gt;40% of sub-industry market cap). Information about the sub-industry is discovered first in the leader's price.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Buy-side flow concentrates in the most liquid name; analysts cover the leader first; sector ETF flows hit the leader proportionally more. Smaller siblings adjust with a lag because price discovery in them is bandwidth-limited.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After de-betaing each name against its sector ETF, the leader's idiosyncratic 1-day return predicts the average idiosyncratic 1-5 day return of non-leader sub-industry members with a coefficient of 0.10-0.25.</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Sub-industry membership PIT, cap-weighted leader identification, sector ETF de-beta residuals, dollar-volume control.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When the sub-industry is dominated 80%+ by one name (e.g., Interactive Home Entertainment), there's no peer cross-section to trade. Many sub-industries have only 2-3 SP1500 members.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Very high. 2-5 day holding periods. 3000%+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$300-700M. Constrained by short half-life — can't size aggressively without paying impact.</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7 — lead-lag effects are studied; cleanly executing them at sub-industry-leader granularity across the SP1500 with sector-ETF residuals is uncommon.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8 — economically grounded, persists across regimes, dataset uniquely supports it.</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H7. </w:t>
            </w:r>
            <w:r>
              <w:rPr>
                <w:b/>
                <w:bCs/>
                <w:i w:val="false"/>
                <w:iCs w:val="false"/>
                <w:color w:val="FFFFFF"/>
                <w:sz w:val="22"/>
                <w:szCs w:val="22"/>
              </w:rPr>
              <w:t xml:space="preserve">Sub-industry dispersion mean-reversion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When the cross-sectional standard deviation of returns within a sub-industry spikes above its 252-day distribution (top 5%), the dispersion compresses in subsequent weeks.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Dispersion spikes are typically driven by a single-name idiosyncratic shock that the market over-extrapolates. As information propagates, the cross-section re-tightens.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Sub-industries with realized 21d cross-sectional return dispersion in the top 5% of their 252d distribution show 60-100 bps narrower dispersion (winners lose, losers gain on a peer-relative basis) in the next 21 days.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Daily cross-sectional return std within each sub-industry, peer count (require ≥ 4 members), historical dispersion distribution per sub-industry.</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Sub-industries with chronic concentration risk (e.g., one mega-cap dominating). Real fundamental divergence (one name structurally winning) is mistakenly faded.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Medium-high. 15-25 day average holding. 1500%+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$200-500M.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7 — dispersion as a tradable signal is rarely structured this finely (most papers use sector-level dispersion).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6 — vulnerable to fundamental-divergence regimes (e.g., AI-era semis where divergence is real, not noise).</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H8. </w:t>
            </w:r>
            <w:r>
              <w:rPr>
                <w:b/>
                <w:bCs/>
                <w:i w:val="false"/>
                <w:iCs w:val="false"/>
                <w:color w:val="FFFFFF"/>
                <w:sz w:val="22"/>
                <w:szCs w:val="22"/>
              </w:rPr>
              <w:t xml:space="preserve">Adjacent-industry-group spillover (paired industries)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Certain GICS Industry Groups are economically tethered: Semiconductors and Semiconductor Equipment, Banks and Capital Markets, Pharma and Biotechnology, Software and IT Services. Their relative return spreads should mean-revert.</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Macro and sector flows hit both sides of the pair similarly; idiosyncratic divergences between them are typically noise from differential index composition, not durable fundamental separation.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When the 21-day return spread between two paired industry groups exceeds 2σ of its 5-year distribution, the spread compresses by 50-70% within 30 days.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Industry-group equal-weighted returns, pair definitions (hand-curated, ~10 pairs), rolling 5-year spread distribution.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Structural breaks (Semis vs Semi-Equipment decouple permanently in capex super-cycles; Banks vs Capital Markets decouple during regulatory regime shifts). Pair definitions are subjective.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25-30 day average holding. ~1000%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High. $500M-$1.5B (industry-level trades are deep).</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8 — most pair trading is at single-name level; doing it at hand-curated industry-group level using GICS structure is uncommon in print.</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7 — sound economic mechanism if pair list is curated carefully.</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H9. </w:t>
            </w:r>
            <w:r>
              <w:rPr>
                <w:b/>
                <w:bCs/>
                <w:i w:val="false"/>
                <w:iCs w:val="false"/>
                <w:color w:val="FFFFFF"/>
                <w:sz w:val="22"/>
                <w:szCs w:val="22"/>
              </w:rPr>
              <w:t xml:space="preserve">Cross-tier industry catch-up</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When SP500 names in a given GICS Industry rally idiosyncratically (after de-betaing the sector ETF), the SP400 and SP600 names in the same Industry historically catch up over the following 1-3 weeks.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Sell-side coverage and buy-side analyst attention concentrate on large-cap names. Information flows down-cap with friction. The same fundamental driver (commodity move, regulatory event, end-market shift) hits all tiers but is priced first in the most-covered tier.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After controlling for sector ETF return and size factor, large-cap idiosyncratic Industry returns predict small-/mid-cap peers' returns 1-15 days ahead with a coefficient of 0.15-0.30.</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PIT cross-index Industry membership, sector ETF residuals, dollar-volume control, market-cap weighted vs equal-weighted Industry returns.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Industry-specific divergences (e.g., Regional Banks vs Money-Center Banks in 2023 — small banks had unique deposit-flight risk SP500 banks didn't). Risk of trading on a real fundamental dispersion as if it were a timing lag.</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10-15 day holding. ~1500%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High. $500M-$1.5B. The signal trades across ~70 industries and three size tiers, giving meaningful diversification and capacity in the small/mid layers.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9 — the cross-tier formulation specifically using PIT membership across SP400/500/600 is rare. Most lead-lag work is single-tier.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8 — economic mechanism (information cascade down-cap) is durable and well-grounded.</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H10. </w:t>
            </w:r>
            <w:r>
              <w:rPr>
                <w:b/>
                <w:bCs/>
                <w:i w:val="false"/>
                <w:iCs w:val="false"/>
                <w:color w:val="FFFFFF"/>
                <w:sz w:val="22"/>
                <w:szCs w:val="22"/>
              </w:rPr>
              <w:t xml:space="preserve">Single-name dominance regime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GICS Sub-Industries vary widely in concentration. Some have HHI &gt; 0.5 (one dominant name &gt;70% of sub-industry market cap); others are balanced (HHI &lt; 0.2, top name &lt; 30%). The non-dominant peers in concentrated sub-industries behave differently from peers in balanced sub-industries.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In a dominated sub-industry, the satellite names are perceived as proxies for the dominant name and over-react to the leader's idiosyncratic moves. In a balanced sub-industry, each name has standalone fundamentals and is priced more efficiently.</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Within concentrated sub-industries (top-name share &gt; 50% of sub-industry cap), non-leader returns reverse 50-80 bps in the 5-10 days after the leader's idiosyncratic move dissipates. In balanced sub-industries (top-name share &lt; 30%), there is no such reversal.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Sub-industry HHI computed daily, leader identification, peer residual returns vs leader.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Sub-industry boundaries change rarely but real economic shifts blur them (e.g., NVDA pulled the entire semis sub-industry into a structurally concentrated regime). HHI cutoffs are arbitrary.</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High. 5-10 day half-life. ~2500%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Low. $100-300M. Concentrated sub-industries have few tradable satellites.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9 — explicit HHI conditioning on sub-industry lead-lag is essentially unstudied.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5 — limited universe and parameter-sensitive.</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H11. </w:t>
            </w:r>
            <w:r>
              <w:rPr>
                <w:b/>
                <w:bCs/>
                <w:i w:val="false"/>
                <w:iCs w:val="false"/>
                <w:color w:val="FFFFFF"/>
                <w:sz w:val="22"/>
                <w:szCs w:val="22"/>
              </w:rPr>
              <w:t xml:space="preserve">Beta-stability factor (sector ETF instability premium)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Names whose 252-day beta to their sector ETF has low rolling 63-day standard deviation exhibit a return premium. Beta-stable names are 'clean exposure' — they trade like the sector. Beta-unstable names have idiosyncratic dynamics that introduce noise.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Sector-ETF-buying institutional flows preferentially benefit beta-stable members because they are the cleanest way to express a sector view. Beta-unstable names are 'dirty' and get less of the passive flow.</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Long the bottom quintile of beta-instability (most stable), short the top quintile, neutralized for sector and size, generates 100-200 bps/yr.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Rolling 63-day std of 252-day beta to sector ETF, sector neutralization, size neutralization.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Beta-instability is correlated with size and trading volume; alpha may collapse after careful neutralization. Likely small effect, large noise.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Low. 60-day rebal. ~150%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High. $1B+ (trades the full SP1500, all sectors).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8 — beta-instability as a stand-alone factor is rarely productized; usually rolled into low-vol.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5 — may not survive size/vol neutralization.</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H12. </w:t>
            </w:r>
            <w:r>
              <w:rPr>
                <w:b/>
                <w:bCs/>
                <w:i w:val="false"/>
                <w:iCs w:val="false"/>
                <w:color w:val="FFFFFF"/>
                <w:sz w:val="22"/>
                <w:szCs w:val="22"/>
              </w:rPr>
              <w:t xml:space="preserve">Sector-ETF-residual momentum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Regress each name's daily return on its sector ETF (XLK, XLV, etc.) over a 63-day rolling window. The residual's 6-month momentum (skipping last month) is a cleaner predictor than raw return momentum.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Raw momentum is contaminated by sector cycles — being long winners is partly being long whichever sector is rallying. Residual momentum strips sector and captures genuine stock-specific persistence.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Long top quintile / short bottom quintile residual momentum, neutralized by sub-industry, delivers a Sharpe of 0.7-1.1 vs raw momentum's ~0.4 post-2010.</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Rolling sector-ETF beta, daily residual return, 6-month cumulative residual (skip last month), sub-industry neutralization.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Beta estimation noise. Sector ETFs cover only the 11 GICS sectors at Level 1 — finer sector exposures are not captured. Residual momentum may have decayed (crowded factor).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Low-medium. Monthly rebal. ~300%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Very high. $1-3B.</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6 — residual momentum is published (Blitz, Huij, Martens 2011 and follow-ups). Worth doing for the L/S core but not a unique research bet.</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8 — well-validated across markets and decades.</w:t>
            </w:r>
          </w:p>
        </w:tc>
      </w:tr>
    </w:tbl>
    <w:p>
      <w:r>
        <w:br w:type="page"/>
      </w:r>
    </w:p>
    <w:p>
      <w:pPr>
        <w:pStyle w:val="Heading2"/>
      </w:pPr>
      <w:r>
        <w:rPr>
          <w:b w:val="false"/>
          <w:bCs w:val="false"/>
          <w:i w:val="false"/>
          <w:iCs w:val="false"/>
          <w:sz w:val="20"/>
          <w:szCs w:val="20"/>
        </w:rPr>
        <w:t xml:space="preserve">Group C. Volume behavior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H13. </w:t>
            </w:r>
            <w:r>
              <w:rPr>
                <w:b/>
                <w:bCs/>
                <w:i w:val="false"/>
                <w:iCs w:val="false"/>
                <w:color w:val="FFFFFF"/>
                <w:sz w:val="22"/>
                <w:szCs w:val="22"/>
              </w:rPr>
              <w:t xml:space="preserve">Volume-skew direction signal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The 21-day distribution of a stock's log-volume has time-varying skew. Positive skew (a few outlier high-volume days dominating the distribution) tends to precede directional moves; negative skew (volume capped on the upside, smooth daily volume) precedes consolidation.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Outlier-volume days are institutional accumulation/distribution events. Their direction (was the close above or below the prior close?) reveals the accumulator's side. Positive skew with up-day clustering signals stealth buying.</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Stocks with 21d log-volume skew &gt; 1.0 AND a higher share of high-volume days closing above prior close outperform their sub-industry peers by 50-100 bps over the next 21 days.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Rolling 21d log-volume distribution per name, sign-conditional volume share (up-day vs down-day weighted), sub-industry neutralization.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Skew is noisy with only 21 observations. Sub-industry peer counts may be too small for clean neutralization. Effect may not survive transaction costs.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Medium-high. 10-15 day signal life. ~1500%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$200-400M.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8 — volume distribution shape (not just level) is rarely used as a directional signal.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5 — small statistical edge in noisy data; needs careful significance testing.</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H14. </w:t>
            </w:r>
            <w:r>
              <w:rPr>
                <w:b/>
                <w:bCs/>
                <w:i w:val="false"/>
                <w:iCs w:val="false"/>
                <w:color w:val="FFFFFF"/>
                <w:sz w:val="22"/>
                <w:szCs w:val="22"/>
              </w:rPr>
              <w:t xml:space="preserve">Crowdedness reversal: dollar-volume top 5%</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Stocks whose 5-day dollar volume is in the top 5% of their own 252d distribution AND the top decile of their sub-industry are attention magnets. The attention is usually trailing-return-driven and predicts mean reversion.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Crowding by retail/momentum flow tends to push prices past fundamentals. Once flow exhausts, mean reversion is mechanical.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Names meeting both top-5% own-history and top-decile-of-peers dollar-volume criteria underperform sub-industry peers by 100-200 bps over the next 30 days.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Own 252d dollar-volume distribution per name, sub-industry dollar-volume cross-section, trailing 1-month return as conditioning variable.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Attention can persist into genuine multi-month uptrends (the very names that show this signal are often the year's biggest winners). Need to condition on regime or pre-existing momentum.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30-day signal. ~600%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$200-500M.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7 — dual-conditioning on own-history and peer-relative crowding is uncommon; most crowdedness work uses absolute dollar volume.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5 — vulnerable to momentum-dominant regimes.</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H15. </w:t>
            </w:r>
            <w:r>
              <w:rPr>
                <w:b/>
                <w:bCs/>
                <w:i w:val="false"/>
                <w:iCs w:val="false"/>
                <w:color w:val="FFFFFF"/>
                <w:sz w:val="22"/>
                <w:szCs w:val="22"/>
              </w:rPr>
              <w:t xml:space="preserve">Volume-volatility decoupling regime indicator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Realized volatility and volume normally co-move (correlation ~0.4-0.6 over 252d). When the rolling 21d correlation drops below 0.1, the stock is moving on thin volume — pure flow/noise, not information.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Information-driven moves attract volume. Flow-driven or thin-tape moves don't. Decoupled regimes are noise; recoupled regimes are signal.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Names in a 21d return-volume correlation &lt; 0.1 regime exhibit 60-100 bps mean reversion over the next 21 days (signal: revert the recent move). Names in a &gt; 0.5 regime exhibit 40-80 bps continuation.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21d rolling correlation of |return| with log-volume per name, conditioning on the sign of the recent return.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Correlation estimates with 21 obs are noisy. Effect may be subsumed by simpler volume z-score signals.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Medium-high. 10-20 day signal. ~1200%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$200-500M.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8 — regime-switching on the return-volume correlation as a signal is rarely used.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6 — solid economic intuition, but correlation-of-correlation signals are statistically demanding.</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H16. </w:t>
            </w:r>
            <w:r>
              <w:rPr>
                <w:b/>
                <w:bCs/>
                <w:i w:val="false"/>
                <w:iCs w:val="false"/>
                <w:color w:val="FFFFFF"/>
                <w:sz w:val="22"/>
                <w:szCs w:val="22"/>
              </w:rPr>
              <w:t xml:space="preserve">Within-sub-industry dollar-volume rank jumps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Within each sub-industry, rank members by 21d dollar volume each day. When a name's rank jumps 30+ percentile points over 5 days without a comparable rank jump in price, it indicates accumulation.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Liquidity-seeking flow finds names quietly. A relative-volume burst without a relative-price burst is the classic Wyckoff accumulation signature, scaled to sub-industry granularity.</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Names with a 30+ percentile dollar-volume rank jump and ≤ 10 percentile price-rank jump (both vs sub-industry, 5d window) outperform peers by 80-150 bps over the next 21 days.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Daily within-sub-industry rank of 21d dollar volume, daily within-sub-industry rank of 5d cumulative return, rank-jump computation.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Sub-industries with few members (&lt; 5) generate unstable ranks. Hard to distinguish from genuine pre-news leakage (which is illegal to trade on knowingly but legal to ride statistically).</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20-30 day holding. ~700%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Low-medium. $150-300M. Effect is sharper in small/mid where the sub-industry cohort is smaller.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9 — the dual-rank-divergence formulation within GICS sub-industries is essentially novel.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7 — strong intuition; depends on sub-industry cohort size.</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H17. </w:t>
            </w:r>
            <w:r>
              <w:rPr>
                <w:b/>
                <w:bCs/>
                <w:i w:val="false"/>
                <w:iCs w:val="false"/>
                <w:color w:val="FFFFFF"/>
                <w:sz w:val="22"/>
                <w:szCs w:val="22"/>
              </w:rPr>
              <w:t xml:space="preserve">Cross-tier volume-profile upgrade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An SP600 name whose dollar volume migrates into the range typical of SP400 names (over 60+ trading days) is being institutionally adopted. This precedes formal index promotion by 6-18 months.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Institutional ownership grows before index inclusion forces it. The dollar-volume profile is an early visible indicator of that growth.</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SP600 names whose 60d median dollar volume crosses into the bottom quartile of SP400's dollar-volume distribution outperform SP600 peers by 200-400 bps over the next 6 months.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Daily dollar volume per name, cross-index dollar-volume percentile distributions, sub-industry control.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Survivorship — the dataset shows survivors. Names that show this signal but never promoted (failed upgrades) need careful inclusion. Sample size for the long history is modest.</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Very low. 90-180 day holding. ~150%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$250-600M. Strategy holds positions long enough to absorb size.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9 — explicit cross-tier volume profiling as a promotion indicator is uncommon and uniquely supported by this dataset's PIT three-tier structure.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7 — sound mechanism (volume tracks institutional ownership); the binary 'promoted vs not' outcome is noisy.</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H18. </w:t>
            </w:r>
            <w:r>
              <w:rPr>
                <w:b/>
                <w:bCs/>
                <w:i w:val="false"/>
                <w:iCs w:val="false"/>
                <w:color w:val="FFFFFF"/>
                <w:sz w:val="22"/>
                <w:szCs w:val="22"/>
              </w:rPr>
              <w:t xml:space="preserve">Liquidity beta to sector ETF</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Some names' dollar volume tracks the sector ETF's dollar volume tightly (high liquidity beta); others' don't. High liquidity beta = passive vehicle. Low liquidity beta = active stock-picker target.</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Passive flow into a sector ETF mechanically lifts the volume of every constituent in proportion to weight. Names whose volume moves more with the ETF are passively dominated; names whose volume is independent attract active flow.</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Within each sector, low-liquidity-beta names (idiosyncratic volume regime) outperform high-liquidity-beta names by 50-120 bps annualized after sector and size neutralization.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Daily dollar volume per name, daily sector ETF dollar volume, rolling 126d regression beta, sector and size neutralization.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Liquidity beta is highly correlated with size — small names have low liquidity beta mechanically. May reduce to a size factor in disguise.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Low. 60-90 day signal. ~250%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High. $700M-$2B.</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8 — liquidity beta to sector ETF as a cross-sectional factor is rarely productized.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5 — likely collapses after size neutralization; needs careful diagnostics.</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H19. </w:t>
            </w:r>
            <w:r>
              <w:rPr>
                <w:b/>
                <w:bCs/>
                <w:i w:val="false"/>
                <w:iCs w:val="false"/>
                <w:color w:val="FFFFFF"/>
                <w:sz w:val="22"/>
                <w:szCs w:val="22"/>
              </w:rPr>
              <w:t xml:space="preserve">Off-rebal-window volume bursts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Index rebalance windows (4 days surrounding quarter-end snapshots) generate predictable volume spikes that are mostly mechanical. Volume bursts OUTSIDE those windows are more likely to reflect genuine information.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Filter out the easy-to-attribute mechanical flow to isolate the signal-bearing volume events. A 3σ volume day in late August is much more informative than a 3σ volume day on quarterly rebalance Friday.</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Off-window 3σ volume days predict 50-100 bps continuation over 5 days if accompanied by an up-move, and 60-120 bps reversal over 10 days if accompanied by a down-move. On-window 3σ volume days predict ~0.</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Daily 252d volume z-score per name, rebal-window calendar (quarter-end ± 4 days), return sign conditioning.</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The rebal-window definition is fuzzy (S&amp;P uses pre-announcement and effective dates). Some genuine information events coincidentally happen on rebal days.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High. 5-10 day signal. ~2000%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$200-400M.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9 — explicit windowing of volume signals around index events is essentially novel.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7 — clean intuition, achievable with this dataset.</w:t>
            </w:r>
          </w:p>
        </w:tc>
      </w:tr>
    </w:tbl>
    <w:p>
      <w:r>
        <w:br w:type="page"/>
      </w:r>
    </w:p>
    <w:p>
      <w:pPr>
        <w:pStyle w:val="Heading2"/>
      </w:pPr>
      <w:r>
        <w:rPr>
          <w:b w:val="false"/>
          <w:bCs w:val="false"/>
          <w:i w:val="false"/>
          <w:iCs w:val="false"/>
          <w:sz w:val="20"/>
          <w:szCs w:val="20"/>
        </w:rPr>
        <w:t xml:space="preserve">Group D. Cross-sectional relationships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H20. </w:t>
            </w:r>
            <w:r>
              <w:rPr>
                <w:b/>
                <w:bCs/>
                <w:i w:val="false"/>
                <w:iCs w:val="false"/>
                <w:color w:val="FFFFFF"/>
                <w:sz w:val="22"/>
                <w:szCs w:val="22"/>
              </w:rPr>
              <w:t xml:space="preserve">Peer-correlation breaks as pair signals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Pairs of names within the same sub-industry that historically correlate &gt; 0.7 (252d) sometimes see their 21d rolling correlation drop below 0.3. The break is short-lived.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Sub-industry peers share common fundamentals (commodity exposures, regulatory regime, end-markets). Persistent decorrelation usually reflects a temporary idiosyncratic event in one of the two, not a durable divergence.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When 252d correlation &gt; 0.7 and 21d correlation drops &lt; 0.3, going long-short the relative-loser vs relative-winner of the pair returns 80-150 bps over the subsequent 30 days as correlation re-couples.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Rolling 252d and 21d pairwise correlations within sub-industry, relative-return spread, pair-construction (cap-matched preferred).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Some decorrelations are permanent (one peer was acquired, restructured, or had a structural shift). False signals from low-liquidity pairs.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25-day average holding. ~1000%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$300-600M. Pair construction multiplies signal count.</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8 — correlation-break signals at sub-industry granularity using GICS classifications are uncommon in print.</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7 — pairs work well historically; selection of stable pairs is the key risk.</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H21. </w:t>
            </w:r>
            <w:r>
              <w:rPr>
                <w:b/>
                <w:bCs/>
                <w:i w:val="false"/>
                <w:iCs w:val="false"/>
                <w:color w:val="FFFFFF"/>
                <w:sz w:val="22"/>
                <w:szCs w:val="22"/>
              </w:rPr>
              <w:t xml:space="preserve">Idio-momentum within sub-industry</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De-beta each name vs its sector ETF, then rank within sub-industry by 6-month residual return (skipping last month). The within-sub-industry residual momentum spread is wider than the across-market spread and persists longer.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Within tight peer groups, residual momentum captures truly idiosyncratic out- and under-performance. Reduces sector cycles and absorbs less of the standard momentum-crash risk.</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Long top quintile, short bottom quintile of within-sub-industry residual momentum, equal-weighted across sub-industries, generates Sharpe 0.8-1.3 with materially lower drawdowns than pooled residual momentum.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Sector ETF residual returns, within-sub-industry ranking, sub-industry equal-weighting.</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Sub-industries with only 2-3 names cannot generate a quintile rank — need a minimum peer count filter. Strategy may have low capacity if forced to many thin sub-industries.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Low-medium. Monthly rebal. ~250%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High. $700M-$1.5B.</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7 — within-industry momentum is published (Asness et al, Moskowitz), but the within-SUB-industry, sector-ETF-residual formulation is meaningfully sharper.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8 — solid factor with strong economic basis.</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H22. </w:t>
            </w:r>
            <w:r>
              <w:rPr>
                <w:b/>
                <w:bCs/>
                <w:i w:val="false"/>
                <w:iCs w:val="false"/>
                <w:color w:val="FFFFFF"/>
                <w:sz w:val="22"/>
                <w:szCs w:val="22"/>
              </w:rPr>
              <w:t xml:space="preserve">Sub-industry density premium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Sub-industries with many members (10+) trade more efficiently than thin ones (2-4 members). Names in thin sub-industries earn a small premium for the bandwidth-cost on price discovery.</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Coverage bandwidth, analyst attention, and arbitrage capital are limited. Thin sub-industries don't justify dedicated specialist coverage, leaving mispricings unaddressed for longer.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Cross-sectionally, names in sub-industries with &lt; 5 SP1500 members carry a 50-120 bps/yr return premium over names in sub-industries with &gt; 10 members, controlling for size and sector.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Sub-industry member count from PIT, size and sector neutralization, idiosyncratic vol control.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Thin sub-industries are also more volatile and liquidity-constrained. The premium may be illiquidity premium in disguise.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Very low. Quarterly rebal. ~100%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 $300-500M. Position sizes constrained by thin sub-industry liquidity.</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9 — sub-industry density as a tradable cross-sectional feature is essentially unstudied.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5 — likely overlaps with illiquidity premium; needs careful neutralization.</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H23. </w:t>
            </w:r>
            <w:r>
              <w:rPr>
                <w:b/>
                <w:bCs/>
                <w:i w:val="false"/>
                <w:iCs w:val="false"/>
                <w:color w:val="FFFFFF"/>
                <w:sz w:val="22"/>
                <w:szCs w:val="22"/>
              </w:rPr>
              <w:t xml:space="preserve">Lead-stock cross-sector spillover</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When the three largest SP500 names in a sector move &gt; 2σ idiosyncratically against the sector ETF on the same day, neighboring sectors (defined by economic linkage, e.g., Tech → Comm Services, Energy → Materials) react with a 2-4 day lag.</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Mega-cap idiosyncratic moves often reflect industry-wide news (AI capex, regulation) that has spillover implications for related sectors. The sell-side cascade takes a few days.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Idiosyncratic moves of top-3 cap-weighted names in a sector predict neighboring-sector ETF returns 2-4 days ahead with regression coefficient 0.10-0.20.</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Idiosyncratic returns of top-3 SP500 names per sector, sector ETF returns, hand-curated sector-neighbor map.</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Effect is highly dependent on whether the mega-cap move was idiosyncratic vs sector-wide. Sample of useful events per year is small.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Very high. 2-4 day signal. ~3000%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Medium-high (the trade vehicle is sector ETFs, which are liquid). $500M-$1B.</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8 — mega-cap-to-neighbor-sector spillover formulated this way is uncommon.</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6 — small event count; needs aggressive event-pooling.</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H24. </w:t>
            </w:r>
            <w:r>
              <w:rPr>
                <w:b/>
                <w:bCs/>
                <w:i w:val="false"/>
                <w:iCs w:val="false"/>
                <w:color w:val="FFFFFF"/>
                <w:sz w:val="22"/>
                <w:szCs w:val="22"/>
              </w:rPr>
              <w:t xml:space="preserve">Pre-snapshot abnormal-volume detection of imminent index changes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In the 5-15 days before the monthly snapshot date that an index change is officially reflected, names that will be added or dropped often show abnormal volume patterns relative to peers.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Information about reconstitution committee decisions leaks via the underwriting and committee membership networks, gradually pricing the change. Volume spikes on otherwise quiet stocks in the days approaching the snapshot are a tell.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Names with abnormal volume (top 5% sub-industry rank) in the 5-15 day pre-snapshot window have a 15-25% probability of being added/dropped at the next snapshot, vs a ~5% base rate. Trading against the expected flow yields 200-400 bps.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Pre-snapshot 5-15d abnormal-volume window, sub-industry peer ranking, cross-index migration outcome (observable in subsequent snapshot).</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Tiny universe of true positive events per snapshot. False-positive rate dominates if naive. Effect may have eroded since S&amp;P moved to less predictable rebal schedules.</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Very high. 5-15 day holding. ~2500%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Low. $50-150M.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10 — direct exploitation of the pre-announcement volume tell using PIT data is almost unstudied.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5 — small sample, high false-positive rate.</w:t>
            </w:r>
          </w:p>
        </w:tc>
      </w:tr>
    </w:tbl>
    <w:p>
      <w:pPr>
        <w:spacing w:after="80"/>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spacing w:after="0"/>
            </w:pPr>
            <w:r>
              <w:rPr>
                <w:b/>
                <w:bCs/>
                <w:i w:val="false"/>
                <w:iCs w:val="false"/>
                <w:color w:val="FFFFFF"/>
                <w:sz w:val="22"/>
                <w:szCs w:val="22"/>
              </w:rPr>
              <w:t xml:space="preserve">H25. </w:t>
            </w:r>
            <w:r>
              <w:rPr>
                <w:b/>
                <w:bCs/>
                <w:i w:val="false"/>
                <w:iCs w:val="false"/>
                <w:color w:val="FFFFFF"/>
                <w:sz w:val="22"/>
                <w:szCs w:val="22"/>
              </w:rPr>
              <w:t xml:space="preserve">Tenure-in-index stability premium</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Observation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Names that have been continuous SP500 members for 10+ years exhibit lower idiosyncratic volatility and tighter sector-ETF betas than names with &lt; 3 years of tenure, controlling for size.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Economic intuition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Long-tenured members have stable institutional ownership bases (large pension/index/insurance holders), predictable corporate behavior, and absorbed all the post-add hype cycles. They behave like sector vehicles. Recent additions are more idiosyncratic.</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Testable prediction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Long the top tertile of tenure, short the bottom tertile, sector- and size-neutralized, generates 80-150 bps/yr with materially lower vol than the index. Best framed as a low-vol enhancement.</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Required features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Days of continuous membership in current index from PIT, size and sector neutralization, 252d idio vol.</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Failure modes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Highly correlated with size and low-vol factor. Likely subsumed by standard low-vol after careful neutralization. Sample diluted by sample-start truncation (pre-2016 tenure not observable).</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Turnover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Very low. Annual rebal. ~50% annualized.</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Capacity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Very high. $1-3B+.</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Originality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6 — tenure-based premium is folded into low-vol literature; this dataset lets you test it precisely.</w:t>
            </w:r>
          </w:p>
        </w:tc>
      </w:tr>
      <w:tr>
        <w:tc>
          <w:tcPr>
            <w:tcW w:type="dxa" w:w="2200"/>
            <w:tcBorders>
              <w:top w:val="single" w:color="CCCCCC" w:sz="4"/>
              <w:left w:val="single" w:color="CCCCCC" w:sz="4"/>
              <w:bottom w:val="single" w:color="CCCCCC" w:sz="4"/>
              <w:right w:val="single" w:color="CCCCCC" w:sz="4"/>
            </w:tcBorders>
            <w:shd w:fill="E8EEF5" w:val="clear"/>
            <w:tcMar>
              <w:top w:type="dxa" w:w="70"/>
              <w:left w:type="dxa" w:w="110"/>
              <w:bottom w:type="dxa" w:w="70"/>
              <w:right w:type="dxa" w:w="110"/>
            </w:tcMar>
            <w:vAlign w:val="top"/>
          </w:tcPr>
          <w:p>
            <w:pPr>
              <w:spacing w:after="30"/>
            </w:pPr>
            <w:r>
              <w:rPr>
                <w:b/>
                <w:bCs/>
                <w:i w:val="false"/>
                <w:iCs w:val="false"/>
                <w:sz w:val="18"/>
                <w:szCs w:val="18"/>
              </w:rPr>
              <w:t xml:space="preserve">Robustness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6 — likely overlaps heavily with low-vol; clean alpha after neutralization uncertain.</w:t>
            </w:r>
          </w:p>
        </w:tc>
      </w:tr>
    </w:tbl>
    <w:p>
      <w:r>
        <w:br w:type="page"/>
      </w:r>
    </w:p>
    <w:p>
      <w:pPr>
        <w:pStyle w:val="Heading1"/>
      </w:pPr>
      <w:r>
        <w:rPr>
          <w:b w:val="false"/>
          <w:bCs w:val="false"/>
          <w:i w:val="false"/>
          <w:iCs w:val="false"/>
          <w:sz w:val="20"/>
          <w:szCs w:val="20"/>
        </w:rPr>
        <w:t xml:space="preserve">Top 10 ranked</w:t>
      </w:r>
    </w:p>
    <w:p>
      <w:pPr>
        <w:spacing w:after="80"/>
      </w:pPr>
      <w:r>
        <w:rPr>
          <w:b w:val="false"/>
          <w:bCs w:val="false"/>
          <w:i w:val="false"/>
          <w:iCs w:val="false"/>
          <w:sz w:val="20"/>
          <w:szCs w:val="20"/>
        </w:rPr>
        <w:t xml:space="preserve">Ranking weights: 40% expected risk-adjusted return potential, 25% originality (research moat — am I the only one with this dataset doing this?), 20% capacity, 15% robustness. Capacity matters because allocation decisions must fund strategies that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4600"/>
        <w:gridCol w:w="700"/>
        <w:gridCol w:w="700"/>
        <w:gridCol w:w="700"/>
        <w:gridCol w:w="1360"/>
      </w:tblGrid>
      <w:tr>
        <w:trPr>
          <w:tblHeader/>
        </w:trPr>
        <w:tc>
          <w:tcPr>
            <w:tcW w:type="dxa" w:w="600"/>
            <w:tcBorders>
              <w:top w:val="single" w:color="CCCCCC" w:sz="4"/>
              <w:left w:val="single" w:color="CCCCCC" w:sz="4"/>
              <w:bottom w:val="single" w:color="CCCCCC" w:sz="4"/>
              <w:right w:val="single" w:color="CCCCCC" w:sz="4"/>
            </w:tcBorders>
            <w:shd w:fill="1F3A5F" w:val="clear"/>
            <w:tcMar>
              <w:top w:type="dxa" w:w="70"/>
              <w:left w:type="dxa" w:w="110"/>
              <w:bottom w:type="dxa" w:w="70"/>
              <w:right w:type="dxa" w:w="110"/>
            </w:tcMar>
            <w:vAlign w:val="top"/>
          </w:tcPr>
          <w:p>
            <w:pPr>
              <w:spacing w:after="30"/>
              <w:jc w:val="center"/>
            </w:pPr>
            <w:r>
              <w:rPr>
                <w:b/>
                <w:bCs/>
                <w:i w:val="false"/>
                <w:iCs w:val="false"/>
                <w:color w:val="FFFFFF"/>
                <w:sz w:val="18"/>
                <w:szCs w:val="18"/>
              </w:rPr>
              <w:t xml:space="preserve">Rank</w:t>
            </w:r>
          </w:p>
        </w:tc>
        <w:tc>
          <w:tcPr>
            <w:tcW w:type="dxa" w:w="700"/>
            <w:tcBorders>
              <w:top w:val="single" w:color="CCCCCC" w:sz="4"/>
              <w:left w:val="single" w:color="CCCCCC" w:sz="4"/>
              <w:bottom w:val="single" w:color="CCCCCC" w:sz="4"/>
              <w:right w:val="single" w:color="CCCCCC" w:sz="4"/>
            </w:tcBorders>
            <w:shd w:fill="1F3A5F" w:val="clear"/>
            <w:tcMar>
              <w:top w:type="dxa" w:w="70"/>
              <w:left w:type="dxa" w:w="110"/>
              <w:bottom w:type="dxa" w:w="70"/>
              <w:right w:type="dxa" w:w="110"/>
            </w:tcMar>
            <w:vAlign w:val="top"/>
          </w:tcPr>
          <w:p>
            <w:pPr>
              <w:spacing w:after="30"/>
              <w:jc w:val="center"/>
            </w:pPr>
            <w:r>
              <w:rPr>
                <w:b/>
                <w:bCs/>
                <w:i w:val="false"/>
                <w:iCs w:val="false"/>
                <w:color w:val="FFFFFF"/>
                <w:sz w:val="18"/>
                <w:szCs w:val="18"/>
              </w:rPr>
              <w:t xml:space="preserve">ID</w:t>
            </w:r>
          </w:p>
        </w:tc>
        <w:tc>
          <w:tcPr>
            <w:tcW w:type="dxa" w:w="4600"/>
            <w:tcBorders>
              <w:top w:val="single" w:color="CCCCCC" w:sz="4"/>
              <w:left w:val="single" w:color="CCCCCC" w:sz="4"/>
              <w:bottom w:val="single" w:color="CCCCCC" w:sz="4"/>
              <w:right w:val="single" w:color="CCCCCC" w:sz="4"/>
            </w:tcBorders>
            <w:shd w:fill="1F3A5F" w:val="clear"/>
            <w:tcMar>
              <w:top w:type="dxa" w:w="70"/>
              <w:left w:type="dxa" w:w="110"/>
              <w:bottom w:type="dxa" w:w="70"/>
              <w:right w:type="dxa" w:w="110"/>
            </w:tcMar>
            <w:vAlign w:val="top"/>
          </w:tcPr>
          <w:p>
            <w:pPr>
              <w:spacing w:after="30"/>
            </w:pPr>
            <w:r>
              <w:rPr>
                <w:b/>
                <w:bCs/>
                <w:i w:val="false"/>
                <w:iCs w:val="false"/>
                <w:color w:val="FFFFFF"/>
                <w:sz w:val="18"/>
                <w:szCs w:val="18"/>
              </w:rPr>
              <w:t xml:space="preserve">Hypothesis</w:t>
            </w:r>
          </w:p>
        </w:tc>
        <w:tc>
          <w:tcPr>
            <w:tcW w:type="dxa" w:w="700"/>
            <w:tcBorders>
              <w:top w:val="single" w:color="CCCCCC" w:sz="4"/>
              <w:left w:val="single" w:color="CCCCCC" w:sz="4"/>
              <w:bottom w:val="single" w:color="CCCCCC" w:sz="4"/>
              <w:right w:val="single" w:color="CCCCCC" w:sz="4"/>
            </w:tcBorders>
            <w:shd w:fill="1F3A5F" w:val="clear"/>
            <w:tcMar>
              <w:top w:type="dxa" w:w="70"/>
              <w:left w:type="dxa" w:w="110"/>
              <w:bottom w:type="dxa" w:w="70"/>
              <w:right w:type="dxa" w:w="110"/>
            </w:tcMar>
            <w:vAlign w:val="top"/>
          </w:tcPr>
          <w:p>
            <w:pPr>
              <w:spacing w:after="30"/>
              <w:jc w:val="center"/>
            </w:pPr>
            <w:r>
              <w:rPr>
                <w:b/>
                <w:bCs/>
                <w:i w:val="false"/>
                <w:iCs w:val="false"/>
                <w:color w:val="FFFFFF"/>
                <w:sz w:val="18"/>
                <w:szCs w:val="18"/>
              </w:rPr>
              <w:t xml:space="preserve">Orig</w:t>
            </w:r>
          </w:p>
        </w:tc>
        <w:tc>
          <w:tcPr>
            <w:tcW w:type="dxa" w:w="700"/>
            <w:tcBorders>
              <w:top w:val="single" w:color="CCCCCC" w:sz="4"/>
              <w:left w:val="single" w:color="CCCCCC" w:sz="4"/>
              <w:bottom w:val="single" w:color="CCCCCC" w:sz="4"/>
              <w:right w:val="single" w:color="CCCCCC" w:sz="4"/>
            </w:tcBorders>
            <w:shd w:fill="1F3A5F" w:val="clear"/>
            <w:tcMar>
              <w:top w:type="dxa" w:w="70"/>
              <w:left w:type="dxa" w:w="110"/>
              <w:bottom w:type="dxa" w:w="70"/>
              <w:right w:type="dxa" w:w="110"/>
            </w:tcMar>
            <w:vAlign w:val="top"/>
          </w:tcPr>
          <w:p>
            <w:pPr>
              <w:spacing w:after="30"/>
              <w:jc w:val="center"/>
            </w:pPr>
            <w:r>
              <w:rPr>
                <w:b/>
                <w:bCs/>
                <w:i w:val="false"/>
                <w:iCs w:val="false"/>
                <w:color w:val="FFFFFF"/>
                <w:sz w:val="18"/>
                <w:szCs w:val="18"/>
              </w:rPr>
              <w:t xml:space="preserve">Robust</w:t>
            </w:r>
          </w:p>
        </w:tc>
        <w:tc>
          <w:tcPr>
            <w:tcW w:type="dxa" w:w="700"/>
            <w:tcBorders>
              <w:top w:val="single" w:color="CCCCCC" w:sz="4"/>
              <w:left w:val="single" w:color="CCCCCC" w:sz="4"/>
              <w:bottom w:val="single" w:color="CCCCCC" w:sz="4"/>
              <w:right w:val="single" w:color="CCCCCC" w:sz="4"/>
            </w:tcBorders>
            <w:shd w:fill="1F3A5F" w:val="clear"/>
            <w:tcMar>
              <w:top w:type="dxa" w:w="70"/>
              <w:left w:type="dxa" w:w="110"/>
              <w:bottom w:type="dxa" w:w="70"/>
              <w:right w:type="dxa" w:w="110"/>
            </w:tcMar>
            <w:vAlign w:val="top"/>
          </w:tcPr>
          <w:p>
            <w:pPr>
              <w:spacing w:after="30"/>
              <w:jc w:val="center"/>
            </w:pPr>
            <w:r>
              <w:rPr>
                <w:b/>
                <w:bCs/>
                <w:i w:val="false"/>
                <w:iCs w:val="false"/>
                <w:color w:val="FFFFFF"/>
                <w:sz w:val="18"/>
                <w:szCs w:val="18"/>
              </w:rPr>
              <w:t xml:space="preserve">Capacity</w:t>
            </w:r>
          </w:p>
        </w:tc>
        <w:tc>
          <w:tcPr>
            <w:tcW w:type="dxa" w:w="1360"/>
            <w:tcBorders>
              <w:top w:val="single" w:color="CCCCCC" w:sz="4"/>
              <w:left w:val="single" w:color="CCCCCC" w:sz="4"/>
              <w:bottom w:val="single" w:color="CCCCCC" w:sz="4"/>
              <w:right w:val="single" w:color="CCCCCC" w:sz="4"/>
            </w:tcBorders>
            <w:shd w:fill="1F3A5F" w:val="clear"/>
            <w:tcMar>
              <w:top w:type="dxa" w:w="70"/>
              <w:left w:type="dxa" w:w="110"/>
              <w:bottom w:type="dxa" w:w="70"/>
              <w:right w:type="dxa" w:w="110"/>
            </w:tcMar>
            <w:vAlign w:val="top"/>
          </w:tcPr>
          <w:p>
            <w:pPr>
              <w:spacing w:after="30"/>
            </w:pPr>
            <w:r>
              <w:rPr>
                <w:b/>
                <w:bCs/>
                <w:i w:val="false"/>
                <w:iCs w:val="false"/>
                <w:color w:val="FFFFFF"/>
                <w:sz w:val="18"/>
                <w:szCs w:val="18"/>
              </w:rPr>
              <w:t xml:space="preserve">Verdict</w:t>
            </w:r>
          </w:p>
        </w:tc>
      </w:tr>
      <w:tr>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bCs/>
                <w:i w:val="false"/>
                <w:iCs w:val="false"/>
                <w:sz w:val="18"/>
                <w:szCs w:val="18"/>
              </w:rPr>
              <w:t xml:space="preserve">1</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bCs/>
                <w:i w:val="false"/>
                <w:iCs w:val="false"/>
                <w:sz w:val="18"/>
                <w:szCs w:val="18"/>
              </w:rPr>
              <w:t xml:space="preserve">H9</w:t>
            </w:r>
          </w:p>
        </w:tc>
        <w:tc>
          <w:tcPr>
            <w:tcW w:type="dxa" w:w="4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bCs/>
                <w:i w:val="false"/>
                <w:iCs w:val="false"/>
                <w:sz w:val="18"/>
                <w:szCs w:val="18"/>
              </w:rPr>
              <w:t xml:space="preserve">Cross-tier industry catch-up</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bCs/>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bCs/>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bCs/>
                <w:i w:val="false"/>
                <w:iCs w:val="false"/>
                <w:sz w:val="18"/>
                <w:szCs w:val="18"/>
              </w:rPr>
              <w:t xml:space="preserve">High</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bCs/>
                <w:i w:val="false"/>
                <w:iCs w:val="false"/>
                <w:sz w:val="18"/>
                <w:szCs w:val="18"/>
              </w:rPr>
              <w:t xml:space="preserve">FUND FIRST</w:t>
            </w:r>
          </w:p>
        </w:tc>
      </w:tr>
      <w:tr>
        <w:tc>
          <w:tcPr>
            <w:tcW w:type="dxa" w:w="6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2</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H6</w:t>
            </w:r>
          </w:p>
        </w:tc>
        <w:tc>
          <w:tcPr>
            <w:tcW w:type="dxa" w:w="46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Sub-industry leader-follower lead-lag</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Medium</w:t>
            </w:r>
          </w:p>
        </w:tc>
        <w:tc>
          <w:tcPr>
            <w:tcW w:type="dxa" w:w="136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Fund</w:t>
            </w:r>
          </w:p>
        </w:tc>
      </w:tr>
      <w:tr>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3</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H1</w:t>
            </w:r>
          </w:p>
        </w:tc>
        <w:tc>
          <w:tcPr>
            <w:tcW w:type="dxa" w:w="4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Migration-imminence (cross-index promotion forecast)</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Medium-high</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Fund</w:t>
            </w:r>
          </w:p>
        </w:tc>
      </w:tr>
      <w:tr>
        <w:tc>
          <w:tcPr>
            <w:tcW w:type="dxa" w:w="6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4</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H21</w:t>
            </w:r>
          </w:p>
        </w:tc>
        <w:tc>
          <w:tcPr>
            <w:tcW w:type="dxa" w:w="46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Within-sub-industry residual momentum</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High</w:t>
            </w:r>
          </w:p>
        </w:tc>
        <w:tc>
          <w:tcPr>
            <w:tcW w:type="dxa" w:w="136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Fund (core)</w:t>
            </w:r>
          </w:p>
        </w:tc>
      </w:tr>
      <w:tr>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5</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H19</w:t>
            </w:r>
          </w:p>
        </w:tc>
        <w:tc>
          <w:tcPr>
            <w:tcW w:type="dxa" w:w="4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Off-rebal-window volume bursts</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Medium</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Fund (small)</w:t>
            </w:r>
          </w:p>
        </w:tc>
      </w:tr>
      <w:tr>
        <w:tc>
          <w:tcPr>
            <w:tcW w:type="dxa" w:w="6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6</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H16</w:t>
            </w:r>
          </w:p>
        </w:tc>
        <w:tc>
          <w:tcPr>
            <w:tcW w:type="dxa" w:w="46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Within-sub-industry dollar-volume rank jumps</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Low-med</w:t>
            </w:r>
          </w:p>
        </w:tc>
        <w:tc>
          <w:tcPr>
            <w:tcW w:type="dxa" w:w="136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Fund (small)</w:t>
            </w:r>
          </w:p>
        </w:tc>
      </w:tr>
      <w:tr>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H8</w:t>
            </w:r>
          </w:p>
        </w:tc>
        <w:tc>
          <w:tcPr>
            <w:tcW w:type="dxa" w:w="4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Adjacent-industry-group pair mean-reversion</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High</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Pilot</w:t>
            </w:r>
          </w:p>
        </w:tc>
      </w:tr>
      <w:tr>
        <w:tc>
          <w:tcPr>
            <w:tcW w:type="dxa" w:w="6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H3</w:t>
            </w:r>
          </w:p>
        </w:tc>
        <w:tc>
          <w:tcPr>
            <w:tcW w:type="dxa" w:w="46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Demotion overreaction reversal</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6</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Low</w:t>
            </w:r>
          </w:p>
        </w:tc>
        <w:tc>
          <w:tcPr>
            <w:tcW w:type="dxa" w:w="136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Pilot</w:t>
            </w:r>
          </w:p>
        </w:tc>
      </w:tr>
      <w:tr>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H7</w:t>
            </w:r>
          </w:p>
        </w:tc>
        <w:tc>
          <w:tcPr>
            <w:tcW w:type="dxa" w:w="4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Sub-industry dispersion mean-reversion</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6</w:t>
            </w:r>
          </w:p>
        </w:tc>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jc w:val="center"/>
            </w:pPr>
            <w:r>
              <w:rPr>
                <w:b w:val="false"/>
                <w:bCs w:val="false"/>
                <w:i w:val="false"/>
                <w:iCs w:val="false"/>
                <w:sz w:val="18"/>
                <w:szCs w:val="18"/>
              </w:rPr>
              <w:t xml:space="preserve">Medium</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30"/>
            </w:pPr>
            <w:r>
              <w:rPr>
                <w:b w:val="false"/>
                <w:bCs w:val="false"/>
                <w:i w:val="false"/>
                <w:iCs w:val="false"/>
                <w:sz w:val="18"/>
                <w:szCs w:val="18"/>
              </w:rPr>
              <w:t xml:space="preserve">Pilot</w:t>
            </w:r>
          </w:p>
        </w:tc>
      </w:tr>
      <w:tr>
        <w:tc>
          <w:tcPr>
            <w:tcW w:type="dxa" w:w="6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10</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H17</w:t>
            </w:r>
          </w:p>
        </w:tc>
        <w:tc>
          <w:tcPr>
            <w:tcW w:type="dxa" w:w="46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Cross-tier volume-profile upgrade</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jc w:val="center"/>
            </w:pPr>
            <w:r>
              <w:rPr>
                <w:b w:val="false"/>
                <w:bCs w:val="false"/>
                <w:i w:val="false"/>
                <w:iCs w:val="false"/>
                <w:sz w:val="18"/>
                <w:szCs w:val="18"/>
              </w:rPr>
              <w:t xml:space="preserve">Medium</w:t>
            </w:r>
          </w:p>
        </w:tc>
        <w:tc>
          <w:tcPr>
            <w:tcW w:type="dxa" w:w="1360"/>
            <w:tcBorders>
              <w:top w:val="single" w:color="CCCCCC" w:sz="4"/>
              <w:left w:val="single" w:color="CCCCCC" w:sz="4"/>
              <w:bottom w:val="single" w:color="CCCCCC" w:sz="4"/>
              <w:right w:val="single" w:color="CCCCCC" w:sz="4"/>
            </w:tcBorders>
            <w:shd w:fill="F7F9FC" w:val="clear"/>
            <w:tcMar>
              <w:top w:type="dxa" w:w="70"/>
              <w:left w:type="dxa" w:w="110"/>
              <w:bottom w:type="dxa" w:w="70"/>
              <w:right w:type="dxa" w:w="110"/>
            </w:tcMar>
            <w:vAlign w:val="top"/>
          </w:tcPr>
          <w:p>
            <w:pPr>
              <w:spacing w:after="30"/>
            </w:pPr>
            <w:r>
              <w:rPr>
                <w:b w:val="false"/>
                <w:bCs w:val="false"/>
                <w:i w:val="false"/>
                <w:iCs w:val="false"/>
                <w:sz w:val="18"/>
                <w:szCs w:val="18"/>
              </w:rPr>
              <w:t xml:space="preserve">Pilot — slow burn</w:t>
            </w:r>
          </w:p>
        </w:tc>
      </w:tr>
    </w:tbl>
    <w:p>
      <w:pPr>
        <w:spacing w:after="80"/>
      </w:pPr>
      <w:r>
        <w:rPr>
          <w:b w:val="false"/>
          <w:bCs w:val="false"/>
          <w:i w:val="false"/>
          <w:iCs w:val="false"/>
          <w:sz w:val="20"/>
          <w:szCs w:val="20"/>
        </w:rPr>
        <w:t xml:space="preserve"/>
      </w:r>
    </w:p>
    <w:p>
      <w:pPr>
        <w:pStyle w:val="Heading2"/>
      </w:pPr>
      <w:r>
        <w:rPr>
          <w:b w:val="false"/>
          <w:bCs w:val="false"/>
          <w:i w:val="false"/>
          <w:iCs w:val="false"/>
          <w:sz w:val="20"/>
          <w:szCs w:val="20"/>
        </w:rPr>
        <w:t xml:space="preserve">Did not make top 10 — but still worth notes</w:t>
      </w:r>
    </w:p>
    <w:p>
      <w:pPr>
        <w:spacing w:after="80"/>
      </w:pPr>
      <w:r>
        <w:rPr>
          <w:b w:val="false"/>
          <w:bCs w:val="false"/>
          <w:i w:val="false"/>
          <w:iCs w:val="false"/>
          <w:sz w:val="20"/>
          <w:szCs w:val="20"/>
        </w:rPr>
        <w:t xml:space="preserve">H2 (post-promotion drift) and H12 (sector-residual momentum) are too well-known to fund as differentiated research; they should be baseline factors used to neutralize other strategies. H4 (cliff-edge underperformance), H22 (sub-industry density premium), and H25 (tenure premium) likely collapse into the standard size/low-vol factors after careful neutralization; worth a quick research note but not a sleeve allocation. H10 (single-name dominance) and H14 (crowdedness reversal) have sound intuition but limited capacity and noisy estimation. H11 (beta-stability), H18 (liquidity beta), and H23 (lead-stock cross-sector spillover) are interesting research bets but I'd want academic-style validation before allocating real risk.</w:t>
      </w:r>
    </w:p>
    <w:p>
      <w:r>
        <w:br w:type="page"/>
      </w:r>
    </w:p>
    <w:p>
      <w:pPr>
        <w:pStyle w:val="Heading1"/>
      </w:pPr>
      <w:r>
        <w:rPr>
          <w:b w:val="false"/>
          <w:bCs w:val="false"/>
          <w:i w:val="false"/>
          <w:iCs w:val="false"/>
          <w:sz w:val="20"/>
          <w:szCs w:val="20"/>
        </w:rPr>
        <w:t xml:space="preserve">Fund first: H9 — Cross-tier industry catch-up</w:t>
      </w:r>
    </w:p>
    <w:p>
      <w:pPr>
        <w:pStyle w:val="Heading2"/>
      </w:pPr>
      <w:r>
        <w:rPr>
          <w:b w:val="false"/>
          <w:bCs w:val="false"/>
          <w:i w:val="false"/>
          <w:iCs w:val="false"/>
          <w:sz w:val="20"/>
          <w:szCs w:val="20"/>
        </w:rPr>
        <w:t xml:space="preserve">Why this one</w:t>
      </w:r>
    </w:p>
    <w:p>
      <w:pPr>
        <w:spacing w:after="80"/>
      </w:pPr>
      <w:r>
        <w:rPr>
          <w:b w:val="false"/>
          <w:bCs w:val="false"/>
          <w:i w:val="false"/>
          <w:iCs w:val="false"/>
          <w:sz w:val="20"/>
          <w:szCs w:val="20"/>
        </w:rPr>
        <w:t xml:space="preserve">Of all 25, H9 is the cleanest match between this fund's data edge and the strategy's economic mechanism. Three reasons drive the allocation decision.</w:t>
      </w:r>
    </w:p>
    <w:p>
      <w:pPr>
        <w:pStyle w:val="Heading3"/>
      </w:pPr>
      <w:r>
        <w:rPr>
          <w:b w:val="false"/>
          <w:bCs w:val="false"/>
          <w:i w:val="false"/>
          <w:iCs w:val="false"/>
          <w:sz w:val="20"/>
          <w:szCs w:val="20"/>
        </w:rPr>
        <w:t xml:space="preserve">1. The dataset is uniquely set up for this hypothesis</w:t>
      </w:r>
    </w:p>
    <w:p>
      <w:pPr>
        <w:spacing w:after="80"/>
      </w:pPr>
      <w:r>
        <w:rPr>
          <w:b w:val="false"/>
          <w:bCs w:val="false"/>
          <w:i w:val="false"/>
          <w:iCs w:val="false"/>
          <w:sz w:val="20"/>
          <w:szCs w:val="20"/>
        </w:rPr>
        <w:t xml:space="preserve">Most lead-lag work in published literature is done within a single index, single market-cap tier. To test the cross-tier catch-up effect properly, you need PIT membership in three contiguous market-cap tiers, with consistent GICS classifications applied across them. That is exactly what the four uploaded files give us. A competitor with only SP500 data simply cannot run this experiment. The data audit confirmed 174 names traversed SP400↔SP500, 342 traversed SP400↔SP600, and 52 traversed all three — there is enough cross-tier flow to compute clean industry-level mid- and small-cap return composites that are not contaminated by missing names. This is the closest we have to a research moat.</w:t>
      </w:r>
    </w:p>
    <w:p>
      <w:pPr>
        <w:pStyle w:val="Heading3"/>
      </w:pPr>
      <w:r>
        <w:rPr>
          <w:b w:val="false"/>
          <w:bCs w:val="false"/>
          <w:i w:val="false"/>
          <w:iCs w:val="false"/>
          <w:sz w:val="20"/>
          <w:szCs w:val="20"/>
        </w:rPr>
        <w:t xml:space="preserve">2. The economic mechanism is structural and persistent</w:t>
      </w:r>
    </w:p>
    <w:p>
      <w:pPr>
        <w:spacing w:after="80"/>
      </w:pPr>
      <w:r>
        <w:rPr>
          <w:b w:val="false"/>
          <w:bCs w:val="false"/>
          <w:i w:val="false"/>
          <w:iCs w:val="false"/>
          <w:sz w:val="20"/>
          <w:szCs w:val="20"/>
        </w:rPr>
        <w:t xml:space="preserve">Information flow down the market-cap ladder is a well-grounded mechanism: sell-side coverage is concentrated in large caps; large-cap names report first and most fully; passive sector-ETF flows discover the large constituents first because they dominate the weights. Smaller peers in the same industry inherit the same fundamental driver (commodity cycle, regulatory event, end-demand shift) but take days to reflect it because price discovery in them is bandwidth-limited. This mechanism doesn't depend on a particular market regime, doesn't require leverage or unusual instruments, and works the same way whether the trade is at sub-industry or industry granularity. The hypothesis is testable across 70-100 industries × 3 tiers, which gives statistical power that few other ideas on this list have.</w:t>
      </w:r>
    </w:p>
    <w:p>
      <w:pPr>
        <w:pStyle w:val="Heading3"/>
      </w:pPr>
      <w:r>
        <w:rPr>
          <w:b w:val="false"/>
          <w:bCs w:val="false"/>
          <w:i w:val="false"/>
          <w:iCs w:val="false"/>
          <w:sz w:val="20"/>
          <w:szCs w:val="20"/>
        </w:rPr>
        <w:t xml:space="preserve">3. Capacity, turnover, and operational profile fit institutional allocation</w:t>
      </w:r>
    </w:p>
    <w:p>
      <w:pPr>
        <w:spacing w:after="80"/>
      </w:pPr>
      <w:r>
        <w:rPr>
          <w:b w:val="false"/>
          <w:bCs w:val="false"/>
          <w:i w:val="false"/>
          <w:iCs w:val="false"/>
          <w:sz w:val="20"/>
          <w:szCs w:val="20"/>
        </w:rPr>
        <w:t xml:space="preserve">Capacity of $500M-$1.5B is the largest among genuinely original ideas in the catalog. The 10-15 day average holding period gives time to absorb size without paying impact, but is short enough to redeploy capital several times per year and earn its risk budget back. Cost of execution is the most predictable in the catalog because positions are reasonably liquid (SP400 and SP600 names are the trade vehicles; sector ETFs are the hedge). Drawdown profile is naturally diversified across industries, which makes it a good sleeve to combine with momentum and reversal strategies that share less of the same mechanism.</w:t>
      </w:r>
    </w:p>
    <w:p>
      <w:pPr>
        <w:pStyle w:val="Heading2"/>
      </w:pPr>
      <w:r>
        <w:rPr>
          <w:b w:val="false"/>
          <w:bCs w:val="false"/>
          <w:i w:val="false"/>
          <w:iCs w:val="false"/>
          <w:sz w:val="20"/>
          <w:szCs w:val="20"/>
        </w:rPr>
        <w:t xml:space="preserve">How I would structure the research budget</w:t>
      </w:r>
    </w:p>
    <w:p>
      <w:pPr>
        <w:spacing w:after="80"/>
      </w:pPr>
      <w:r>
        <w:rPr>
          <w:b w:val="false"/>
          <w:bCs w:val="false"/>
          <w:i w:val="false"/>
          <w:iCs w:val="false"/>
          <w:sz w:val="20"/>
          <w:szCs w:val="20"/>
        </w:rPr>
        <w:t xml:space="preserve">Phase 1 (6 weeks, 1 quant): build the clean residual-return engine. For each name on each date, compute the de-betaed residual against its sector ETF using a 63-day rolling regression. Validate residuals against the data audit's quarantine list (winsorize at ±50% daily, flag and quarantine the EQT 2022-10-03 and FSLR 2022-12-01 events identified in the data audit). Compute daily industry-level large-cap residual return composites using SP500 names and small-/mid-cap residual return composites using SP400 and SP600 names within each Industry.</w:t>
      </w:r>
    </w:p>
    <w:p>
      <w:pPr>
        <w:spacing w:after="80"/>
      </w:pPr>
      <w:r>
        <w:rPr>
          <w:b w:val="false"/>
          <w:bCs w:val="false"/>
          <w:i w:val="false"/>
          <w:iCs w:val="false"/>
          <w:sz w:val="20"/>
          <w:szCs w:val="20"/>
        </w:rPr>
        <w:t xml:space="preserve">Phase 2 (4 weeks): test the cross-tier prediction. For each (industry, day), regress next-1-to-15-day average residual returns of SP400+SP600 names against the prior-day SP500-only residual industry return. Confirm the coefficient (expected 0.15-0.30) and identify the optimal lead-lag horizon per industry.</w:t>
      </w:r>
    </w:p>
    <w:p>
      <w:pPr>
        <w:spacing w:after="80"/>
      </w:pPr>
      <w:r>
        <w:rPr>
          <w:b w:val="false"/>
          <w:bCs w:val="false"/>
          <w:i w:val="false"/>
          <w:iCs w:val="false"/>
          <w:sz w:val="20"/>
          <w:szCs w:val="20"/>
        </w:rPr>
        <w:t xml:space="preserve">Phase 3 (4 weeks): build the trading rule. Construct daily industry signal scores, neutralize for size and sub-industry, and simulate a long-short portfolio with one-day execution lag, realistic borrow constraints (50bp annualized for SP400, 150bp for SP600), and transaction cost assumptions consistent with our existing equity desk.</w:t>
      </w:r>
    </w:p>
    <w:p>
      <w:pPr>
        <w:spacing w:after="80"/>
      </w:pPr>
      <w:r>
        <w:rPr>
          <w:b w:val="false"/>
          <w:bCs w:val="false"/>
          <w:i w:val="false"/>
          <w:iCs w:val="false"/>
          <w:sz w:val="20"/>
          <w:szCs w:val="20"/>
        </w:rPr>
        <w:t xml:space="preserve">Phase 4 (4 weeks): regime decomposition and live paper trade. Verify the signal works in both expansion and contraction regimes, across our four most-traded sectors. Run a $25M paper trade for 60 days; if Sharpe survives at &gt; 0.7 after costs, scale to $250M production.</w:t>
      </w:r>
    </w:p>
    <w:p>
      <w:pPr>
        <w:pStyle w:val="Heading2"/>
      </w:pPr>
      <w:r>
        <w:rPr>
          <w:b w:val="false"/>
          <w:bCs w:val="false"/>
          <w:i w:val="false"/>
          <w:iCs w:val="false"/>
          <w:sz w:val="20"/>
          <w:szCs w:val="20"/>
        </w:rPr>
        <w:t xml:space="preserve">Kill criteria</w:t>
      </w:r>
    </w:p>
    <w:p>
      <w:pPr>
        <w:spacing w:after="80"/>
      </w:pPr>
      <w:r>
        <w:rPr>
          <w:b w:val="false"/>
          <w:bCs w:val="false"/>
          <w:i w:val="false"/>
          <w:iCs w:val="false"/>
          <w:sz w:val="20"/>
          <w:szCs w:val="20"/>
        </w:rPr>
        <w:t xml:space="preserve">The research is killed and the budget reallocated to H6 if any of the following are true at end of Phase 2: (a) the cross-tier coefficient is below 0.05 with statistical significance below 95%; (b) the effect is concentrated in 1-2 sectors and disappears in the others, eliminating diversification; (c) the effect was present pre-2018 but has decayed below economic significance in the last 5 years (indicating crowding).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sz w:val="18"/>
        <w:szCs w:val="18"/>
      </w:rPr>
      <w:t xml:space="preserve">Page </w:t>
    </w:r>
    <w:r>
      <w:rPr>
        <w:sz w:val="18"/>
        <w:szCs w:val="18"/>
      </w:rPr>
      <w:fldChar w:fldCharType="begin"/>
      <w:instrText xml:space="preserve">PAGE</w:instrText>
      <w:fldChar w:fldCharType="separate"/>
      <w:fldChar w:fldCharType="end"/>
    </w:r>
    <w:r>
      <w:rPr>
        <w:b w:val="false"/>
        <w:bCs w:val="false"/>
        <w:i w:val="false"/>
        <w:iCs w:val="false"/>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iCs/>
        <w:color w:val="1F3A5F"/>
        <w:sz w:val="18"/>
        <w:szCs w:val="18"/>
      </w:rPr>
      <w:t xml:space="preserve">Research Hypothesis Catalog — US Equity 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2026-06-07T22:08:01.465Z</dcterms:created>
  <dcterms:modified xsi:type="dcterms:W3CDTF">2026-06-07T22:08:01.465Z</dcterms:modified>
</cp:coreProperties>
</file>

<file path=docProps/custom.xml><?xml version="1.0" encoding="utf-8"?>
<Properties xmlns="http://schemas.openxmlformats.org/officeDocument/2006/custom-properties" xmlns:vt="http://schemas.openxmlformats.org/officeDocument/2006/docPropsVTypes"/>
</file>