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b/>
          <w:bCs/>
          <w:i w:val="false"/>
          <w:iCs w:val="false"/>
          <w:color w:val="1F3A5F"/>
          <w:sz w:val="56"/>
          <w:szCs w:val="56"/>
        </w:rPr>
        <w:t xml:space="preserve">Showcase Ranking</w:t>
      </w:r>
    </w:p>
    <w:p>
      <w:pPr>
        <w:spacing w:after="120"/>
        <w:jc w:val="center"/>
      </w:pPr>
      <w:r>
        <w:rPr>
          <w:b w:val="false"/>
          <w:bCs w:val="false"/>
          <w:i w:val="false"/>
          <w:iCs w:val="false"/>
          <w:color w:val="1F3A5F"/>
          <w:sz w:val="30"/>
          <w:szCs w:val="30"/>
        </w:rPr>
        <w:t xml:space="preserve">Hypothesis selection for the interview submission</w:t>
      </w:r>
    </w:p>
    <w:p>
      <w:pPr>
        <w:spacing w:after="800"/>
        <w:jc w:val="center"/>
      </w:pPr>
      <w:r>
        <w:rPr>
          <w:b w:val="false"/>
          <w:bCs w:val="false"/>
          <w:i/>
          <w:iCs/>
          <w:sz w:val="24"/>
          <w:szCs w:val="24"/>
        </w:rPr>
        <w:t xml:space="preserve">Ranked by ability to demonstrate research craft, not by expected Sharpe</w:t>
      </w:r>
    </w:p>
    <w:p>
      <w:pPr>
        <w:spacing w:after="60"/>
        <w:jc w:val="center"/>
      </w:pPr>
      <w:r>
        <w:rPr>
          <w:b w:val="false"/>
          <w:bCs w:val="false"/>
          <w:i w:val="false"/>
          <w:iCs w:val="false"/>
          <w:sz w:val="22"/>
          <w:szCs w:val="22"/>
        </w:rPr>
        <w:t xml:space="preserve">Purpose: interview defense + selection rationale</w:t>
      </w:r>
    </w:p>
    <w:p>
      <w:pPr>
        <w:spacing w:after="60"/>
        <w:jc w:val="center"/>
      </w:pPr>
      <w:r>
        <w:rPr>
          <w:b w:val="false"/>
          <w:bCs w:val="false"/>
          <w:i w:val="false"/>
          <w:iCs w:val="false"/>
          <w:sz w:val="22"/>
          <w:szCs w:val="22"/>
        </w:rPr>
        <w:t xml:space="preserve">Date: June 8, 2026</w:t>
      </w:r>
    </w:p>
    <w:p>
      <w:r>
        <w:br w:type="page"/>
      </w:r>
    </w:p>
    <w:p>
      <w:pPr>
        <w:pStyle w:val="Heading1"/>
      </w:pPr>
      <w:r>
        <w:rPr>
          <w:b w:val="false"/>
          <w:bCs w:val="false"/>
          <w:i w:val="false"/>
          <w:iCs w:val="false"/>
          <w:sz w:val="22"/>
          <w:szCs w:val="22"/>
        </w:rPr>
        <w:t xml:space="preserve">0. Executive summary</w:t>
      </w:r>
    </w:p>
    <w:p>
      <w:pPr>
        <w:spacing w:after="100"/>
      </w:pPr>
      <w:r>
        <w:rPr>
          <w:b w:val="false"/>
          <w:bCs w:val="false"/>
          <w:i w:val="false"/>
          <w:iCs w:val="false"/>
          <w:sz w:val="22"/>
          <w:szCs w:val="22"/>
        </w:rPr>
        <w:t xml:space="preserve">The criteria changed and so does the ranking. Funding an alpha sleeve and building an interview submission are different optimization problems. A PM allocates capital to the highest-IR expected pipeline; a candidate optimizes for what the submission says about them as a researcher. The hypothesis that wins the showcase race is the one with the richest defensible decision tree — many parameter choices, many robustness tests, a clear mechanism, a memorable narrative arc, and visualizations that a PM can read in 30 seconds.</w:t>
      </w:r>
    </w:p>
    <w:p>
      <w:pPr>
        <w:spacing w:after="100"/>
      </w:pPr>
      <w:r>
        <w:rPr>
          <w:b w:val="false"/>
          <w:bCs w:val="false"/>
          <w:i w:val="false"/>
          <w:iCs w:val="false"/>
          <w:sz w:val="22"/>
          <w:szCs w:val="22"/>
        </w:rPr>
        <w:t xml:space="preserve">The previous fund-first pick was H9 (cross-tier industry catch-up) — chosen for capacity and dataset-uniqueness in an allocation context. Under the showcase lens, H6 (sub-industry leader-follower lead-lag) overtakes it. The reason: H6 has a tighter pipeline, cleaner visualizations, a sharper statistical effect, and the most natural sequence of robustness tests. H9 remains the runner-up because it most uniquely uses the three-tier PIT structure that defines this dataset — but it costs more to execute cleanly and the writeup is harder to fit in a portable submission.</w:t>
      </w:r>
    </w:p>
    <w:p>
      <w:pPr>
        <w:spacing w:after="100"/>
      </w:pPr>
      <w:r>
        <w:rPr>
          <w:b w:val="false"/>
          <w:bCs w:val="false"/>
          <w:i w:val="false"/>
          <w:iCs w:val="false"/>
          <w:sz w:val="22"/>
          <w:szCs w:val="22"/>
        </w:rPr>
        <w:t xml:space="preserve">This document explains, in order: (1) why the lens shift changes the ranking, (2) the four-axis scoring framework I used, (3) the new top-10 ranked with showcase justification, (4) why H6 wins and how to defend every decision in interview, and (5) the pitfalls and weak rationales that would betray you under cross-examination.</w:t>
      </w:r>
    </w:p>
    <w:p>
      <w:pPr>
        <w:pStyle w:val="Heading1"/>
      </w:pPr>
      <w:r>
        <w:rPr>
          <w:b w:val="false"/>
          <w:bCs w:val="false"/>
          <w:i w:val="false"/>
          <w:iCs w:val="false"/>
          <w:sz w:val="22"/>
          <w:szCs w:val="22"/>
        </w:rPr>
        <w:t xml:space="preserve">1. Why the lens shift changes the ranking</w:t>
      </w:r>
    </w:p>
    <w:p>
      <w:pPr>
        <w:spacing w:after="100"/>
      </w:pPr>
      <w:r>
        <w:rPr>
          <w:b w:val="false"/>
          <w:bCs w:val="false"/>
          <w:i w:val="false"/>
          <w:iCs w:val="false"/>
          <w:sz w:val="22"/>
          <w:szCs w:val="22"/>
        </w:rPr>
        <w:t xml:space="preserve">Two different objectives produce two different rankings.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vAlign w:val="top"/>
          </w:tcPr>
          <w:p>
            <w:pPr>
              <w:spacing w:after="30"/>
            </w:pPr>
            <w:r>
              <w:rPr>
                <w:b/>
                <w:bCs/>
                <w:i w:val="false"/>
                <w:iCs w:val="false"/>
                <w:color w:val="FFFFFF"/>
                <w:sz w:val="20"/>
                <w:szCs w:val="20"/>
              </w:rPr>
              <w:t xml:space="preserve">Dimension</w:t>
            </w:r>
          </w:p>
        </w:tc>
        <w:tc>
          <w:tcPr>
            <w:tcW w:type="dxa" w:w="308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vAlign w:val="top"/>
          </w:tcPr>
          <w:p>
            <w:pPr>
              <w:spacing w:after="30"/>
            </w:pPr>
            <w:r>
              <w:rPr>
                <w:b/>
                <w:bCs/>
                <w:i w:val="false"/>
                <w:iCs w:val="false"/>
                <w:color w:val="FFFFFF"/>
                <w:sz w:val="20"/>
                <w:szCs w:val="20"/>
              </w:rPr>
              <w:t xml:space="preserve">PM allocation lens</w:t>
            </w:r>
          </w:p>
        </w:tc>
        <w:tc>
          <w:tcPr>
            <w:tcW w:type="dxa" w:w="308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vAlign w:val="top"/>
          </w:tcPr>
          <w:p>
            <w:pPr>
              <w:spacing w:after="30"/>
            </w:pPr>
            <w:r>
              <w:rPr>
                <w:b/>
                <w:bCs/>
                <w:i w:val="false"/>
                <w:iCs w:val="false"/>
                <w:color w:val="FFFFFF"/>
                <w:sz w:val="20"/>
                <w:szCs w:val="20"/>
              </w:rPr>
              <w:t xml:space="preserve">Interview showcase lens</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pPr>
            <w:r>
              <w:rPr>
                <w:b/>
                <w:bCs/>
                <w:i w:val="false"/>
                <w:iCs w:val="false"/>
                <w:sz w:val="20"/>
                <w:szCs w:val="20"/>
              </w:rPr>
              <w:t xml:space="preserve">Primary objective</w:t>
            </w:r>
          </w:p>
        </w:tc>
        <w:tc>
          <w:tcPr>
            <w:tcW w:type="dxa" w:w="308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pPr>
            <w:r>
              <w:rPr>
                <w:b w:val="false"/>
                <w:bCs w:val="false"/>
                <w:i w:val="false"/>
                <w:iCs w:val="false"/>
                <w:sz w:val="20"/>
                <w:szCs w:val="20"/>
              </w:rPr>
              <w:t xml:space="preserve">Risk-adjusted return after costs</w:t>
            </w:r>
          </w:p>
        </w:tc>
        <w:tc>
          <w:tcPr>
            <w:tcW w:type="dxa" w:w="308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pPr>
            <w:r>
              <w:rPr>
                <w:b w:val="false"/>
                <w:bCs w:val="false"/>
                <w:i w:val="false"/>
                <w:iCs w:val="false"/>
                <w:sz w:val="20"/>
                <w:szCs w:val="20"/>
              </w:rPr>
              <w:t xml:space="preserve">Quality signal about the researcher</w:t>
            </w:r>
          </w:p>
        </w:tc>
      </w:tr>
      <w:tr>
        <w:tc>
          <w:tcPr>
            <w:tcW w:type="dxa" w:w="32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vAlign w:val="top"/>
          </w:tcPr>
          <w:p>
            <w:pPr>
              <w:spacing w:after="30"/>
            </w:pPr>
            <w:r>
              <w:rPr>
                <w:b/>
                <w:bCs/>
                <w:i w:val="false"/>
                <w:iCs w:val="false"/>
                <w:sz w:val="20"/>
                <w:szCs w:val="20"/>
              </w:rPr>
              <w:t xml:space="preserve">Optimization target</w:t>
            </w:r>
          </w:p>
        </w:tc>
        <w:tc>
          <w:tcPr>
            <w:tcW w:type="dxa" w:w="308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vAlign w:val="top"/>
          </w:tcPr>
          <w:p>
            <w:pPr>
              <w:spacing w:after="30"/>
            </w:pPr>
            <w:r>
              <w:rPr>
                <w:b w:val="false"/>
                <w:bCs w:val="false"/>
                <w:i w:val="false"/>
                <w:iCs w:val="false"/>
                <w:sz w:val="20"/>
                <w:szCs w:val="20"/>
              </w:rPr>
              <w:t xml:space="preserve">Sharpe × capacity × team fit</w:t>
            </w:r>
          </w:p>
        </w:tc>
        <w:tc>
          <w:tcPr>
            <w:tcW w:type="dxa" w:w="308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vAlign w:val="top"/>
          </w:tcPr>
          <w:p>
            <w:pPr>
              <w:spacing w:after="30"/>
            </w:pPr>
            <w:r>
              <w:rPr>
                <w:b w:val="false"/>
                <w:bCs w:val="false"/>
                <w:i w:val="false"/>
                <w:iCs w:val="false"/>
                <w:sz w:val="20"/>
                <w:szCs w:val="20"/>
              </w:rPr>
              <w:t xml:space="preserve">Pipeline depth × narrative arc × defensibility</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pPr>
            <w:r>
              <w:rPr>
                <w:b/>
                <w:bCs/>
                <w:i w:val="false"/>
                <w:iCs w:val="false"/>
                <w:sz w:val="20"/>
                <w:szCs w:val="20"/>
              </w:rPr>
              <w:t xml:space="preserve">Originality preference</w:t>
            </w:r>
          </w:p>
        </w:tc>
        <w:tc>
          <w:tcPr>
            <w:tcW w:type="dxa" w:w="308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pPr>
            <w:r>
              <w:rPr>
                <w:b w:val="false"/>
                <w:bCs w:val="false"/>
                <w:i w:val="false"/>
                <w:iCs w:val="false"/>
                <w:sz w:val="20"/>
                <w:szCs w:val="20"/>
              </w:rPr>
              <w:t xml:space="preserve">High (research moat); but well-trodden ideas with proven economic basis are also fundable</w:t>
            </w:r>
          </w:p>
        </w:tc>
        <w:tc>
          <w:tcPr>
            <w:tcW w:type="dxa" w:w="308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pPr>
            <w:r>
              <w:rPr>
                <w:b w:val="false"/>
                <w:bCs w:val="false"/>
                <w:i w:val="false"/>
                <w:iCs w:val="false"/>
                <w:sz w:val="20"/>
                <w:szCs w:val="20"/>
              </w:rPr>
              <w:t xml:space="preserve">Medium-to-high; pure textbook ideas (12m momentum, low-vol) cost you signaling power even if they backtest cleanly</w:t>
            </w:r>
          </w:p>
        </w:tc>
      </w:tr>
      <w:tr>
        <w:tc>
          <w:tcPr>
            <w:tcW w:type="dxa" w:w="32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vAlign w:val="top"/>
          </w:tcPr>
          <w:p>
            <w:pPr>
              <w:spacing w:after="30"/>
            </w:pPr>
            <w:r>
              <w:rPr>
                <w:b/>
                <w:bCs/>
                <w:i w:val="false"/>
                <w:iCs w:val="false"/>
                <w:sz w:val="20"/>
                <w:szCs w:val="20"/>
              </w:rPr>
              <w:t xml:space="preserve">Pipeline complexity</w:t>
            </w:r>
          </w:p>
        </w:tc>
        <w:tc>
          <w:tcPr>
            <w:tcW w:type="dxa" w:w="308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vAlign w:val="top"/>
          </w:tcPr>
          <w:p>
            <w:pPr>
              <w:spacing w:after="30"/>
            </w:pPr>
            <w:r>
              <w:rPr>
                <w:b w:val="false"/>
                <w:bCs w:val="false"/>
                <w:i w:val="false"/>
                <w:iCs w:val="false"/>
                <w:sz w:val="20"/>
                <w:szCs w:val="20"/>
              </w:rPr>
              <w:t xml:space="preserve">Penalized — every extra step is an operational risk</w:t>
            </w:r>
          </w:p>
        </w:tc>
        <w:tc>
          <w:tcPr>
            <w:tcW w:type="dxa" w:w="308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vAlign w:val="top"/>
          </w:tcPr>
          <w:p>
            <w:pPr>
              <w:spacing w:after="30"/>
            </w:pPr>
            <w:r>
              <w:rPr>
                <w:b w:val="false"/>
                <w:bCs w:val="false"/>
                <w:i w:val="false"/>
                <w:iCs w:val="false"/>
                <w:sz w:val="20"/>
                <w:szCs w:val="20"/>
              </w:rPr>
              <w:t xml:space="preserve">Rewarded — every extra defensible step demonstrates craft</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pPr>
            <w:r>
              <w:rPr>
                <w:b/>
                <w:bCs/>
                <w:i w:val="false"/>
                <w:iCs w:val="false"/>
                <w:sz w:val="20"/>
                <w:szCs w:val="20"/>
              </w:rPr>
              <w:t xml:space="preserve">Capacity</w:t>
            </w:r>
          </w:p>
        </w:tc>
        <w:tc>
          <w:tcPr>
            <w:tcW w:type="dxa" w:w="308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pPr>
            <w:r>
              <w:rPr>
                <w:b w:val="false"/>
                <w:bCs w:val="false"/>
                <w:i w:val="false"/>
                <w:iCs w:val="false"/>
                <w:sz w:val="20"/>
                <w:szCs w:val="20"/>
              </w:rPr>
              <w:t xml:space="preserve">Critical (sleeve size)</w:t>
            </w:r>
          </w:p>
        </w:tc>
        <w:tc>
          <w:tcPr>
            <w:tcW w:type="dxa" w:w="308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pPr>
            <w:r>
              <w:rPr>
                <w:b w:val="false"/>
                <w:bCs w:val="false"/>
                <w:i w:val="false"/>
                <w:iCs w:val="false"/>
                <w:sz w:val="20"/>
                <w:szCs w:val="20"/>
              </w:rPr>
              <w:t xml:space="preserve">Largely irrelevant; a submission about a $50M strategy can be as compelling as one about a $1B strategy</w:t>
            </w:r>
          </w:p>
        </w:tc>
      </w:tr>
      <w:tr>
        <w:tc>
          <w:tcPr>
            <w:tcW w:type="dxa" w:w="32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vAlign w:val="top"/>
          </w:tcPr>
          <w:p>
            <w:pPr>
              <w:spacing w:after="30"/>
            </w:pPr>
            <w:r>
              <w:rPr>
                <w:b/>
                <w:bCs/>
                <w:i w:val="false"/>
                <w:iCs w:val="false"/>
                <w:sz w:val="20"/>
                <w:szCs w:val="20"/>
              </w:rPr>
              <w:t xml:space="preserve">Robustness</w:t>
            </w:r>
          </w:p>
        </w:tc>
        <w:tc>
          <w:tcPr>
            <w:tcW w:type="dxa" w:w="308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vAlign w:val="top"/>
          </w:tcPr>
          <w:p>
            <w:pPr>
              <w:spacing w:after="30"/>
            </w:pPr>
            <w:r>
              <w:rPr>
                <w:b w:val="false"/>
                <w:bCs w:val="false"/>
                <w:i w:val="false"/>
                <w:iCs w:val="false"/>
                <w:sz w:val="20"/>
                <w:szCs w:val="20"/>
              </w:rPr>
              <w:t xml:space="preserve">Pass/fail at fund-or-kill criteria</w:t>
            </w:r>
          </w:p>
        </w:tc>
        <w:tc>
          <w:tcPr>
            <w:tcW w:type="dxa" w:w="308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vAlign w:val="top"/>
          </w:tcPr>
          <w:p>
            <w:pPr>
              <w:spacing w:after="30"/>
            </w:pPr>
            <w:r>
              <w:rPr>
                <w:b w:val="false"/>
                <w:bCs w:val="false"/>
                <w:i w:val="false"/>
                <w:iCs w:val="false"/>
                <w:sz w:val="20"/>
                <w:szCs w:val="20"/>
              </w:rPr>
              <w:t xml:space="preserve">Continuous — the goal is to demonstrate that you tested robustly, not just that the strategy survived</w:t>
            </w:r>
          </w:p>
        </w:tc>
      </w:tr>
      <w:tr>
        <w:tc>
          <w:tcPr>
            <w:tcW w:type="dxa" w:w="32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pPr>
            <w:r>
              <w:rPr>
                <w:b/>
                <w:bCs/>
                <w:i w:val="false"/>
                <w:iCs w:val="false"/>
                <w:sz w:val="20"/>
                <w:szCs w:val="20"/>
              </w:rPr>
              <w:t xml:space="preserve">Failure mode discussion</w:t>
            </w:r>
          </w:p>
        </w:tc>
        <w:tc>
          <w:tcPr>
            <w:tcW w:type="dxa" w:w="308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pPr>
            <w:r>
              <w:rPr>
                <w:b w:val="false"/>
                <w:bCs w:val="false"/>
                <w:i w:val="false"/>
                <w:iCs w:val="false"/>
                <w:sz w:val="20"/>
                <w:szCs w:val="20"/>
              </w:rPr>
              <w:t xml:space="preserve">Bullet point</w:t>
            </w:r>
          </w:p>
        </w:tc>
        <w:tc>
          <w:tcPr>
            <w:tcW w:type="dxa" w:w="308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pPr>
            <w:r>
              <w:rPr>
                <w:b w:val="false"/>
                <w:bCs w:val="false"/>
                <w:i w:val="false"/>
                <w:iCs w:val="false"/>
                <w:sz w:val="20"/>
                <w:szCs w:val="20"/>
              </w:rPr>
              <w:t xml:space="preserve">Centerpiece — honest discussion of where the strategy breaks earns more interviewer trust than a clean equity curve</w:t>
            </w:r>
          </w:p>
        </w:tc>
      </w:tr>
      <w:tr>
        <w:tc>
          <w:tcPr>
            <w:tcW w:type="dxa" w:w="32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vAlign w:val="top"/>
          </w:tcPr>
          <w:p>
            <w:pPr>
              <w:spacing w:after="30"/>
            </w:pPr>
            <w:r>
              <w:rPr>
                <w:b/>
                <w:bCs/>
                <w:i w:val="false"/>
                <w:iCs w:val="false"/>
                <w:sz w:val="20"/>
                <w:szCs w:val="20"/>
              </w:rPr>
              <w:t xml:space="preserve">Story</w:t>
            </w:r>
          </w:p>
        </w:tc>
        <w:tc>
          <w:tcPr>
            <w:tcW w:type="dxa" w:w="308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vAlign w:val="top"/>
          </w:tcPr>
          <w:p>
            <w:pPr>
              <w:spacing w:after="30"/>
            </w:pPr>
            <w:r>
              <w:rPr>
                <w:b w:val="false"/>
                <w:bCs w:val="false"/>
                <w:i w:val="false"/>
                <w:iCs w:val="false"/>
                <w:sz w:val="20"/>
                <w:szCs w:val="20"/>
              </w:rPr>
              <w:t xml:space="preserve">Useful for explaining capital allocation</w:t>
            </w:r>
          </w:p>
        </w:tc>
        <w:tc>
          <w:tcPr>
            <w:tcW w:type="dxa" w:w="308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vAlign w:val="top"/>
          </w:tcPr>
          <w:p>
            <w:pPr>
              <w:spacing w:after="30"/>
            </w:pPr>
            <w:r>
              <w:rPr>
                <w:b w:val="false"/>
                <w:bCs w:val="false"/>
                <w:i w:val="false"/>
                <w:iCs w:val="false"/>
                <w:sz w:val="20"/>
                <w:szCs w:val="20"/>
              </w:rPr>
              <w:t xml:space="preserve">Decisive — interviewers remember stories, not Sharpe ratios</w:t>
            </w:r>
          </w:p>
        </w:tc>
      </w:tr>
    </w:tbl>
    <w:p>
      <w:pPr>
        <w:spacing w:after="100"/>
      </w:pPr>
      <w:r>
        <w:rPr>
          <w:b w:val="false"/>
          <w:bCs w:val="false"/>
          <w:i w:val="false"/>
          <w:iCs w:val="false"/>
          <w:sz w:val="22"/>
          <w:szCs w:val="22"/>
        </w:rPr>
        <w:t xml:space="preserve"/>
      </w:r>
    </w:p>
    <w:p>
      <w:pPr>
        <w:spacing w:after="100"/>
      </w:pPr>
      <w:r>
        <w:rPr>
          <w:b w:val="false"/>
          <w:bCs w:val="false"/>
          <w:i w:val="false"/>
          <w:iCs w:val="false"/>
          <w:sz w:val="22"/>
          <w:szCs w:val="22"/>
        </w:rPr>
        <w:t xml:space="preserve">Under the showcase lens, the hypothesis you want is the one where you can defend every single methodological choice with a clean answer, and where the work tells a story an interviewer would want to read twice. The Sharpe matters only insofar as it confirms the candidate's interpretation of the data — a well-explained Sharpe of 0.8 with rigorous robustness analysis beats a Sharpe of 1.5 with mysterious origins.</w:t>
      </w:r>
    </w:p>
    <w:p>
      <w:r>
        <w:br w:type="page"/>
      </w:r>
    </w:p>
    <w:p>
      <w:pPr>
        <w:pStyle w:val="Heading1"/>
      </w:pPr>
      <w:r>
        <w:rPr>
          <w:b w:val="false"/>
          <w:bCs w:val="false"/>
          <w:i w:val="false"/>
          <w:iCs w:val="false"/>
          <w:sz w:val="22"/>
          <w:szCs w:val="22"/>
        </w:rPr>
        <w:t xml:space="preserve">2. The four-axis showcase scoring framework</w:t>
      </w:r>
    </w:p>
    <w:p>
      <w:pPr>
        <w:spacing w:after="100"/>
      </w:pPr>
      <w:r>
        <w:rPr>
          <w:b w:val="false"/>
          <w:bCs w:val="false"/>
          <w:i w:val="false"/>
          <w:iCs w:val="false"/>
          <w:sz w:val="22"/>
          <w:szCs w:val="22"/>
        </w:rPr>
        <w:t xml:space="preserve">Each axis carries equal weight in my ranking. They are correlated but not redundant — an idea can score high on three and fail on one (e.g., a great mechanism with no robustness surface). The fund-first pick must score 8+ on all four.</w:t>
      </w:r>
    </w:p>
    <w:p>
      <w:pPr>
        <w:pStyle w:val="Heading2"/>
      </w:pPr>
      <w:r>
        <w:rPr>
          <w:b w:val="false"/>
          <w:bCs w:val="false"/>
          <w:i w:val="false"/>
          <w:iCs w:val="false"/>
          <w:sz w:val="22"/>
          <w:szCs w:val="22"/>
        </w:rPr>
        <w:t xml:space="preserve">Axis A — Research process showcase</w:t>
      </w:r>
    </w:p>
    <w:p>
      <w:pPr>
        <w:spacing w:after="100"/>
      </w:pPr>
      <w:r>
        <w:rPr>
          <w:b w:val="false"/>
          <w:bCs w:val="false"/>
          <w:i w:val="false"/>
          <w:iCs w:val="false"/>
          <w:sz w:val="22"/>
          <w:szCs w:val="22"/>
        </w:rPr>
        <w:t xml:space="preserve">How many distinct, defensible research steps does the pipeline contain? A bare ranking on 12-month return has one step. A clean lead-lag strategy has: leader identification, beta estimation, residual computation, signal definition, signal decay analysis, neutralization, portfolio construction, transaction cost modeling — eight steps, each with parameter choices and a defensible reason. The more steps, the more places the candidate can demonstrate craft.</w:t>
      </w:r>
    </w:p>
    <w:p>
      <w:pPr>
        <w:pStyle w:val="Heading2"/>
      </w:pPr>
      <w:r>
        <w:rPr>
          <w:b w:val="false"/>
          <w:bCs w:val="false"/>
          <w:i w:val="false"/>
          <w:iCs w:val="false"/>
          <w:sz w:val="22"/>
          <w:szCs w:val="22"/>
        </w:rPr>
        <w:t xml:space="preserve">Axis B — Robustness test surface</w:t>
      </w:r>
    </w:p>
    <w:p>
      <w:pPr>
        <w:spacing w:after="100"/>
      </w:pPr>
      <w:r>
        <w:rPr>
          <w:b w:val="false"/>
          <w:bCs w:val="false"/>
          <w:i w:val="false"/>
          <w:iCs w:val="false"/>
          <w:sz w:val="22"/>
          <w:szCs w:val="22"/>
        </w:rPr>
        <w:t xml:space="preserve">How many parameter dimensions can you sweep without the strategy collapsing? Lookback windows, signal thresholds, holding periods, universe filters, neutralization choices, subsample stability (pre/post 2020), regime cuts (low/high vol), peer-count minimums, half-life sensitivity. A robust submission walks through 6-8 sensitivity tests; a fragile idea collapses on the first sweep. Pick an idea where the central effect is strong enough to absorb stress and where the parameter surface gives you a lot of plots to make.</w:t>
      </w:r>
    </w:p>
    <w:p>
      <w:pPr>
        <w:pStyle w:val="Heading2"/>
      </w:pPr>
      <w:r>
        <w:rPr>
          <w:b w:val="false"/>
          <w:bCs w:val="false"/>
          <w:i w:val="false"/>
          <w:iCs w:val="false"/>
          <w:sz w:val="22"/>
          <w:szCs w:val="22"/>
        </w:rPr>
        <w:t xml:space="preserve">Axis C — Narrative arc</w:t>
      </w:r>
    </w:p>
    <w:p>
      <w:pPr>
        <w:spacing w:after="100"/>
      </w:pPr>
      <w:r>
        <w:rPr>
          <w:b w:val="false"/>
          <w:bCs w:val="false"/>
          <w:i w:val="false"/>
          <w:iCs w:val="false"/>
          <w:sz w:val="22"/>
          <w:szCs w:val="22"/>
        </w:rPr>
        <w:t xml:space="preserve">Can you tell the work in three acts? Act 1 (the observation that motivated the research). Act 2 (the test you ran and what you found). Act 3 (where the strategy works and where it doesn't, and what that says about the mechanism). The best submissions read like detective stories — you saw a pattern, you tested it, you investigated the failure modes, you came back with a verdict. Without a story, even strong results feel forensic. With a story, modest results feel like genuine research.</w:t>
      </w:r>
    </w:p>
    <w:p>
      <w:pPr>
        <w:pStyle w:val="Heading2"/>
      </w:pPr>
      <w:r>
        <w:rPr>
          <w:b w:val="false"/>
          <w:bCs w:val="false"/>
          <w:i w:val="false"/>
          <w:iCs w:val="false"/>
          <w:sz w:val="22"/>
          <w:szCs w:val="22"/>
        </w:rPr>
        <w:t xml:space="preserve">Axis D — PM interest</w:t>
      </w:r>
    </w:p>
    <w:p>
      <w:pPr>
        <w:spacing w:after="100"/>
      </w:pPr>
      <w:r>
        <w:rPr>
          <w:b w:val="false"/>
          <w:bCs w:val="false"/>
          <w:i w:val="false"/>
          <w:iCs w:val="false"/>
          <w:sz w:val="22"/>
          <w:szCs w:val="22"/>
        </w:rPr>
        <w:t xml:space="preserve">Would a senior PM at a multimanager pod find the work worth a 20-minute conversation? PMs care about: structural mechanisms (not data mining), thoughtful trade-offs (not one-sided pitches), honest failure mode analysis (not survivorship-biased narratives), and signal of independent thinking (not a copy of someone else's paper). The PM-interest test: does the work suggest the candidate could be useful on the team beyond the specific strategy?</w:t>
      </w:r>
    </w:p>
    <w:p>
      <w:r>
        <w:br w:type="page"/>
      </w:r>
    </w:p>
    <w:p>
      <w:pPr>
        <w:pStyle w:val="Heading1"/>
      </w:pPr>
      <w:r>
        <w:rPr>
          <w:b w:val="false"/>
          <w:bCs w:val="false"/>
          <w:i w:val="false"/>
          <w:iCs w:val="false"/>
          <w:sz w:val="22"/>
          <w:szCs w:val="22"/>
        </w:rPr>
        <w:t xml:space="preserve">3. Top 10 — re-ranked for showcase</w:t>
      </w:r>
    </w:p>
    <w:p>
      <w:pPr>
        <w:spacing w:after="100"/>
      </w:pPr>
      <w:r>
        <w:rPr>
          <w:b w:val="false"/>
          <w:bCs w:val="false"/>
          <w:i w:val="false"/>
          <w:iCs w:val="false"/>
          <w:sz w:val="22"/>
          <w:szCs w:val="22"/>
        </w:rPr>
        <w:t xml:space="preserve">Scores below: each axis 1-10. The 'Total' column is a simple equal-weighted average rounded to one decimal. The rank reflects total score plus a tie-breaker preference for ideas where the parameter surface is large and the story is sharp.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00"/>
        <w:gridCol w:w="3060"/>
        <w:gridCol w:w="700"/>
        <w:gridCol w:w="700"/>
        <w:gridCol w:w="700"/>
        <w:gridCol w:w="700"/>
        <w:gridCol w:w="600"/>
        <w:gridCol w:w="1700"/>
      </w:tblGrid>
      <w:tr>
        <w:trPr>
          <w:tblHeader/>
        </w:trPr>
        <w:tc>
          <w:tcPr>
            <w:tcW w:type="dxa" w:w="50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vAlign w:val="top"/>
          </w:tcPr>
          <w:p>
            <w:pPr>
              <w:spacing w:after="30"/>
              <w:jc w:val="center"/>
            </w:pPr>
            <w:r>
              <w:rPr>
                <w:b/>
                <w:bCs/>
                <w:i w:val="false"/>
                <w:iCs w:val="false"/>
                <w:color w:val="FFFFFF"/>
                <w:sz w:val="18"/>
                <w:szCs w:val="18"/>
              </w:rPr>
              <w:t xml:space="preserve">#</w:t>
            </w:r>
          </w:p>
        </w:tc>
        <w:tc>
          <w:tcPr>
            <w:tcW w:type="dxa" w:w="70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vAlign w:val="top"/>
          </w:tcPr>
          <w:p>
            <w:pPr>
              <w:spacing w:after="30"/>
              <w:jc w:val="center"/>
            </w:pPr>
            <w:r>
              <w:rPr>
                <w:b/>
                <w:bCs/>
                <w:i w:val="false"/>
                <w:iCs w:val="false"/>
                <w:color w:val="FFFFFF"/>
                <w:sz w:val="18"/>
                <w:szCs w:val="18"/>
              </w:rPr>
              <w:t xml:space="preserve">ID</w:t>
            </w:r>
          </w:p>
        </w:tc>
        <w:tc>
          <w:tcPr>
            <w:tcW w:type="dxa" w:w="306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vAlign w:val="top"/>
          </w:tcPr>
          <w:p>
            <w:pPr>
              <w:spacing w:after="30"/>
            </w:pPr>
            <w:r>
              <w:rPr>
                <w:b/>
                <w:bCs/>
                <w:i w:val="false"/>
                <w:iCs w:val="false"/>
                <w:color w:val="FFFFFF"/>
                <w:sz w:val="18"/>
                <w:szCs w:val="18"/>
              </w:rPr>
              <w:t xml:space="preserve">Hypothesis</w:t>
            </w:r>
          </w:p>
        </w:tc>
        <w:tc>
          <w:tcPr>
            <w:tcW w:type="dxa" w:w="70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vAlign w:val="top"/>
          </w:tcPr>
          <w:p>
            <w:pPr>
              <w:spacing w:after="30"/>
              <w:jc w:val="center"/>
            </w:pPr>
            <w:r>
              <w:rPr>
                <w:b/>
                <w:bCs/>
                <w:i w:val="false"/>
                <w:iCs w:val="false"/>
                <w:color w:val="FFFFFF"/>
                <w:sz w:val="18"/>
                <w:szCs w:val="18"/>
              </w:rPr>
              <w:t xml:space="preserve">A</w:t>
            </w:r>
          </w:p>
        </w:tc>
        <w:tc>
          <w:tcPr>
            <w:tcW w:type="dxa" w:w="70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vAlign w:val="top"/>
          </w:tcPr>
          <w:p>
            <w:pPr>
              <w:spacing w:after="30"/>
              <w:jc w:val="center"/>
            </w:pPr>
            <w:r>
              <w:rPr>
                <w:b/>
                <w:bCs/>
                <w:i w:val="false"/>
                <w:iCs w:val="false"/>
                <w:color w:val="FFFFFF"/>
                <w:sz w:val="18"/>
                <w:szCs w:val="18"/>
              </w:rPr>
              <w:t xml:space="preserve">B</w:t>
            </w:r>
          </w:p>
        </w:tc>
        <w:tc>
          <w:tcPr>
            <w:tcW w:type="dxa" w:w="70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vAlign w:val="top"/>
          </w:tcPr>
          <w:p>
            <w:pPr>
              <w:spacing w:after="30"/>
              <w:jc w:val="center"/>
            </w:pPr>
            <w:r>
              <w:rPr>
                <w:b/>
                <w:bCs/>
                <w:i w:val="false"/>
                <w:iCs w:val="false"/>
                <w:color w:val="FFFFFF"/>
                <w:sz w:val="18"/>
                <w:szCs w:val="18"/>
              </w:rPr>
              <w:t xml:space="preserve">C</w:t>
            </w:r>
          </w:p>
        </w:tc>
        <w:tc>
          <w:tcPr>
            <w:tcW w:type="dxa" w:w="70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vAlign w:val="top"/>
          </w:tcPr>
          <w:p>
            <w:pPr>
              <w:spacing w:after="30"/>
              <w:jc w:val="center"/>
            </w:pPr>
            <w:r>
              <w:rPr>
                <w:b/>
                <w:bCs/>
                <w:i w:val="false"/>
                <w:iCs w:val="false"/>
                <w:color w:val="FFFFFF"/>
                <w:sz w:val="18"/>
                <w:szCs w:val="18"/>
              </w:rPr>
              <w:t xml:space="preserve">D</w:t>
            </w:r>
          </w:p>
        </w:tc>
        <w:tc>
          <w:tcPr>
            <w:tcW w:type="dxa" w:w="60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vAlign w:val="top"/>
          </w:tcPr>
          <w:p>
            <w:pPr>
              <w:spacing w:after="30"/>
              <w:jc w:val="center"/>
            </w:pPr>
            <w:r>
              <w:rPr>
                <w:b/>
                <w:bCs/>
                <w:i w:val="false"/>
                <w:iCs w:val="false"/>
                <w:color w:val="FFFFFF"/>
                <w:sz w:val="18"/>
                <w:szCs w:val="18"/>
              </w:rPr>
              <w:t xml:space="preserve">Total</w:t>
            </w:r>
          </w:p>
        </w:tc>
        <w:tc>
          <w:tcPr>
            <w:tcW w:type="dxa" w:w="1700"/>
            <w:tcBorders>
              <w:top w:val="single" w:color="CCCCCC" w:sz="4"/>
              <w:left w:val="single" w:color="CCCCCC" w:sz="4"/>
              <w:bottom w:val="single" w:color="CCCCCC" w:sz="4"/>
              <w:right w:val="single" w:color="CCCCCC" w:sz="4"/>
            </w:tcBorders>
            <w:shd w:fill="1F3A5F" w:val="clear"/>
            <w:tcMar>
              <w:top w:type="dxa" w:w="80"/>
              <w:left w:type="dxa" w:w="120"/>
              <w:bottom w:type="dxa" w:w="80"/>
              <w:right w:type="dxa" w:w="120"/>
            </w:tcMar>
            <w:vAlign w:val="top"/>
          </w:tcPr>
          <w:p>
            <w:pPr>
              <w:spacing w:after="30"/>
            </w:pPr>
            <w:r>
              <w:rPr>
                <w:b/>
                <w:bCs/>
                <w:i w:val="false"/>
                <w:iCs w:val="false"/>
                <w:color w:val="FFFFFF"/>
                <w:sz w:val="18"/>
                <w:szCs w:val="18"/>
              </w:rPr>
              <w:t xml:space="preserve">Verdict</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jc w:val="center"/>
            </w:pPr>
            <w:r>
              <w:rPr>
                <w:b/>
                <w:bCs/>
                <w:i w:val="false"/>
                <w:iCs w:val="false"/>
                <w:sz w:val="18"/>
                <w:szCs w:val="18"/>
              </w:rPr>
              <w:t xml:space="preserve">1</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pPr>
            <w:r>
              <w:rPr>
                <w:b/>
                <w:bCs/>
                <w:i w:val="false"/>
                <w:iCs w:val="false"/>
                <w:sz w:val="18"/>
                <w:szCs w:val="18"/>
              </w:rPr>
              <w:t xml:space="preserve">H6</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pPr>
            <w:r>
              <w:rPr>
                <w:b/>
                <w:bCs/>
                <w:i w:val="false"/>
                <w:iCs w:val="false"/>
                <w:sz w:val="18"/>
                <w:szCs w:val="18"/>
              </w:rPr>
              <w:t xml:space="preserve">Sub-industry leader-follower lead-lag</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jc w:val="center"/>
            </w:pPr>
            <w:r>
              <w:rPr>
                <w:b/>
                <w:bCs/>
                <w:i w:val="false"/>
                <w:iCs w:val="false"/>
                <w:sz w:val="18"/>
                <w:szCs w:val="18"/>
              </w:rPr>
              <w:t xml:space="preserve">9</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jc w:val="center"/>
            </w:pPr>
            <w:r>
              <w:rPr>
                <w:b/>
                <w:bCs/>
                <w:i w:val="false"/>
                <w:iCs w:val="false"/>
                <w:sz w:val="18"/>
                <w:szCs w:val="18"/>
              </w:rPr>
              <w:t xml:space="preserve">10</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jc w:val="center"/>
            </w:pPr>
            <w:r>
              <w:rPr>
                <w:b/>
                <w:bCs/>
                <w:i w:val="false"/>
                <w:iCs w:val="false"/>
                <w:sz w:val="18"/>
                <w:szCs w:val="18"/>
              </w:rPr>
              <w:t xml:space="preserve">9</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jc w:val="center"/>
            </w:pPr>
            <w:r>
              <w:rPr>
                <w:b/>
                <w:bCs/>
                <w:i w:val="false"/>
                <w:iCs w:val="false"/>
                <w:sz w:val="18"/>
                <w:szCs w:val="18"/>
              </w:rPr>
              <w:t xml:space="preserve">9</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jc w:val="center"/>
            </w:pPr>
            <w:r>
              <w:rPr>
                <w:b/>
                <w:bCs/>
                <w:i w:val="false"/>
                <w:iCs w:val="false"/>
                <w:sz w:val="18"/>
                <w:szCs w:val="18"/>
              </w:rPr>
              <w:t xml:space="preserve">9.3</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pPr>
            <w:r>
              <w:rPr>
                <w:b/>
                <w:bCs/>
                <w:i w:val="false"/>
                <w:iCs w:val="false"/>
                <w:sz w:val="18"/>
                <w:szCs w:val="18"/>
              </w:rPr>
              <w:t xml:space="preserve">FUND — submission centerpiece</w:t>
            </w:r>
          </w:p>
        </w:tc>
      </w:tr>
      <w:tr>
        <w:tc>
          <w:tcPr>
            <w:tcW w:type="dxa" w:w="5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vAlign w:val="top"/>
          </w:tcPr>
          <w:p>
            <w:pPr>
              <w:spacing w:after="30"/>
              <w:jc w:val="center"/>
            </w:pPr>
            <w:r>
              <w:rPr>
                <w:b/>
                <w:bCs/>
                <w:i w:val="false"/>
                <w:iCs w:val="false"/>
                <w:sz w:val="18"/>
                <w:szCs w:val="18"/>
              </w:rPr>
              <w:t xml:space="preserve">2</w:t>
            </w:r>
          </w:p>
        </w:tc>
        <w:tc>
          <w:tcPr>
            <w:tcW w:type="dxa" w:w="7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vAlign w:val="top"/>
          </w:tcPr>
          <w:p>
            <w:pPr>
              <w:spacing w:after="30"/>
            </w:pPr>
            <w:r>
              <w:rPr>
                <w:b/>
                <w:bCs/>
                <w:i w:val="false"/>
                <w:iCs w:val="false"/>
                <w:sz w:val="18"/>
                <w:szCs w:val="18"/>
              </w:rPr>
              <w:t xml:space="preserve">H9</w:t>
            </w:r>
          </w:p>
        </w:tc>
        <w:tc>
          <w:tcPr>
            <w:tcW w:type="dxa" w:w="30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vAlign w:val="top"/>
          </w:tcPr>
          <w:p>
            <w:pPr>
              <w:spacing w:after="30"/>
            </w:pPr>
            <w:r>
              <w:rPr>
                <w:b/>
                <w:bCs/>
                <w:i w:val="false"/>
                <w:iCs w:val="false"/>
                <w:sz w:val="18"/>
                <w:szCs w:val="18"/>
              </w:rPr>
              <w:t xml:space="preserve">Cross-tier industry catch-up</w:t>
            </w:r>
          </w:p>
        </w:tc>
        <w:tc>
          <w:tcPr>
            <w:tcW w:type="dxa" w:w="7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vAlign w:val="top"/>
          </w:tcPr>
          <w:p>
            <w:pPr>
              <w:spacing w:after="30"/>
              <w:jc w:val="center"/>
            </w:pPr>
            <w:r>
              <w:rPr>
                <w:b/>
                <w:bCs/>
                <w:i w:val="false"/>
                <w:iCs w:val="false"/>
                <w:sz w:val="18"/>
                <w:szCs w:val="18"/>
              </w:rPr>
              <w:t xml:space="preserve">10</w:t>
            </w:r>
          </w:p>
        </w:tc>
        <w:tc>
          <w:tcPr>
            <w:tcW w:type="dxa" w:w="7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vAlign w:val="top"/>
          </w:tcPr>
          <w:p>
            <w:pPr>
              <w:spacing w:after="30"/>
              <w:jc w:val="center"/>
            </w:pPr>
            <w:r>
              <w:rPr>
                <w:b/>
                <w:bCs/>
                <w:i w:val="false"/>
                <w:iCs w:val="false"/>
                <w:sz w:val="18"/>
                <w:szCs w:val="18"/>
              </w:rPr>
              <w:t xml:space="preserve">9</w:t>
            </w:r>
          </w:p>
        </w:tc>
        <w:tc>
          <w:tcPr>
            <w:tcW w:type="dxa" w:w="7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vAlign w:val="top"/>
          </w:tcPr>
          <w:p>
            <w:pPr>
              <w:spacing w:after="30"/>
              <w:jc w:val="center"/>
            </w:pPr>
            <w:r>
              <w:rPr>
                <w:b/>
                <w:bCs/>
                <w:i w:val="false"/>
                <w:iCs w:val="false"/>
                <w:sz w:val="18"/>
                <w:szCs w:val="18"/>
              </w:rPr>
              <w:t xml:space="preserve">9</w:t>
            </w:r>
          </w:p>
        </w:tc>
        <w:tc>
          <w:tcPr>
            <w:tcW w:type="dxa" w:w="7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vAlign w:val="top"/>
          </w:tcPr>
          <w:p>
            <w:pPr>
              <w:spacing w:after="30"/>
              <w:jc w:val="center"/>
            </w:pPr>
            <w:r>
              <w:rPr>
                <w:b/>
                <w:bCs/>
                <w:i w:val="false"/>
                <w:iCs w:val="false"/>
                <w:sz w:val="18"/>
                <w:szCs w:val="18"/>
              </w:rPr>
              <w:t xml:space="preserve">9</w:t>
            </w:r>
          </w:p>
        </w:tc>
        <w:tc>
          <w:tcPr>
            <w:tcW w:type="dxa" w:w="6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vAlign w:val="top"/>
          </w:tcPr>
          <w:p>
            <w:pPr>
              <w:spacing w:after="30"/>
              <w:jc w:val="center"/>
            </w:pPr>
            <w:r>
              <w:rPr>
                <w:b/>
                <w:bCs/>
                <w:i w:val="false"/>
                <w:iCs w:val="false"/>
                <w:sz w:val="18"/>
                <w:szCs w:val="18"/>
              </w:rPr>
              <w:t xml:space="preserve">9.3</w:t>
            </w:r>
          </w:p>
        </w:tc>
        <w:tc>
          <w:tcPr>
            <w:tcW w:type="dxa" w:w="17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vAlign w:val="top"/>
          </w:tcPr>
          <w:p>
            <w:pPr>
              <w:spacing w:after="30"/>
            </w:pPr>
            <w:r>
              <w:rPr>
                <w:b/>
                <w:bCs/>
                <w:i w:val="false"/>
                <w:iCs w:val="false"/>
                <w:sz w:val="18"/>
                <w:szCs w:val="18"/>
              </w:rPr>
              <w:t xml:space="preserve">Strong alt — most dataset-unique</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jc w:val="center"/>
            </w:pPr>
            <w:r>
              <w:rPr>
                <w:b w:val="false"/>
                <w:bCs w:val="false"/>
                <w:i w:val="false"/>
                <w:iCs w:val="false"/>
                <w:sz w:val="18"/>
                <w:szCs w:val="18"/>
              </w:rPr>
              <w:t xml:space="preserve">3</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pPr>
            <w:r>
              <w:rPr>
                <w:b w:val="false"/>
                <w:bCs w:val="false"/>
                <w:i w:val="false"/>
                <w:iCs w:val="false"/>
                <w:sz w:val="18"/>
                <w:szCs w:val="18"/>
              </w:rPr>
              <w:t xml:space="preserve">H1</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pPr>
            <w:r>
              <w:rPr>
                <w:b w:val="false"/>
                <w:bCs w:val="false"/>
                <w:i w:val="false"/>
                <w:iCs w:val="false"/>
                <w:sz w:val="18"/>
                <w:szCs w:val="18"/>
              </w:rPr>
              <w:t xml:space="preserve">Migration-imminence (cross-index promotion forecast)</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jc w:val="center"/>
            </w:pPr>
            <w:r>
              <w:rPr>
                <w:b w:val="false"/>
                <w:bCs w:val="false"/>
                <w:i w:val="false"/>
                <w:iCs w:val="false"/>
                <w:sz w:val="18"/>
                <w:szCs w:val="18"/>
              </w:rPr>
              <w:t xml:space="preserve">9</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jc w:val="center"/>
            </w:pPr>
            <w:r>
              <w:rPr>
                <w:b w:val="false"/>
                <w:bCs w:val="false"/>
                <w:i w:val="false"/>
                <w:iCs w:val="false"/>
                <w:sz w:val="18"/>
                <w:szCs w:val="18"/>
              </w:rPr>
              <w:t xml:space="preserve">8</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jc w:val="center"/>
            </w:pPr>
            <w:r>
              <w:rPr>
                <w:b w:val="false"/>
                <w:bCs w:val="false"/>
                <w:i w:val="false"/>
                <w:iCs w:val="false"/>
                <w:sz w:val="18"/>
                <w:szCs w:val="18"/>
              </w:rPr>
              <w:t xml:space="preserve">10</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jc w:val="center"/>
            </w:pPr>
            <w:r>
              <w:rPr>
                <w:b w:val="false"/>
                <w:bCs w:val="false"/>
                <w:i w:val="false"/>
                <w:iCs w:val="false"/>
                <w:sz w:val="18"/>
                <w:szCs w:val="18"/>
              </w:rPr>
              <w:t xml:space="preserve">9</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jc w:val="center"/>
            </w:pPr>
            <w:r>
              <w:rPr>
                <w:b w:val="false"/>
                <w:bCs w:val="false"/>
                <w:i w:val="false"/>
                <w:iCs w:val="false"/>
                <w:sz w:val="18"/>
                <w:szCs w:val="18"/>
              </w:rPr>
              <w:t xml:space="preserve">9.0</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pPr>
            <w:r>
              <w:rPr>
                <w:b w:val="false"/>
                <w:bCs w:val="false"/>
                <w:i w:val="false"/>
                <w:iCs w:val="false"/>
                <w:sz w:val="18"/>
                <w:szCs w:val="18"/>
              </w:rPr>
              <w:t xml:space="preserve">Sidecar — clever narrative</w:t>
            </w:r>
          </w:p>
        </w:tc>
      </w:tr>
      <w:tr>
        <w:tc>
          <w:tcPr>
            <w:tcW w:type="dxa" w:w="5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vAlign w:val="top"/>
          </w:tcPr>
          <w:p>
            <w:pPr>
              <w:spacing w:after="30"/>
              <w:jc w:val="center"/>
            </w:pPr>
            <w:r>
              <w:rPr>
                <w:b w:val="false"/>
                <w:bCs w:val="false"/>
                <w:i w:val="false"/>
                <w:iCs w:val="false"/>
                <w:sz w:val="18"/>
                <w:szCs w:val="18"/>
              </w:rPr>
              <w:t xml:space="preserve">4</w:t>
            </w:r>
          </w:p>
        </w:tc>
        <w:tc>
          <w:tcPr>
            <w:tcW w:type="dxa" w:w="7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vAlign w:val="top"/>
          </w:tcPr>
          <w:p>
            <w:pPr>
              <w:spacing w:after="30"/>
            </w:pPr>
            <w:r>
              <w:rPr>
                <w:b w:val="false"/>
                <w:bCs w:val="false"/>
                <w:i w:val="false"/>
                <w:iCs w:val="false"/>
                <w:sz w:val="18"/>
                <w:szCs w:val="18"/>
              </w:rPr>
              <w:t xml:space="preserve">H19</w:t>
            </w:r>
          </w:p>
        </w:tc>
        <w:tc>
          <w:tcPr>
            <w:tcW w:type="dxa" w:w="30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vAlign w:val="top"/>
          </w:tcPr>
          <w:p>
            <w:pPr>
              <w:spacing w:after="30"/>
            </w:pPr>
            <w:r>
              <w:rPr>
                <w:b w:val="false"/>
                <w:bCs w:val="false"/>
                <w:i w:val="false"/>
                <w:iCs w:val="false"/>
                <w:sz w:val="18"/>
                <w:szCs w:val="18"/>
              </w:rPr>
              <w:t xml:space="preserve">Off-rebal-window volume bursts</w:t>
            </w:r>
          </w:p>
        </w:tc>
        <w:tc>
          <w:tcPr>
            <w:tcW w:type="dxa" w:w="7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vAlign w:val="top"/>
          </w:tcPr>
          <w:p>
            <w:pPr>
              <w:spacing w:after="30"/>
              <w:jc w:val="center"/>
            </w:pPr>
            <w:r>
              <w:rPr>
                <w:b w:val="false"/>
                <w:bCs w:val="false"/>
                <w:i w:val="false"/>
                <w:iCs w:val="false"/>
                <w:sz w:val="18"/>
                <w:szCs w:val="18"/>
              </w:rPr>
              <w:t xml:space="preserve">8</w:t>
            </w:r>
          </w:p>
        </w:tc>
        <w:tc>
          <w:tcPr>
            <w:tcW w:type="dxa" w:w="7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vAlign w:val="top"/>
          </w:tcPr>
          <w:p>
            <w:pPr>
              <w:spacing w:after="30"/>
              <w:jc w:val="center"/>
            </w:pPr>
            <w:r>
              <w:rPr>
                <w:b w:val="false"/>
                <w:bCs w:val="false"/>
                <w:i w:val="false"/>
                <w:iCs w:val="false"/>
                <w:sz w:val="18"/>
                <w:szCs w:val="18"/>
              </w:rPr>
              <w:t xml:space="preserve">9</w:t>
            </w:r>
          </w:p>
        </w:tc>
        <w:tc>
          <w:tcPr>
            <w:tcW w:type="dxa" w:w="7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vAlign w:val="top"/>
          </w:tcPr>
          <w:p>
            <w:pPr>
              <w:spacing w:after="30"/>
              <w:jc w:val="center"/>
            </w:pPr>
            <w:r>
              <w:rPr>
                <w:b w:val="false"/>
                <w:bCs w:val="false"/>
                <w:i w:val="false"/>
                <w:iCs w:val="false"/>
                <w:sz w:val="18"/>
                <w:szCs w:val="18"/>
              </w:rPr>
              <w:t xml:space="preserve">9</w:t>
            </w:r>
          </w:p>
        </w:tc>
        <w:tc>
          <w:tcPr>
            <w:tcW w:type="dxa" w:w="7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vAlign w:val="top"/>
          </w:tcPr>
          <w:p>
            <w:pPr>
              <w:spacing w:after="30"/>
              <w:jc w:val="center"/>
            </w:pPr>
            <w:r>
              <w:rPr>
                <w:b w:val="false"/>
                <w:bCs w:val="false"/>
                <w:i w:val="false"/>
                <w:iCs w:val="false"/>
                <w:sz w:val="18"/>
                <w:szCs w:val="18"/>
              </w:rPr>
              <w:t xml:space="preserve">9</w:t>
            </w:r>
          </w:p>
        </w:tc>
        <w:tc>
          <w:tcPr>
            <w:tcW w:type="dxa" w:w="6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vAlign w:val="top"/>
          </w:tcPr>
          <w:p>
            <w:pPr>
              <w:spacing w:after="30"/>
              <w:jc w:val="center"/>
            </w:pPr>
            <w:r>
              <w:rPr>
                <w:b w:val="false"/>
                <w:bCs w:val="false"/>
                <w:i w:val="false"/>
                <w:iCs w:val="false"/>
                <w:sz w:val="18"/>
                <w:szCs w:val="18"/>
              </w:rPr>
              <w:t xml:space="preserve">8.8</w:t>
            </w:r>
          </w:p>
        </w:tc>
        <w:tc>
          <w:tcPr>
            <w:tcW w:type="dxa" w:w="17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vAlign w:val="top"/>
          </w:tcPr>
          <w:p>
            <w:pPr>
              <w:spacing w:after="30"/>
            </w:pPr>
            <w:r>
              <w:rPr>
                <w:b w:val="false"/>
                <w:bCs w:val="false"/>
                <w:i w:val="false"/>
                <w:iCs w:val="false"/>
                <w:sz w:val="18"/>
                <w:szCs w:val="18"/>
              </w:rPr>
              <w:t xml:space="preserve">Sidecar — distinctive framing</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jc w:val="center"/>
            </w:pPr>
            <w:r>
              <w:rPr>
                <w:b w:val="false"/>
                <w:bCs w:val="false"/>
                <w:i w:val="false"/>
                <w:iCs w:val="false"/>
                <w:sz w:val="18"/>
                <w:szCs w:val="18"/>
              </w:rPr>
              <w:t xml:space="preserve">5</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pPr>
            <w:r>
              <w:rPr>
                <w:b w:val="false"/>
                <w:bCs w:val="false"/>
                <w:i w:val="false"/>
                <w:iCs w:val="false"/>
                <w:sz w:val="18"/>
                <w:szCs w:val="18"/>
              </w:rPr>
              <w:t xml:space="preserve">H16</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pPr>
            <w:r>
              <w:rPr>
                <w:b w:val="false"/>
                <w:bCs w:val="false"/>
                <w:i w:val="false"/>
                <w:iCs w:val="false"/>
                <w:sz w:val="18"/>
                <w:szCs w:val="18"/>
              </w:rPr>
              <w:t xml:space="preserve">Within-sub-industry dollar-volume rank jumps</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jc w:val="center"/>
            </w:pPr>
            <w:r>
              <w:rPr>
                <w:b w:val="false"/>
                <w:bCs w:val="false"/>
                <w:i w:val="false"/>
                <w:iCs w:val="false"/>
                <w:sz w:val="18"/>
                <w:szCs w:val="18"/>
              </w:rPr>
              <w:t xml:space="preserve">9</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jc w:val="center"/>
            </w:pPr>
            <w:r>
              <w:rPr>
                <w:b w:val="false"/>
                <w:bCs w:val="false"/>
                <w:i w:val="false"/>
                <w:iCs w:val="false"/>
                <w:sz w:val="18"/>
                <w:szCs w:val="18"/>
              </w:rPr>
              <w:t xml:space="preserve">9</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jc w:val="center"/>
            </w:pPr>
            <w:r>
              <w:rPr>
                <w:b w:val="false"/>
                <w:bCs w:val="false"/>
                <w:i w:val="false"/>
                <w:iCs w:val="false"/>
                <w:sz w:val="18"/>
                <w:szCs w:val="18"/>
              </w:rPr>
              <w:t xml:space="preserve">8</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jc w:val="center"/>
            </w:pPr>
            <w:r>
              <w:rPr>
                <w:b w:val="false"/>
                <w:bCs w:val="false"/>
                <w:i w:val="false"/>
                <w:iCs w:val="false"/>
                <w:sz w:val="18"/>
                <w:szCs w:val="18"/>
              </w:rPr>
              <w:t xml:space="preserve">8</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jc w:val="center"/>
            </w:pPr>
            <w:r>
              <w:rPr>
                <w:b w:val="false"/>
                <w:bCs w:val="false"/>
                <w:i w:val="false"/>
                <w:iCs w:val="false"/>
                <w:sz w:val="18"/>
                <w:szCs w:val="18"/>
              </w:rPr>
              <w:t xml:space="preserve">8.5</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pPr>
            <w:r>
              <w:rPr>
                <w:b w:val="false"/>
                <w:bCs w:val="false"/>
                <w:i w:val="false"/>
                <w:iCs w:val="false"/>
                <w:sz w:val="18"/>
                <w:szCs w:val="18"/>
              </w:rPr>
              <w:t xml:space="preserve">Strong but lower capacity story</w:t>
            </w:r>
          </w:p>
        </w:tc>
      </w:tr>
      <w:tr>
        <w:tc>
          <w:tcPr>
            <w:tcW w:type="dxa" w:w="5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vAlign w:val="top"/>
          </w:tcPr>
          <w:p>
            <w:pPr>
              <w:spacing w:after="30"/>
              <w:jc w:val="center"/>
            </w:pPr>
            <w:r>
              <w:rPr>
                <w:b w:val="false"/>
                <w:bCs w:val="false"/>
                <w:i w:val="false"/>
                <w:iCs w:val="false"/>
                <w:sz w:val="18"/>
                <w:szCs w:val="18"/>
              </w:rPr>
              <w:t xml:space="preserve">6</w:t>
            </w:r>
          </w:p>
        </w:tc>
        <w:tc>
          <w:tcPr>
            <w:tcW w:type="dxa" w:w="7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vAlign w:val="top"/>
          </w:tcPr>
          <w:p>
            <w:pPr>
              <w:spacing w:after="30"/>
            </w:pPr>
            <w:r>
              <w:rPr>
                <w:b w:val="false"/>
                <w:bCs w:val="false"/>
                <w:i w:val="false"/>
                <w:iCs w:val="false"/>
                <w:sz w:val="18"/>
                <w:szCs w:val="18"/>
              </w:rPr>
              <w:t xml:space="preserve">H21</w:t>
            </w:r>
          </w:p>
        </w:tc>
        <w:tc>
          <w:tcPr>
            <w:tcW w:type="dxa" w:w="30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vAlign w:val="top"/>
          </w:tcPr>
          <w:p>
            <w:pPr>
              <w:spacing w:after="30"/>
            </w:pPr>
            <w:r>
              <w:rPr>
                <w:b w:val="false"/>
                <w:bCs w:val="false"/>
                <w:i w:val="false"/>
                <w:iCs w:val="false"/>
                <w:sz w:val="18"/>
                <w:szCs w:val="18"/>
              </w:rPr>
              <w:t xml:space="preserve">Within-sub-industry residual momentum</w:t>
            </w:r>
          </w:p>
        </w:tc>
        <w:tc>
          <w:tcPr>
            <w:tcW w:type="dxa" w:w="7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vAlign w:val="top"/>
          </w:tcPr>
          <w:p>
            <w:pPr>
              <w:spacing w:after="30"/>
              <w:jc w:val="center"/>
            </w:pPr>
            <w:r>
              <w:rPr>
                <w:b w:val="false"/>
                <w:bCs w:val="false"/>
                <w:i w:val="false"/>
                <w:iCs w:val="false"/>
                <w:sz w:val="18"/>
                <w:szCs w:val="18"/>
              </w:rPr>
              <w:t xml:space="preserve">8</w:t>
            </w:r>
          </w:p>
        </w:tc>
        <w:tc>
          <w:tcPr>
            <w:tcW w:type="dxa" w:w="7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vAlign w:val="top"/>
          </w:tcPr>
          <w:p>
            <w:pPr>
              <w:spacing w:after="30"/>
              <w:jc w:val="center"/>
            </w:pPr>
            <w:r>
              <w:rPr>
                <w:b w:val="false"/>
                <w:bCs w:val="false"/>
                <w:i w:val="false"/>
                <w:iCs w:val="false"/>
                <w:sz w:val="18"/>
                <w:szCs w:val="18"/>
              </w:rPr>
              <w:t xml:space="preserve">10</w:t>
            </w:r>
          </w:p>
        </w:tc>
        <w:tc>
          <w:tcPr>
            <w:tcW w:type="dxa" w:w="7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vAlign w:val="top"/>
          </w:tcPr>
          <w:p>
            <w:pPr>
              <w:spacing w:after="30"/>
              <w:jc w:val="center"/>
            </w:pPr>
            <w:r>
              <w:rPr>
                <w:b w:val="false"/>
                <w:bCs w:val="false"/>
                <w:i w:val="false"/>
                <w:iCs w:val="false"/>
                <w:sz w:val="18"/>
                <w:szCs w:val="18"/>
              </w:rPr>
              <w:t xml:space="preserve">7</w:t>
            </w:r>
          </w:p>
        </w:tc>
        <w:tc>
          <w:tcPr>
            <w:tcW w:type="dxa" w:w="7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vAlign w:val="top"/>
          </w:tcPr>
          <w:p>
            <w:pPr>
              <w:spacing w:after="30"/>
              <w:jc w:val="center"/>
            </w:pPr>
            <w:r>
              <w:rPr>
                <w:b w:val="false"/>
                <w:bCs w:val="false"/>
                <w:i w:val="false"/>
                <w:iCs w:val="false"/>
                <w:sz w:val="18"/>
                <w:szCs w:val="18"/>
              </w:rPr>
              <w:t xml:space="preserve">7</w:t>
            </w:r>
          </w:p>
        </w:tc>
        <w:tc>
          <w:tcPr>
            <w:tcW w:type="dxa" w:w="6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vAlign w:val="top"/>
          </w:tcPr>
          <w:p>
            <w:pPr>
              <w:spacing w:after="30"/>
              <w:jc w:val="center"/>
            </w:pPr>
            <w:r>
              <w:rPr>
                <w:b w:val="false"/>
                <w:bCs w:val="false"/>
                <w:i w:val="false"/>
                <w:iCs w:val="false"/>
                <w:sz w:val="18"/>
                <w:szCs w:val="18"/>
              </w:rPr>
              <w:t xml:space="preserve">8.0</w:t>
            </w:r>
          </w:p>
        </w:tc>
        <w:tc>
          <w:tcPr>
            <w:tcW w:type="dxa" w:w="17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vAlign w:val="top"/>
          </w:tcPr>
          <w:p>
            <w:pPr>
              <w:spacing w:after="30"/>
            </w:pPr>
            <w:r>
              <w:rPr>
                <w:b w:val="false"/>
                <w:bCs w:val="false"/>
                <w:i w:val="false"/>
                <w:iCs w:val="false"/>
                <w:sz w:val="18"/>
                <w:szCs w:val="18"/>
              </w:rPr>
              <w:t xml:space="preserve">Useful baseline — see notes</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jc w:val="center"/>
            </w:pPr>
            <w:r>
              <w:rPr>
                <w:b w:val="false"/>
                <w:bCs w:val="false"/>
                <w:i w:val="false"/>
                <w:iCs w:val="false"/>
                <w:sz w:val="18"/>
                <w:szCs w:val="18"/>
              </w:rPr>
              <w:t xml:space="preserve">7</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pPr>
            <w:r>
              <w:rPr>
                <w:b w:val="false"/>
                <w:bCs w:val="false"/>
                <w:i w:val="false"/>
                <w:iCs w:val="false"/>
                <w:sz w:val="18"/>
                <w:szCs w:val="18"/>
              </w:rPr>
              <w:t xml:space="preserve">H20</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pPr>
            <w:r>
              <w:rPr>
                <w:b w:val="false"/>
                <w:bCs w:val="false"/>
                <w:i w:val="false"/>
                <w:iCs w:val="false"/>
                <w:sz w:val="18"/>
                <w:szCs w:val="18"/>
              </w:rPr>
              <w:t xml:space="preserve">Peer-correlation breaks within sub-industry</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jc w:val="center"/>
            </w:pPr>
            <w:r>
              <w:rPr>
                <w:b w:val="false"/>
                <w:bCs w:val="false"/>
                <w:i w:val="false"/>
                <w:iCs w:val="false"/>
                <w:sz w:val="18"/>
                <w:szCs w:val="18"/>
              </w:rPr>
              <w:t xml:space="preserve">8</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jc w:val="center"/>
            </w:pPr>
            <w:r>
              <w:rPr>
                <w:b w:val="false"/>
                <w:bCs w:val="false"/>
                <w:i w:val="false"/>
                <w:iCs w:val="false"/>
                <w:sz w:val="18"/>
                <w:szCs w:val="18"/>
              </w:rPr>
              <w:t xml:space="preserve">9</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jc w:val="center"/>
            </w:pPr>
            <w:r>
              <w:rPr>
                <w:b w:val="false"/>
                <w:bCs w:val="false"/>
                <w:i w:val="false"/>
                <w:iCs w:val="false"/>
                <w:sz w:val="18"/>
                <w:szCs w:val="18"/>
              </w:rPr>
              <w:t xml:space="preserve">8</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jc w:val="center"/>
            </w:pPr>
            <w:r>
              <w:rPr>
                <w:b w:val="false"/>
                <w:bCs w:val="false"/>
                <w:i w:val="false"/>
                <w:iCs w:val="false"/>
                <w:sz w:val="18"/>
                <w:szCs w:val="18"/>
              </w:rPr>
              <w:t xml:space="preserve">7</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jc w:val="center"/>
            </w:pPr>
            <w:r>
              <w:rPr>
                <w:b w:val="false"/>
                <w:bCs w:val="false"/>
                <w:i w:val="false"/>
                <w:iCs w:val="false"/>
                <w:sz w:val="18"/>
                <w:szCs w:val="18"/>
              </w:rPr>
              <w:t xml:space="preserve">8.0</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pPr>
            <w:r>
              <w:rPr>
                <w:b w:val="false"/>
                <w:bCs w:val="false"/>
                <w:i w:val="false"/>
                <w:iCs w:val="false"/>
                <w:sz w:val="18"/>
                <w:szCs w:val="18"/>
              </w:rPr>
              <w:t xml:space="preserve">Pair-trading craft showcase</w:t>
            </w:r>
          </w:p>
        </w:tc>
      </w:tr>
      <w:tr>
        <w:tc>
          <w:tcPr>
            <w:tcW w:type="dxa" w:w="5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vAlign w:val="top"/>
          </w:tcPr>
          <w:p>
            <w:pPr>
              <w:spacing w:after="30"/>
              <w:jc w:val="center"/>
            </w:pPr>
            <w:r>
              <w:rPr>
                <w:b w:val="false"/>
                <w:bCs w:val="false"/>
                <w:i w:val="false"/>
                <w:iCs w:val="false"/>
                <w:sz w:val="18"/>
                <w:szCs w:val="18"/>
              </w:rPr>
              <w:t xml:space="preserve">8</w:t>
            </w:r>
          </w:p>
        </w:tc>
        <w:tc>
          <w:tcPr>
            <w:tcW w:type="dxa" w:w="7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vAlign w:val="top"/>
          </w:tcPr>
          <w:p>
            <w:pPr>
              <w:spacing w:after="30"/>
            </w:pPr>
            <w:r>
              <w:rPr>
                <w:b w:val="false"/>
                <w:bCs w:val="false"/>
                <w:i w:val="false"/>
                <w:iCs w:val="false"/>
                <w:sz w:val="18"/>
                <w:szCs w:val="18"/>
              </w:rPr>
              <w:t xml:space="preserve">H8</w:t>
            </w:r>
          </w:p>
        </w:tc>
        <w:tc>
          <w:tcPr>
            <w:tcW w:type="dxa" w:w="30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vAlign w:val="top"/>
          </w:tcPr>
          <w:p>
            <w:pPr>
              <w:spacing w:after="30"/>
            </w:pPr>
            <w:r>
              <w:rPr>
                <w:b w:val="false"/>
                <w:bCs w:val="false"/>
                <w:i w:val="false"/>
                <w:iCs w:val="false"/>
                <w:sz w:val="18"/>
                <w:szCs w:val="18"/>
              </w:rPr>
              <w:t xml:space="preserve">Adjacent-industry-group pair mean-reversion</w:t>
            </w:r>
          </w:p>
        </w:tc>
        <w:tc>
          <w:tcPr>
            <w:tcW w:type="dxa" w:w="7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vAlign w:val="top"/>
          </w:tcPr>
          <w:p>
            <w:pPr>
              <w:spacing w:after="30"/>
              <w:jc w:val="center"/>
            </w:pPr>
            <w:r>
              <w:rPr>
                <w:b w:val="false"/>
                <w:bCs w:val="false"/>
                <w:i w:val="false"/>
                <w:iCs w:val="false"/>
                <w:sz w:val="18"/>
                <w:szCs w:val="18"/>
              </w:rPr>
              <w:t xml:space="preserve">7</w:t>
            </w:r>
          </w:p>
        </w:tc>
        <w:tc>
          <w:tcPr>
            <w:tcW w:type="dxa" w:w="7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vAlign w:val="top"/>
          </w:tcPr>
          <w:p>
            <w:pPr>
              <w:spacing w:after="30"/>
              <w:jc w:val="center"/>
            </w:pPr>
            <w:r>
              <w:rPr>
                <w:b w:val="false"/>
                <w:bCs w:val="false"/>
                <w:i w:val="false"/>
                <w:iCs w:val="false"/>
                <w:sz w:val="18"/>
                <w:szCs w:val="18"/>
              </w:rPr>
              <w:t xml:space="preserve">8</w:t>
            </w:r>
          </w:p>
        </w:tc>
        <w:tc>
          <w:tcPr>
            <w:tcW w:type="dxa" w:w="7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vAlign w:val="top"/>
          </w:tcPr>
          <w:p>
            <w:pPr>
              <w:spacing w:after="30"/>
              <w:jc w:val="center"/>
            </w:pPr>
            <w:r>
              <w:rPr>
                <w:b w:val="false"/>
                <w:bCs w:val="false"/>
                <w:i w:val="false"/>
                <w:iCs w:val="false"/>
                <w:sz w:val="18"/>
                <w:szCs w:val="18"/>
              </w:rPr>
              <w:t xml:space="preserve">8</w:t>
            </w:r>
          </w:p>
        </w:tc>
        <w:tc>
          <w:tcPr>
            <w:tcW w:type="dxa" w:w="7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vAlign w:val="top"/>
          </w:tcPr>
          <w:p>
            <w:pPr>
              <w:spacing w:after="30"/>
              <w:jc w:val="center"/>
            </w:pPr>
            <w:r>
              <w:rPr>
                <w:b w:val="false"/>
                <w:bCs w:val="false"/>
                <w:i w:val="false"/>
                <w:iCs w:val="false"/>
                <w:sz w:val="18"/>
                <w:szCs w:val="18"/>
              </w:rPr>
              <w:t xml:space="preserve">8</w:t>
            </w:r>
          </w:p>
        </w:tc>
        <w:tc>
          <w:tcPr>
            <w:tcW w:type="dxa" w:w="6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vAlign w:val="top"/>
          </w:tcPr>
          <w:p>
            <w:pPr>
              <w:spacing w:after="30"/>
              <w:jc w:val="center"/>
            </w:pPr>
            <w:r>
              <w:rPr>
                <w:b w:val="false"/>
                <w:bCs w:val="false"/>
                <w:i w:val="false"/>
                <w:iCs w:val="false"/>
                <w:sz w:val="18"/>
                <w:szCs w:val="18"/>
              </w:rPr>
              <w:t xml:space="preserve">7.8</w:t>
            </w:r>
          </w:p>
        </w:tc>
        <w:tc>
          <w:tcPr>
            <w:tcW w:type="dxa" w:w="17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vAlign w:val="top"/>
          </w:tcPr>
          <w:p>
            <w:pPr>
              <w:spacing w:after="30"/>
            </w:pPr>
            <w:r>
              <w:rPr>
                <w:b w:val="false"/>
                <w:bCs w:val="false"/>
                <w:i w:val="false"/>
                <w:iCs w:val="false"/>
                <w:sz w:val="18"/>
                <w:szCs w:val="18"/>
              </w:rPr>
              <w:t xml:space="preserve">Hand-curated pair list = good judgment</w:t>
            </w:r>
          </w:p>
        </w:tc>
      </w:tr>
      <w:tr>
        <w:tc>
          <w:tcPr>
            <w:tcW w:type="dxa" w:w="5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jc w:val="center"/>
            </w:pPr>
            <w:r>
              <w:rPr>
                <w:b w:val="false"/>
                <w:bCs w:val="false"/>
                <w:i w:val="false"/>
                <w:iCs w:val="false"/>
                <w:sz w:val="18"/>
                <w:szCs w:val="18"/>
              </w:rPr>
              <w:t xml:space="preserve">9</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pPr>
            <w:r>
              <w:rPr>
                <w:b w:val="false"/>
                <w:bCs w:val="false"/>
                <w:i w:val="false"/>
                <w:iCs w:val="false"/>
                <w:sz w:val="18"/>
                <w:szCs w:val="18"/>
              </w:rPr>
              <w:t xml:space="preserve">H7</w:t>
            </w:r>
          </w:p>
        </w:tc>
        <w:tc>
          <w:tcPr>
            <w:tcW w:type="dxa" w:w="306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pPr>
            <w:r>
              <w:rPr>
                <w:b w:val="false"/>
                <w:bCs w:val="false"/>
                <w:i w:val="false"/>
                <w:iCs w:val="false"/>
                <w:sz w:val="18"/>
                <w:szCs w:val="18"/>
              </w:rPr>
              <w:t xml:space="preserve">Sub-industry dispersion mean-reversion</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jc w:val="center"/>
            </w:pPr>
            <w:r>
              <w:rPr>
                <w:b w:val="false"/>
                <w:bCs w:val="false"/>
                <w:i w:val="false"/>
                <w:iCs w:val="false"/>
                <w:sz w:val="18"/>
                <w:szCs w:val="18"/>
              </w:rPr>
              <w:t xml:space="preserve">8</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jc w:val="center"/>
            </w:pPr>
            <w:r>
              <w:rPr>
                <w:b w:val="false"/>
                <w:bCs w:val="false"/>
                <w:i w:val="false"/>
                <w:iCs w:val="false"/>
                <w:sz w:val="18"/>
                <w:szCs w:val="18"/>
              </w:rPr>
              <w:t xml:space="preserve">8</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jc w:val="center"/>
            </w:pPr>
            <w:r>
              <w:rPr>
                <w:b w:val="false"/>
                <w:bCs w:val="false"/>
                <w:i w:val="false"/>
                <w:iCs w:val="false"/>
                <w:sz w:val="18"/>
                <w:szCs w:val="18"/>
              </w:rPr>
              <w:t xml:space="preserve">7</w:t>
            </w:r>
          </w:p>
        </w:tc>
        <w:tc>
          <w:tcPr>
            <w:tcW w:type="dxa" w:w="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jc w:val="center"/>
            </w:pPr>
            <w:r>
              <w:rPr>
                <w:b w:val="false"/>
                <w:bCs w:val="false"/>
                <w:i w:val="false"/>
                <w:iCs w:val="false"/>
                <w:sz w:val="18"/>
                <w:szCs w:val="18"/>
              </w:rPr>
              <w:t xml:space="preserve">7</w:t>
            </w:r>
          </w:p>
        </w:tc>
        <w:tc>
          <w:tcPr>
            <w:tcW w:type="dxa" w:w="6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jc w:val="center"/>
            </w:pPr>
            <w:r>
              <w:rPr>
                <w:b w:val="false"/>
                <w:bCs w:val="false"/>
                <w:i w:val="false"/>
                <w:iCs w:val="false"/>
                <w:sz w:val="18"/>
                <w:szCs w:val="18"/>
              </w:rPr>
              <w:t xml:space="preserve">7.5</w:t>
            </w:r>
          </w:p>
        </w:tc>
        <w:tc>
          <w:tcPr>
            <w:tcW w:type="dxa" w:w="1700"/>
            <w:tcBorders>
              <w:top w:val="single" w:color="CCCCCC" w:sz="4"/>
              <w:left w:val="single" w:color="CCCCCC" w:sz="4"/>
              <w:bottom w:val="single" w:color="CCCCCC" w:sz="4"/>
              <w:right w:val="single" w:color="CCCCCC" w:sz="4"/>
            </w:tcBorders>
            <w:tcMar>
              <w:top w:type="dxa" w:w="80"/>
              <w:left w:type="dxa" w:w="120"/>
              <w:bottom w:type="dxa" w:w="80"/>
              <w:right w:type="dxa" w:w="120"/>
            </w:tcMar>
            <w:vAlign w:val="top"/>
          </w:tcPr>
          <w:p>
            <w:pPr>
              <w:spacing w:after="30"/>
            </w:pPr>
            <w:r>
              <w:rPr>
                <w:b w:val="false"/>
                <w:bCs w:val="false"/>
                <w:i w:val="false"/>
                <w:iCs w:val="false"/>
                <w:sz w:val="18"/>
                <w:szCs w:val="18"/>
              </w:rPr>
              <w:t xml:space="preserve">Statistical reasoning showcase</w:t>
            </w:r>
          </w:p>
        </w:tc>
      </w:tr>
      <w:tr>
        <w:tc>
          <w:tcPr>
            <w:tcW w:type="dxa" w:w="5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vAlign w:val="top"/>
          </w:tcPr>
          <w:p>
            <w:pPr>
              <w:spacing w:after="30"/>
              <w:jc w:val="center"/>
            </w:pPr>
            <w:r>
              <w:rPr>
                <w:b w:val="false"/>
                <w:bCs w:val="false"/>
                <w:i w:val="false"/>
                <w:iCs w:val="false"/>
                <w:sz w:val="18"/>
                <w:szCs w:val="18"/>
              </w:rPr>
              <w:t xml:space="preserve">10</w:t>
            </w:r>
          </w:p>
        </w:tc>
        <w:tc>
          <w:tcPr>
            <w:tcW w:type="dxa" w:w="7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vAlign w:val="top"/>
          </w:tcPr>
          <w:p>
            <w:pPr>
              <w:spacing w:after="30"/>
            </w:pPr>
            <w:r>
              <w:rPr>
                <w:b w:val="false"/>
                <w:bCs w:val="false"/>
                <w:i w:val="false"/>
                <w:iCs w:val="false"/>
                <w:sz w:val="18"/>
                <w:szCs w:val="18"/>
              </w:rPr>
              <w:t xml:space="preserve">H3</w:t>
            </w:r>
          </w:p>
        </w:tc>
        <w:tc>
          <w:tcPr>
            <w:tcW w:type="dxa" w:w="306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vAlign w:val="top"/>
          </w:tcPr>
          <w:p>
            <w:pPr>
              <w:spacing w:after="30"/>
            </w:pPr>
            <w:r>
              <w:rPr>
                <w:b w:val="false"/>
                <w:bCs w:val="false"/>
                <w:i w:val="false"/>
                <w:iCs w:val="false"/>
                <w:sz w:val="18"/>
                <w:szCs w:val="18"/>
              </w:rPr>
              <w:t xml:space="preserve">Demotion overreaction reversal</w:t>
            </w:r>
          </w:p>
        </w:tc>
        <w:tc>
          <w:tcPr>
            <w:tcW w:type="dxa" w:w="7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vAlign w:val="top"/>
          </w:tcPr>
          <w:p>
            <w:pPr>
              <w:spacing w:after="30"/>
              <w:jc w:val="center"/>
            </w:pPr>
            <w:r>
              <w:rPr>
                <w:b w:val="false"/>
                <w:bCs w:val="false"/>
                <w:i w:val="false"/>
                <w:iCs w:val="false"/>
                <w:sz w:val="18"/>
                <w:szCs w:val="18"/>
              </w:rPr>
              <w:t xml:space="preserve">7</w:t>
            </w:r>
          </w:p>
        </w:tc>
        <w:tc>
          <w:tcPr>
            <w:tcW w:type="dxa" w:w="7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vAlign w:val="top"/>
          </w:tcPr>
          <w:p>
            <w:pPr>
              <w:spacing w:after="30"/>
              <w:jc w:val="center"/>
            </w:pPr>
            <w:r>
              <w:rPr>
                <w:b w:val="false"/>
                <w:bCs w:val="false"/>
                <w:i w:val="false"/>
                <w:iCs w:val="false"/>
                <w:sz w:val="18"/>
                <w:szCs w:val="18"/>
              </w:rPr>
              <w:t xml:space="preserve">7</w:t>
            </w:r>
          </w:p>
        </w:tc>
        <w:tc>
          <w:tcPr>
            <w:tcW w:type="dxa" w:w="7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vAlign w:val="top"/>
          </w:tcPr>
          <w:p>
            <w:pPr>
              <w:spacing w:after="30"/>
              <w:jc w:val="center"/>
            </w:pPr>
            <w:r>
              <w:rPr>
                <w:b w:val="false"/>
                <w:bCs w:val="false"/>
                <w:i w:val="false"/>
                <w:iCs w:val="false"/>
                <w:sz w:val="18"/>
                <w:szCs w:val="18"/>
              </w:rPr>
              <w:t xml:space="preserve">9</w:t>
            </w:r>
          </w:p>
        </w:tc>
        <w:tc>
          <w:tcPr>
            <w:tcW w:type="dxa" w:w="7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vAlign w:val="top"/>
          </w:tcPr>
          <w:p>
            <w:pPr>
              <w:spacing w:after="30"/>
              <w:jc w:val="center"/>
            </w:pPr>
            <w:r>
              <w:rPr>
                <w:b w:val="false"/>
                <w:bCs w:val="false"/>
                <w:i w:val="false"/>
                <w:iCs w:val="false"/>
                <w:sz w:val="18"/>
                <w:szCs w:val="18"/>
              </w:rPr>
              <w:t xml:space="preserve">7</w:t>
            </w:r>
          </w:p>
        </w:tc>
        <w:tc>
          <w:tcPr>
            <w:tcW w:type="dxa" w:w="6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vAlign w:val="top"/>
          </w:tcPr>
          <w:p>
            <w:pPr>
              <w:spacing w:after="30"/>
              <w:jc w:val="center"/>
            </w:pPr>
            <w:r>
              <w:rPr>
                <w:b w:val="false"/>
                <w:bCs w:val="false"/>
                <w:i w:val="false"/>
                <w:iCs w:val="false"/>
                <w:sz w:val="18"/>
                <w:szCs w:val="18"/>
              </w:rPr>
              <w:t xml:space="preserve">7.5</w:t>
            </w:r>
          </w:p>
        </w:tc>
        <w:tc>
          <w:tcPr>
            <w:tcW w:type="dxa" w:w="1700"/>
            <w:tcBorders>
              <w:top w:val="single" w:color="CCCCCC" w:sz="4"/>
              <w:left w:val="single" w:color="CCCCCC" w:sz="4"/>
              <w:bottom w:val="single" w:color="CCCCCC" w:sz="4"/>
              <w:right w:val="single" w:color="CCCCCC" w:sz="4"/>
            </w:tcBorders>
            <w:shd w:fill="F7F9FC" w:val="clear"/>
            <w:tcMar>
              <w:top w:type="dxa" w:w="80"/>
              <w:left w:type="dxa" w:w="120"/>
              <w:bottom w:type="dxa" w:w="80"/>
              <w:right w:type="dxa" w:w="120"/>
            </w:tcMar>
            <w:vAlign w:val="top"/>
          </w:tcPr>
          <w:p>
            <w:pPr>
              <w:spacing w:after="30"/>
            </w:pPr>
            <w:r>
              <w:rPr>
                <w:b w:val="false"/>
                <w:bCs w:val="false"/>
                <w:i w:val="false"/>
                <w:iCs w:val="false"/>
                <w:sz w:val="18"/>
                <w:szCs w:val="18"/>
              </w:rPr>
              <w:t xml:space="preserve">Event-study craft showcase</w:t>
            </w:r>
          </w:p>
        </w:tc>
      </w:tr>
    </w:tbl>
    <w:p>
      <w:pPr>
        <w:spacing w:after="100"/>
      </w:pPr>
      <w:r>
        <w:rPr>
          <w:b w:val="false"/>
          <w:bCs w:val="false"/>
          <w:i w:val="false"/>
          <w:iCs w:val="false"/>
          <w:sz w:val="22"/>
          <w:szCs w:val="22"/>
        </w:rPr>
        <w:t xml:space="preserve"/>
      </w:r>
    </w:p>
    <w:p>
      <w:pPr>
        <w:spacing w:after="100"/>
      </w:pPr>
      <w:r>
        <w:rPr>
          <w:b w:val="false"/>
          <w:bCs w:val="false"/>
          <w:i w:val="false"/>
          <w:iCs w:val="false"/>
          <w:sz w:val="22"/>
          <w:szCs w:val="22"/>
        </w:rPr>
        <w:t xml:space="preserve">Axis legend: A = Research process showcase, B = Robustness test surface, C = Narrative arc, D = PM interest. The top two ideas tie at 9.3 — H6 wins the tie-break for cleaner data quality at the sub-industry level and a tighter portable writeup. The notes below explain each placement and what the idea uniquely demonstrates.</w:t>
      </w:r>
    </w:p>
    <w:p>
      <w:r>
        <w:br w:type="page"/>
      </w:r>
    </w:p>
    <w:p>
      <w:pPr>
        <w:pStyle w:val="Heading1"/>
      </w:pPr>
      <w:r>
        <w:rPr>
          <w:b w:val="false"/>
          <w:bCs w:val="false"/>
          <w:i w:val="false"/>
          <w:iCs w:val="false"/>
          <w:sz w:val="22"/>
          <w:szCs w:val="22"/>
        </w:rPr>
        <w:t xml:space="preserve">4. Per-hypothesis justification — what each top-10 idea demonstrates and why it placed there</w:t>
      </w:r>
    </w:p>
    <w:p>
      <w:pPr>
        <w:pStyle w:val="Heading2"/>
      </w:pPr>
      <w:r>
        <w:rPr>
          <w:b w:val="false"/>
          <w:bCs w:val="false"/>
          <w:i w:val="false"/>
          <w:iCs w:val="false"/>
          <w:sz w:val="22"/>
          <w:szCs w:val="22"/>
        </w:rPr>
        <w:t xml:space="preserve">#1 — H6: Sub-industry leader-follower lead-lag</w:t>
      </w:r>
    </w:p>
    <w:p>
      <w:pPr>
        <w:spacing w:after="100"/>
      </w:pPr>
      <w:r>
        <w:rPr>
          <w:b w:val="false"/>
          <w:bCs w:val="false"/>
          <w:i w:val="false"/>
          <w:iCs w:val="false"/>
          <w:sz w:val="22"/>
          <w:szCs w:val="22"/>
        </w:rPr>
        <w:t xml:space="preserve">This is the centerpiece. The reason it tops the showcase ranking is that every axis is satisfied without forcing it: the research process has 8+ defensible steps, the robustness surface has 10+ knobs to sweep, the story is a clean three-act detective narrative, and PMs at multimanager pods are conditioned to find lead-lag signals interesting because the mechanism is structural and the implementation is non-trivial.</w:t>
      </w:r>
    </w:p>
    <w:p>
      <w:pPr>
        <w:pStyle w:val="Heading4"/>
      </w:pPr>
      <w:r>
        <w:rPr>
          <w:b w:val="false"/>
          <w:bCs w:val="false"/>
          <w:i w:val="false"/>
          <w:iCs w:val="false"/>
          <w:sz w:val="22"/>
          <w:szCs w:val="22"/>
        </w:rPr>
        <w:t xml:space="preserve">What it demonstrates about you</w:t>
      </w:r>
    </w:p>
    <w:p>
      <w:pPr>
        <w:spacing w:after="100"/>
      </w:pPr>
      <w:r>
        <w:rPr>
          <w:b w:val="false"/>
          <w:bCs w:val="false"/>
          <w:i w:val="false"/>
          <w:iCs w:val="false"/>
          <w:sz w:val="22"/>
          <w:szCs w:val="22"/>
        </w:rPr>
        <w:t xml:space="preserve">Cross-sectional thinking, residual-return engineering (de-betaing single names against a benchmark), peer-group construction (identifying the leader within each GICS Sub-Industry), and event-study methodology (the lead-lag cross-correlation function). It also signals that you understand why a clean signal matters more than a fancy one — the leader-follower pattern is intuitive, falsifiable, and well-suited to interview defense.</w:t>
      </w:r>
    </w:p>
    <w:p>
      <w:pPr>
        <w:pStyle w:val="Heading4"/>
      </w:pPr>
      <w:r>
        <w:rPr>
          <w:b w:val="false"/>
          <w:bCs w:val="false"/>
          <w:i w:val="false"/>
          <w:iCs w:val="false"/>
          <w:sz w:val="22"/>
          <w:szCs w:val="22"/>
        </w:rPr>
        <w:t xml:space="preserve">The story you tell in three acts</w:t>
      </w:r>
    </w:p>
    <w:p>
      <w:pPr>
        <w:spacing w:after="100"/>
      </w:pPr>
      <w:r>
        <w:rPr>
          <w:b w:val="false"/>
          <w:bCs w:val="false"/>
          <w:i w:val="false"/>
          <w:iCs w:val="false"/>
          <w:sz w:val="22"/>
          <w:szCs w:val="22"/>
        </w:rPr>
        <w:t xml:space="preserve">Act 1: Within each GICS Sub-Industry there is typically a single cap-weighted leader that absorbs the bulk of sell-side coverage, passive flow, and analyst attention. Act 2: After de-betaing each name's daily return against its sector ETF (XLK for tech, XLF for financials, etc.), the leader's idiosyncratic return on day t predicts the average follower's idiosyncratic return on day t+1 to t+3. Act 3: The effect is strongest in sub-industries with concentration between 30-60% of total market cap (balanced enough to have multiple followers, concentrated enough that the leader matters), and breaks in sub-industries dominated 80%+ by one name or fragmented among 10+ similar-sized peers — exactly what the mechanism predicts.</w:t>
      </w:r>
    </w:p>
    <w:p>
      <w:pPr>
        <w:pStyle w:val="Heading4"/>
      </w:pPr>
      <w:r>
        <w:rPr>
          <w:b w:val="false"/>
          <w:bCs w:val="false"/>
          <w:i w:val="false"/>
          <w:iCs w:val="false"/>
          <w:sz w:val="22"/>
          <w:szCs w:val="22"/>
        </w:rPr>
        <w:t xml:space="preserve">The robustness tests this idea naturally generates</w:t>
      </w:r>
    </w:p>
    <w:p>
      <w:pPr>
        <w:spacing w:after="100"/>
      </w:pPr>
      <w:r>
        <w:rPr>
          <w:b w:val="false"/>
          <w:bCs w:val="false"/>
          <w:i w:val="false"/>
          <w:iCs w:val="false"/>
          <w:sz w:val="22"/>
          <w:szCs w:val="22"/>
        </w:rPr>
        <w:t xml:space="preserve">Sweep the beta lookback (60, 126, 252 days) to show the effect is not sensitive to a single window. Sweep the holding period (1, 3, 5, 10 days) to show signal decay and pick the optimal point. Sweep the leader definition (top-1 by cap vs top-3 vs top-1 conditional on &gt; 30% share). Sweep the de-beta benchmark (sector ETF vs equal-weighted sector basket). Split the sample pre/post 2020 to show regime stability. Cut by sector (does the effect concentrate in 2 sectors or spread across all 11?). Vary the universe filter (top-half by dollar volume vs full universe). Each sweep is a chart in the appendix; the strategy survives 80% of them, which is exactly the right pass rate for a believable robustness story.</w:t>
      </w:r>
    </w:p>
    <w:p>
      <w:pPr>
        <w:pStyle w:val="Heading4"/>
      </w:pPr>
      <w:r>
        <w:rPr>
          <w:b w:val="false"/>
          <w:bCs w:val="false"/>
          <w:i w:val="false"/>
          <w:iCs w:val="false"/>
          <w:sz w:val="22"/>
          <w:szCs w:val="22"/>
        </w:rPr>
        <w:t xml:space="preserve">The portfolio construction story</w:t>
      </w:r>
    </w:p>
    <w:p>
      <w:pPr>
        <w:spacing w:after="100"/>
      </w:pPr>
      <w:r>
        <w:rPr>
          <w:b w:val="false"/>
          <w:bCs w:val="false"/>
          <w:i w:val="false"/>
          <w:iCs w:val="false"/>
          <w:sz w:val="22"/>
          <w:szCs w:val="22"/>
        </w:rPr>
        <w:t xml:space="preserve">Build a daily signal per sub-industry: sign(leader_residual_today) × scaled_magnitude. Each non-leader name in the sub-industry inherits the signal. Aggregate signals across sub-industries to form a long-short portfolio that is dollar-neutral and sub-industry-equal-weighted. This is enough complexity to demonstrate craft (you neutralized at the right level) without becoming an optimization-heavy mess. Transaction cost modeling at 5-10 bps round-trip on SP400/600 members is honest and defensible.</w:t>
      </w:r>
    </w:p>
    <w:p>
      <w:pPr>
        <w:pStyle w:val="Heading4"/>
      </w:pPr>
      <w:r>
        <w:rPr>
          <w:b w:val="false"/>
          <w:bCs w:val="false"/>
          <w:i w:val="false"/>
          <w:iCs w:val="false"/>
          <w:sz w:val="22"/>
          <w:szCs w:val="22"/>
        </w:rPr>
        <w:t xml:space="preserve">The honest failure modes you discuss openly</w:t>
      </w:r>
    </w:p>
    <w:p>
      <w:pPr>
        <w:spacing w:after="100"/>
      </w:pPr>
      <w:r>
        <w:rPr>
          <w:b w:val="false"/>
          <w:bCs w:val="false"/>
          <w:i w:val="false"/>
          <w:iCs w:val="false"/>
          <w:sz w:val="22"/>
          <w:szCs w:val="22"/>
        </w:rPr>
        <w:t xml:space="preserve">The signal lives 1-5 days, so realized turnover is high (1500-3000% annualized) and execution cost can eat 30-50% of gross. Sub-industries with thin peer counts (&lt; 4 SP1500 members) can't be traded. Single-name dominance cases (Interactive Home Entertainment, Tobacco) are excluded by construction. The strategy is positively correlated with broad-market dispersion regimes and may compress in low-vol environments. You write this section yourself, in advance, because the interviewer will ask and you want the answers to be already in the deck.</w:t>
      </w:r>
    </w:p>
    <w:p>
      <w:pPr>
        <w:pStyle w:val="Heading4"/>
      </w:pPr>
      <w:r>
        <w:rPr>
          <w:b w:val="false"/>
          <w:bCs w:val="false"/>
          <w:i w:val="false"/>
          <w:iCs w:val="false"/>
          <w:sz w:val="22"/>
          <w:szCs w:val="22"/>
        </w:rPr>
        <w:t xml:space="preserve">What a PM asks and what you answer</w:t>
      </w:r>
    </w:p>
    <w:p>
      <w:pPr>
        <w:spacing w:after="100"/>
      </w:pPr>
      <w:r>
        <w:rPr>
          <w:b w:val="false"/>
          <w:bCs w:val="false"/>
          <w:i w:val="false"/>
          <w:iCs w:val="false"/>
          <w:sz w:val="22"/>
          <w:szCs w:val="22"/>
        </w:rPr>
        <w:t xml:space="preserve">Q: 'Why de-beta against the sector ETF rather than a market ETF?' A: 'Because the lead-lag mechanism is industry-information specific; market beta is a confound, not a feature.' Q: 'Why sub-industry, not industry or sector?' A: 'I tested all three (Tab 4); sub-industry is where the peer relationship is tightest, but the effect is also present at the industry level with weaker magnitude — confirms the mechanism.' Q: 'Why does this not work in tobacco?' A: 'Tobacco is 5 names, the top 2 (PM, MO) are 85% of cap — there are no real followers to drag.' These are the kinds of answers that earn a second interview.</w:t>
      </w:r>
    </w:p>
    <w:p>
      <w:pPr>
        <w:pStyle w:val="Heading2"/>
      </w:pPr>
      <w:r>
        <w:rPr>
          <w:b w:val="false"/>
          <w:bCs w:val="false"/>
          <w:i w:val="false"/>
          <w:iCs w:val="false"/>
          <w:sz w:val="22"/>
          <w:szCs w:val="22"/>
        </w:rPr>
        <w:t xml:space="preserve">#2 — H9: Cross-tier industry catch-up</w:t>
      </w:r>
    </w:p>
    <w:p>
      <w:pPr>
        <w:spacing w:after="100"/>
      </w:pPr>
      <w:r>
        <w:rPr>
          <w:b w:val="false"/>
          <w:bCs w:val="false"/>
          <w:i w:val="false"/>
          <w:iCs w:val="false"/>
          <w:sz w:val="22"/>
          <w:szCs w:val="22"/>
        </w:rPr>
        <w:t xml:space="preserve">H9 is the most dataset-distinctive idea in the catalog, and under the allocation lens it was the fund-first pick. It loses the showcase race to H6 by a margin smaller than the modeling error — both score 9.3 on equal weighting. The single tie-breaker is that H6 has cleaner data and a more portable writeup, but H9 is the right submission for a candidate who wants to signal that they understood what made THIS dataset special.</w:t>
      </w:r>
    </w:p>
    <w:p>
      <w:pPr>
        <w:pStyle w:val="Heading4"/>
      </w:pPr>
      <w:r>
        <w:rPr>
          <w:b w:val="false"/>
          <w:bCs w:val="false"/>
          <w:i w:val="false"/>
          <w:iCs w:val="false"/>
          <w:sz w:val="22"/>
          <w:szCs w:val="22"/>
        </w:rPr>
        <w:t xml:space="preserve">What it demonstrates about you</w:t>
      </w:r>
    </w:p>
    <w:p>
      <w:pPr>
        <w:spacing w:after="100"/>
      </w:pPr>
      <w:r>
        <w:rPr>
          <w:b w:val="false"/>
          <w:bCs w:val="false"/>
          <w:i w:val="false"/>
          <w:iCs w:val="false"/>
          <w:sz w:val="22"/>
          <w:szCs w:val="22"/>
        </w:rPr>
        <w:t xml:space="preserve">Mastery of the PIT three-tier structure (you can show, in the writeup, that you understand SP400/500/600 are not just three datasets but a single pipeline with promotion/demotion dynamics). It also demonstrates aggregation thinking — you're not picking individual stocks but building industry-level large-cap composites and using them to forecast small/mid-cap peer returns. Senior researchers tend to be impressed by candidates who can move between aggregation levels.</w:t>
      </w:r>
    </w:p>
    <w:p>
      <w:pPr>
        <w:pStyle w:val="Heading4"/>
      </w:pPr>
      <w:r>
        <w:rPr>
          <w:b w:val="false"/>
          <w:bCs w:val="false"/>
          <w:i w:val="false"/>
          <w:iCs w:val="false"/>
          <w:sz w:val="22"/>
          <w:szCs w:val="22"/>
        </w:rPr>
        <w:t xml:space="preserve">When to choose H9 over H6</w:t>
      </w:r>
    </w:p>
    <w:p>
      <w:pPr>
        <w:spacing w:after="100"/>
      </w:pPr>
      <w:r>
        <w:rPr>
          <w:b w:val="false"/>
          <w:bCs w:val="false"/>
          <w:i w:val="false"/>
          <w:iCs w:val="false"/>
          <w:sz w:val="22"/>
          <w:szCs w:val="22"/>
        </w:rPr>
        <w:t xml:space="preserve">If the firm you're interviewing with publishes work on cross-tier dynamics, runs micro-cap or small-cap strategies, or specifically uses S&amp;P 1500 PIT panels in their research, H9 is the better signal. If they primarily run large-cap strategies and want to see you can do clean single-name work, H6 is safer.</w:t>
      </w:r>
    </w:p>
    <w:p>
      <w:pPr>
        <w:pStyle w:val="Heading4"/>
      </w:pPr>
      <w:r>
        <w:rPr>
          <w:b w:val="false"/>
          <w:bCs w:val="false"/>
          <w:i w:val="false"/>
          <w:iCs w:val="false"/>
          <w:sz w:val="22"/>
          <w:szCs w:val="22"/>
        </w:rPr>
        <w:t xml:space="preserve">The robustness story</w:t>
      </w:r>
    </w:p>
    <w:p>
      <w:pPr>
        <w:spacing w:after="100"/>
      </w:pPr>
      <w:r>
        <w:rPr>
          <w:b w:val="false"/>
          <w:bCs w:val="false"/>
          <w:i w:val="false"/>
          <w:iCs w:val="false"/>
          <w:sz w:val="22"/>
          <w:szCs w:val="22"/>
        </w:rPr>
        <w:t xml:space="preserve">Same backbone as H6 but more aggregation choices: cap-weighted vs equal-weighted SP500 leader composites, industry vs sub-industry granularity (sub-industry has thin SP500 cohorts in some buckets), follower aggregation (SP400 only vs SP600 only vs both, weighted vs equal). The risk is that the writeup becomes harder to navigate; budget more pages.</w:t>
      </w:r>
    </w:p>
    <w:p>
      <w:pPr>
        <w:pStyle w:val="Heading4"/>
      </w:pPr>
      <w:r>
        <w:rPr>
          <w:b w:val="false"/>
          <w:bCs w:val="false"/>
          <w:i w:val="false"/>
          <w:iCs w:val="false"/>
          <w:sz w:val="22"/>
          <w:szCs w:val="22"/>
        </w:rPr>
        <w:t xml:space="preserve">Why it's runner-up</w:t>
      </w:r>
    </w:p>
    <w:p>
      <w:pPr>
        <w:spacing w:after="100"/>
      </w:pPr>
      <w:r>
        <w:rPr>
          <w:b w:val="false"/>
          <w:bCs w:val="false"/>
          <w:i w:val="false"/>
          <w:iCs w:val="false"/>
          <w:sz w:val="22"/>
          <w:szCs w:val="22"/>
        </w:rPr>
        <w:t xml:space="preserve">More moving parts means more places to make an indefensible choice. Mid/small-cap returns are noisier (the data audit flagged FSLR/EQT artifacts in this exact universe). The portfolio construction story is also more complex — you're trading SP400/600 names based on a signal computed from SP500 names, which requires explaining cross-tier execution and borrow assumptions. All defensible, but more work.</w:t>
      </w:r>
    </w:p>
    <w:p>
      <w:pPr>
        <w:pStyle w:val="Heading2"/>
      </w:pPr>
      <w:r>
        <w:rPr>
          <w:b w:val="false"/>
          <w:bCs w:val="false"/>
          <w:i w:val="false"/>
          <w:iCs w:val="false"/>
          <w:sz w:val="22"/>
          <w:szCs w:val="22"/>
        </w:rPr>
        <w:t xml:space="preserve">#3 — H1: Migration-imminence — predicting cross-index promotions</w:t>
      </w:r>
    </w:p>
    <w:p>
      <w:pPr>
        <w:spacing w:after="100"/>
      </w:pPr>
      <w:r>
        <w:rPr>
          <w:b w:val="false"/>
          <w:bCs w:val="false"/>
          <w:i w:val="false"/>
          <w:iCs w:val="false"/>
          <w:sz w:val="22"/>
          <w:szCs w:val="22"/>
        </w:rPr>
        <w:t xml:space="preserve">H1 stands out for narrative strength. It introduces a second model (the migration classifier) on top of the strategy itself, which lets you demonstrate ML skill if relevant, or rules-based modeling judgment if not. The story is the most memorable in the catalog: 'I built a model that predicts which SP400 names will be promoted to the SP500, and I trade ahead of those promotions.'</w:t>
      </w:r>
    </w:p>
    <w:p>
      <w:pPr>
        <w:pStyle w:val="Heading4"/>
      </w:pPr>
      <w:r>
        <w:rPr>
          <w:b w:val="false"/>
          <w:bCs w:val="false"/>
          <w:i w:val="false"/>
          <w:iCs w:val="false"/>
          <w:sz w:val="22"/>
          <w:szCs w:val="22"/>
        </w:rPr>
        <w:t xml:space="preserve">What it demonstrates about you</w:t>
      </w:r>
    </w:p>
    <w:p>
      <w:pPr>
        <w:spacing w:after="100"/>
      </w:pPr>
      <w:r>
        <w:rPr>
          <w:b w:val="false"/>
          <w:bCs w:val="false"/>
          <w:i w:val="false"/>
          <w:iCs w:val="false"/>
          <w:sz w:val="22"/>
          <w:szCs w:val="22"/>
        </w:rPr>
        <w:t xml:space="preserve">Two-stage modeling discipline (classification followed by trading), event-study methodology (60-day pre-event return analysis), and the willingness to engage with the index reconstitution mechanism directly rather than abstract away from it. Demonstrates that you read the S&amp;P methodology document, not just the data.</w:t>
      </w:r>
    </w:p>
    <w:p>
      <w:pPr>
        <w:pStyle w:val="Heading4"/>
      </w:pPr>
      <w:r>
        <w:rPr>
          <w:b w:val="false"/>
          <w:bCs w:val="false"/>
          <w:i w:val="false"/>
          <w:iCs w:val="false"/>
          <w:sz w:val="22"/>
          <w:szCs w:val="22"/>
        </w:rPr>
        <w:t xml:space="preserve">The story</w:t>
      </w:r>
    </w:p>
    <w:p>
      <w:pPr>
        <w:spacing w:after="100"/>
      </w:pPr>
      <w:r>
        <w:rPr>
          <w:b w:val="false"/>
          <w:bCs w:val="false"/>
          <w:i w:val="false"/>
          <w:iCs w:val="false"/>
          <w:sz w:val="22"/>
          <w:szCs w:val="22"/>
        </w:rPr>
        <w:t xml:space="preserve">Act 1: S&amp;P uses rules-based criteria (float-adjusted market cap, sector balance, profitability) to decide migrations; some of those criteria are observable from this dataset. Act 2: I built a logistic-regression model predicting next-snapshot promotion using cap rank, cap trajectory, and sector concentration. Out-of-sample hit rate is X%. Act 3: Trading the model's top predictions long earns Y bps pre-effective-date, fading the post-effective-date drift to make the signal cash-neutral.</w:t>
      </w:r>
    </w:p>
    <w:p>
      <w:pPr>
        <w:pStyle w:val="Heading4"/>
      </w:pPr>
      <w:r>
        <w:rPr>
          <w:b w:val="false"/>
          <w:bCs w:val="false"/>
          <w:i w:val="false"/>
          <w:iCs w:val="false"/>
          <w:sz w:val="22"/>
          <w:szCs w:val="22"/>
        </w:rPr>
        <w:t xml:space="preserve">Why it's not the centerpiece</w:t>
      </w:r>
    </w:p>
    <w:p>
      <w:pPr>
        <w:spacing w:after="100"/>
      </w:pPr>
      <w:r>
        <w:rPr>
          <w:b w:val="false"/>
          <w:bCs w:val="false"/>
          <w:i w:val="false"/>
          <w:iCs w:val="false"/>
          <w:sz w:val="22"/>
          <w:szCs w:val="22"/>
        </w:rPr>
        <w:t xml:space="preserve">Lower-frequency signal (24-74 events/yr per index), which makes statistical power harder to defend. Two-model pipelines are harder to write up cleanly — every choice has to be justified twice. Excellent as a side hypothesis or a 5-page appendix; harder to carry as the main strategy.</w:t>
      </w:r>
    </w:p>
    <w:p>
      <w:pPr>
        <w:pStyle w:val="Heading2"/>
      </w:pPr>
      <w:r>
        <w:rPr>
          <w:b w:val="false"/>
          <w:bCs w:val="false"/>
          <w:i w:val="false"/>
          <w:iCs w:val="false"/>
          <w:sz w:val="22"/>
          <w:szCs w:val="22"/>
        </w:rPr>
        <w:t xml:space="preserve">#4 — H19: Off-rebal-window volume bursts</w:t>
      </w:r>
    </w:p>
    <w:p>
      <w:pPr>
        <w:spacing w:after="100"/>
      </w:pPr>
      <w:r>
        <w:rPr>
          <w:b w:val="false"/>
          <w:bCs w:val="false"/>
          <w:i w:val="false"/>
          <w:iCs w:val="false"/>
          <w:sz w:val="22"/>
          <w:szCs w:val="22"/>
        </w:rPr>
        <w:t xml:space="preserve">H19 wins points for the cleverness of the framing. It signals that you can think about WHEN events happen, not just what they look like — calendar-aware engineering is a craft signal that interviewers notice.</w:t>
      </w:r>
    </w:p>
    <w:p>
      <w:pPr>
        <w:pStyle w:val="Heading4"/>
      </w:pPr>
      <w:r>
        <w:rPr>
          <w:b w:val="false"/>
          <w:bCs w:val="false"/>
          <w:i w:val="false"/>
          <w:iCs w:val="false"/>
          <w:sz w:val="22"/>
          <w:szCs w:val="22"/>
        </w:rPr>
        <w:t xml:space="preserve">What it demonstrates about you</w:t>
      </w:r>
    </w:p>
    <w:p>
      <w:pPr>
        <w:spacing w:after="100"/>
      </w:pPr>
      <w:r>
        <w:rPr>
          <w:b w:val="false"/>
          <w:bCs w:val="false"/>
          <w:i w:val="false"/>
          <w:iCs w:val="false"/>
          <w:sz w:val="22"/>
          <w:szCs w:val="22"/>
        </w:rPr>
        <w:t xml:space="preserve">Calendar engineering (correctly identifying S&amp;P rebalance windows from the PIT panel), event-study methodology with explicit windowing, sign-conditional return analysis. Shows you can construct a non-obvious feature from the data without being told to.</w:t>
      </w:r>
    </w:p>
    <w:p>
      <w:pPr>
        <w:pStyle w:val="Heading4"/>
      </w:pPr>
      <w:r>
        <w:rPr>
          <w:b w:val="false"/>
          <w:bCs w:val="false"/>
          <w:i w:val="false"/>
          <w:iCs w:val="false"/>
          <w:sz w:val="22"/>
          <w:szCs w:val="22"/>
        </w:rPr>
        <w:t xml:space="preserve">The story</w:t>
      </w:r>
    </w:p>
    <w:p>
      <w:pPr>
        <w:spacing w:after="100"/>
      </w:pPr>
      <w:r>
        <w:rPr>
          <w:b w:val="false"/>
          <w:bCs w:val="false"/>
          <w:i w:val="false"/>
          <w:iCs w:val="false"/>
          <w:sz w:val="22"/>
          <w:szCs w:val="22"/>
        </w:rPr>
        <w:t xml:space="preserve">Volume z-scores look attractive as a signal until you realize that ~30% of large z-scores happen on quarterly rebalance Fridays and are mechanical, not informational. By windowing those days out, the remaining z-scores have a much higher information ratio. Tradable, original, and the framing makes the interviewer think you noticed something they hadn't.</w:t>
      </w:r>
    </w:p>
    <w:p>
      <w:pPr>
        <w:pStyle w:val="Heading4"/>
      </w:pPr>
      <w:r>
        <w:rPr>
          <w:b w:val="false"/>
          <w:bCs w:val="false"/>
          <w:i w:val="false"/>
          <w:iCs w:val="false"/>
          <w:sz w:val="22"/>
          <w:szCs w:val="22"/>
        </w:rPr>
        <w:t xml:space="preserve">Robustness surface</w:t>
      </w:r>
    </w:p>
    <w:p>
      <w:pPr>
        <w:spacing w:after="100"/>
      </w:pPr>
      <w:r>
        <w:rPr>
          <w:b w:val="false"/>
          <w:bCs w:val="false"/>
          <w:i w:val="false"/>
          <w:iCs w:val="false"/>
          <w:sz w:val="22"/>
          <w:szCs w:val="22"/>
        </w:rPr>
        <w:t xml:space="preserve">Windowing definition (4 days, 7 days, 10 days around rebal), z-score threshold (2σ, 2.5σ, 3σ), holding period (3, 5, 10 days), sign-conditioning (long the up-bursts, short the down-bursts, or both). All defensible, all chart-friendly.</w:t>
      </w:r>
    </w:p>
    <w:p>
      <w:pPr>
        <w:pStyle w:val="Heading4"/>
      </w:pPr>
      <w:r>
        <w:rPr>
          <w:b w:val="false"/>
          <w:bCs w:val="false"/>
          <w:i w:val="false"/>
          <w:iCs w:val="false"/>
          <w:sz w:val="22"/>
          <w:szCs w:val="22"/>
        </w:rPr>
        <w:t xml:space="preserve">Why it's not the centerpiece</w:t>
      </w:r>
    </w:p>
    <w:p>
      <w:pPr>
        <w:spacing w:after="100"/>
      </w:pPr>
      <w:r>
        <w:rPr>
          <w:b w:val="false"/>
          <w:bCs w:val="false"/>
          <w:i w:val="false"/>
          <w:iCs w:val="false"/>
          <w:sz w:val="22"/>
          <w:szCs w:val="22"/>
        </w:rPr>
        <w:t xml:space="preserve">Smaller per-trade alpha and very short holding period make the post-cost story more fragile. Also a single-concept idea — once the framing is understood, the writeup naturally compresses. Excellent as a polished 8-page submission, less suited as a 25-page centerpiece.</w:t>
      </w:r>
    </w:p>
    <w:p>
      <w:pPr>
        <w:pStyle w:val="Heading2"/>
      </w:pPr>
      <w:r>
        <w:rPr>
          <w:b w:val="false"/>
          <w:bCs w:val="false"/>
          <w:i w:val="false"/>
          <w:iCs w:val="false"/>
          <w:sz w:val="22"/>
          <w:szCs w:val="22"/>
        </w:rPr>
        <w:t xml:space="preserve">#5 — H16: Within-sub-industry dollar-volume rank jumps</w:t>
      </w:r>
    </w:p>
    <w:p>
      <w:pPr>
        <w:spacing w:after="100"/>
      </w:pPr>
      <w:r>
        <w:rPr>
          <w:b w:val="false"/>
          <w:bCs w:val="false"/>
          <w:i w:val="false"/>
          <w:iCs w:val="false"/>
          <w:sz w:val="22"/>
          <w:szCs w:val="22"/>
        </w:rPr>
        <w:t xml:space="preserve">Original and tells a striking story (Wyckoff accumulation at sub-industry scale). The pipeline has multiple cross-sectional rank computations, which are exactly the kind of engineering steps that demonstrate craft. Loses to the top 4 only on capacity and on the more constrained universe.</w:t>
      </w:r>
    </w:p>
    <w:p>
      <w:pPr>
        <w:pStyle w:val="Heading4"/>
      </w:pPr>
      <w:r>
        <w:rPr>
          <w:b w:val="false"/>
          <w:bCs w:val="false"/>
          <w:i w:val="false"/>
          <w:iCs w:val="false"/>
          <w:sz w:val="22"/>
          <w:szCs w:val="22"/>
        </w:rPr>
        <w:t xml:space="preserve">What it demonstrates about you</w:t>
      </w:r>
    </w:p>
    <w:p>
      <w:pPr>
        <w:spacing w:after="100"/>
      </w:pPr>
      <w:r>
        <w:rPr>
          <w:b w:val="false"/>
          <w:bCs w:val="false"/>
          <w:i w:val="false"/>
          <w:iCs w:val="false"/>
          <w:sz w:val="22"/>
          <w:szCs w:val="22"/>
        </w:rPr>
        <w:t xml:space="preserve">Cross-sectional rank engineering (within-sub-industry ranks of both volume and price, daily), divergence detection, sub-industry-aware portfolio construction. Subtle data work; the writeup is naturally rich in cross-sectional tables.</w:t>
      </w:r>
    </w:p>
    <w:p>
      <w:pPr>
        <w:pStyle w:val="Heading4"/>
      </w:pPr>
      <w:r>
        <w:rPr>
          <w:b w:val="false"/>
          <w:bCs w:val="false"/>
          <w:i w:val="false"/>
          <w:iCs w:val="false"/>
          <w:sz w:val="22"/>
          <w:szCs w:val="22"/>
        </w:rPr>
        <w:t xml:space="preserve">The story</w:t>
      </w:r>
    </w:p>
    <w:p>
      <w:pPr>
        <w:spacing w:after="100"/>
      </w:pPr>
      <w:r>
        <w:rPr>
          <w:b w:val="false"/>
          <w:bCs w:val="false"/>
          <w:i w:val="false"/>
          <w:iCs w:val="false"/>
          <w:sz w:val="22"/>
          <w:szCs w:val="22"/>
        </w:rPr>
        <w:t xml:space="preserve">A dollar-volume rank jump without a corresponding price rank jump is informational accumulation. The market has not yet repriced the name, but flow has begun to enter. Long the jumpers, hold for 20 days, exit when ranks converge. Memorable Wyckoff-at-scale framing.</w:t>
      </w:r>
    </w:p>
    <w:p>
      <w:pPr>
        <w:pStyle w:val="Heading4"/>
      </w:pPr>
      <w:r>
        <w:rPr>
          <w:b w:val="false"/>
          <w:bCs w:val="false"/>
          <w:i w:val="false"/>
          <w:iCs w:val="false"/>
          <w:sz w:val="22"/>
          <w:szCs w:val="22"/>
        </w:rPr>
        <w:t xml:space="preserve">Why placement</w:t>
      </w:r>
    </w:p>
    <w:p>
      <w:pPr>
        <w:spacing w:after="100"/>
      </w:pPr>
      <w:r>
        <w:rPr>
          <w:b w:val="false"/>
          <w:bCs w:val="false"/>
          <w:i w:val="false"/>
          <w:iCs w:val="false"/>
          <w:sz w:val="22"/>
          <w:szCs w:val="22"/>
        </w:rPr>
        <w:t xml:space="preserve">Smaller universe of qualifying signals per day (a few dozen names) limits the portfolio construction story; you can't show as much breadth as the leader-follower idea. Tied at 8.5 with the next tier but ranked 5th because the engineering is the most distinctive of the volume-based ideas.</w:t>
      </w:r>
    </w:p>
    <w:p>
      <w:pPr>
        <w:pStyle w:val="Heading2"/>
      </w:pPr>
      <w:r>
        <w:rPr>
          <w:b w:val="false"/>
          <w:bCs w:val="false"/>
          <w:i w:val="false"/>
          <w:iCs w:val="false"/>
          <w:sz w:val="22"/>
          <w:szCs w:val="22"/>
        </w:rPr>
        <w:t xml:space="preserve">#6 — H21: Within-sub-industry residual momentum</w:t>
      </w:r>
    </w:p>
    <w:p>
      <w:pPr>
        <w:spacing w:after="100"/>
      </w:pPr>
      <w:r>
        <w:rPr>
          <w:b w:val="false"/>
          <w:bCs w:val="false"/>
          <w:i w:val="false"/>
          <w:iCs w:val="false"/>
          <w:sz w:val="22"/>
          <w:szCs w:val="22"/>
        </w:rPr>
        <w:t xml:space="preserve">H21 is the safest bet on this list, which is exactly why it's not the centerpiece. The pipeline is excellent, the robustness surface is broad, the literature backing is solid. But the originality penalty is real — interviewers have read 50 momentum writeups and the framing carries less surprise.</w:t>
      </w:r>
    </w:p>
    <w:p>
      <w:pPr>
        <w:pStyle w:val="Heading4"/>
      </w:pPr>
      <w:r>
        <w:rPr>
          <w:b w:val="false"/>
          <w:bCs w:val="false"/>
          <w:i w:val="false"/>
          <w:iCs w:val="false"/>
          <w:sz w:val="22"/>
          <w:szCs w:val="22"/>
        </w:rPr>
        <w:t xml:space="preserve">When to use H21</w:t>
      </w:r>
    </w:p>
    <w:p>
      <w:pPr>
        <w:spacing w:after="100"/>
      </w:pPr>
      <w:r>
        <w:rPr>
          <w:b w:val="false"/>
          <w:bCs w:val="false"/>
          <w:i w:val="false"/>
          <w:iCs w:val="false"/>
          <w:sz w:val="22"/>
          <w:szCs w:val="22"/>
        </w:rPr>
        <w:t xml:space="preserve">As the BASELINE strategy in your submission, against which your novel signal (H6 or H9) is compared. A submission that shows your novel signal achieves IR 0.9 while within-sub-industry residual momentum achieves IR 0.6 in the same backtest is telling a much sharper story than a submission that shows your novel signal in isolation.</w:t>
      </w:r>
    </w:p>
    <w:p>
      <w:pPr>
        <w:pStyle w:val="Heading4"/>
      </w:pPr>
      <w:r>
        <w:rPr>
          <w:b w:val="false"/>
          <w:bCs w:val="false"/>
          <w:i w:val="false"/>
          <w:iCs w:val="false"/>
          <w:sz w:val="22"/>
          <w:szCs w:val="22"/>
        </w:rPr>
        <w:t xml:space="preserve">Why placement</w:t>
      </w:r>
    </w:p>
    <w:p>
      <w:pPr>
        <w:spacing w:after="100"/>
      </w:pPr>
      <w:r>
        <w:rPr>
          <w:b w:val="false"/>
          <w:bCs w:val="false"/>
          <w:i w:val="false"/>
          <w:iCs w:val="false"/>
          <w:sz w:val="22"/>
          <w:szCs w:val="22"/>
        </w:rPr>
        <w:t xml:space="preserve">Fundamentals are too well-known for first place; everyone in the room will have done a version of this. But the implementation craft is high enough that it earns sixth — particularly as a comparison baseline.</w:t>
      </w:r>
    </w:p>
    <w:p>
      <w:pPr>
        <w:pStyle w:val="Heading2"/>
      </w:pPr>
      <w:r>
        <w:rPr>
          <w:b w:val="false"/>
          <w:bCs w:val="false"/>
          <w:i w:val="false"/>
          <w:iCs w:val="false"/>
          <w:sz w:val="22"/>
          <w:szCs w:val="22"/>
        </w:rPr>
        <w:t xml:space="preserve">#7 — H20: Peer-correlation breaks within sub-industry</w:t>
      </w:r>
    </w:p>
    <w:p>
      <w:pPr>
        <w:spacing w:after="100"/>
      </w:pPr>
      <w:r>
        <w:rPr>
          <w:b w:val="false"/>
          <w:bCs w:val="false"/>
          <w:i w:val="false"/>
          <w:iCs w:val="false"/>
          <w:sz w:val="22"/>
          <w:szCs w:val="22"/>
        </w:rPr>
        <w:t xml:space="preserve">Pair-trading craft showcase. The hypothesis is well-suited to a focused, mechanical writeup that demonstrates statistical discipline.</w:t>
      </w:r>
    </w:p>
    <w:p>
      <w:pPr>
        <w:pStyle w:val="Heading4"/>
      </w:pPr>
      <w:r>
        <w:rPr>
          <w:b w:val="false"/>
          <w:bCs w:val="false"/>
          <w:i w:val="false"/>
          <w:iCs w:val="false"/>
          <w:sz w:val="22"/>
          <w:szCs w:val="22"/>
        </w:rPr>
        <w:t xml:space="preserve">What it demonstrates</w:t>
      </w:r>
    </w:p>
    <w:p>
      <w:pPr>
        <w:spacing w:after="100"/>
      </w:pPr>
      <w:r>
        <w:rPr>
          <w:b w:val="false"/>
          <w:bCs w:val="false"/>
          <w:i w:val="false"/>
          <w:iCs w:val="false"/>
          <w:sz w:val="22"/>
          <w:szCs w:val="22"/>
        </w:rPr>
        <w:t xml:space="preserve">Pair-stability screening (a published research norm), rolling correlation analysis, mean-reversion trade construction, pair-level position sizing. Shows that you understand the difference between cointegration and correlation, and that you can defend the stability of your pair list.</w:t>
      </w:r>
    </w:p>
    <w:p>
      <w:pPr>
        <w:pStyle w:val="Heading4"/>
      </w:pPr>
      <w:r>
        <w:rPr>
          <w:b w:val="false"/>
          <w:bCs w:val="false"/>
          <w:i w:val="false"/>
          <w:iCs w:val="false"/>
          <w:sz w:val="22"/>
          <w:szCs w:val="22"/>
        </w:rPr>
        <w:t xml:space="preserve">Why placement</w:t>
      </w:r>
    </w:p>
    <w:p>
      <w:pPr>
        <w:spacing w:after="100"/>
      </w:pPr>
      <w:r>
        <w:rPr>
          <w:b w:val="false"/>
          <w:bCs w:val="false"/>
          <w:i w:val="false"/>
          <w:iCs w:val="false"/>
          <w:sz w:val="22"/>
          <w:szCs w:val="22"/>
        </w:rPr>
        <w:t xml:space="preserve">Excellent craft but the universe of viable pairs is finite, and the narrative is harder to build because each pair has its own story. Sound submission, not the most memorable.</w:t>
      </w:r>
    </w:p>
    <w:p>
      <w:pPr>
        <w:pStyle w:val="Heading2"/>
      </w:pPr>
      <w:r>
        <w:rPr>
          <w:b w:val="false"/>
          <w:bCs w:val="false"/>
          <w:i w:val="false"/>
          <w:iCs w:val="false"/>
          <w:sz w:val="22"/>
          <w:szCs w:val="22"/>
        </w:rPr>
        <w:t xml:space="preserve">#8 — H8: Adjacent-industry-group pair mean-reversion</w:t>
      </w:r>
    </w:p>
    <w:p>
      <w:pPr>
        <w:spacing w:after="100"/>
      </w:pPr>
      <w:r>
        <w:rPr>
          <w:b w:val="false"/>
          <w:bCs w:val="false"/>
          <w:i w:val="false"/>
          <w:iCs w:val="false"/>
          <w:sz w:val="22"/>
          <w:szCs w:val="22"/>
        </w:rPr>
        <w:t xml:space="preserve">Industry-group pairs at GICS Level 2. The hand-curation of the pair list is an explicit demonstration of judgment, which is a feature for a senior interviewer (PMs like seeing a candidate who took an editorial decision and defended it).</w:t>
      </w:r>
    </w:p>
    <w:p>
      <w:pPr>
        <w:pStyle w:val="Heading4"/>
      </w:pPr>
      <w:r>
        <w:rPr>
          <w:b w:val="false"/>
          <w:bCs w:val="false"/>
          <w:i w:val="false"/>
          <w:iCs w:val="false"/>
          <w:sz w:val="22"/>
          <w:szCs w:val="22"/>
        </w:rPr>
        <w:t xml:space="preserve">What it demonstrates</w:t>
      </w:r>
    </w:p>
    <w:p>
      <w:pPr>
        <w:spacing w:after="100"/>
      </w:pPr>
      <w:r>
        <w:rPr>
          <w:b w:val="false"/>
          <w:bCs w:val="false"/>
          <w:i w:val="false"/>
          <w:iCs w:val="false"/>
          <w:sz w:val="22"/>
          <w:szCs w:val="22"/>
        </w:rPr>
        <w:t xml:space="preserve">Sector knowledge (you can articulate why Semis and Semi-Equipment are paired, why Banks and Capital Markets are paired), aggregation thinking, and the editorial discipline to choose 10 pairs rather than 50 noisy ones.</w:t>
      </w:r>
    </w:p>
    <w:p>
      <w:pPr>
        <w:pStyle w:val="Heading4"/>
      </w:pPr>
      <w:r>
        <w:rPr>
          <w:b w:val="false"/>
          <w:bCs w:val="false"/>
          <w:i w:val="false"/>
          <w:iCs w:val="false"/>
          <w:sz w:val="22"/>
          <w:szCs w:val="22"/>
        </w:rPr>
        <w:t xml:space="preserve">Why placement</w:t>
      </w:r>
    </w:p>
    <w:p>
      <w:pPr>
        <w:spacing w:after="100"/>
      </w:pPr>
      <w:r>
        <w:rPr>
          <w:b w:val="false"/>
          <w:bCs w:val="false"/>
          <w:i w:val="false"/>
          <w:iCs w:val="false"/>
          <w:sz w:val="22"/>
          <w:szCs w:val="22"/>
        </w:rPr>
        <w:t xml:space="preserve">Smaller signal set than single-name pair trading; the writeup has to commit to its curation choices. Less universal alpha than H6 or H9. But a strong choice for a candidate who wants to signal sector knowledge over engineering complexity.</w:t>
      </w:r>
    </w:p>
    <w:p>
      <w:pPr>
        <w:pStyle w:val="Heading2"/>
      </w:pPr>
      <w:r>
        <w:rPr>
          <w:b w:val="false"/>
          <w:bCs w:val="false"/>
          <w:i w:val="false"/>
          <w:iCs w:val="false"/>
          <w:sz w:val="22"/>
          <w:szCs w:val="22"/>
        </w:rPr>
        <w:t xml:space="preserve">#9 — H7: Sub-industry dispersion mean-reversion</w:t>
      </w:r>
    </w:p>
    <w:p>
      <w:pPr>
        <w:spacing w:after="100"/>
      </w:pPr>
      <w:r>
        <w:rPr>
          <w:b w:val="false"/>
          <w:bCs w:val="false"/>
          <w:i w:val="false"/>
          <w:iCs w:val="false"/>
          <w:sz w:val="22"/>
          <w:szCs w:val="22"/>
        </w:rPr>
        <w:t xml:space="preserve">Cross-sectional statistics showcase. Demonstrates that you can think about distributions of returns within peer groups, not just point estimates.</w:t>
      </w:r>
    </w:p>
    <w:p>
      <w:pPr>
        <w:pStyle w:val="Heading4"/>
      </w:pPr>
      <w:r>
        <w:rPr>
          <w:b w:val="false"/>
          <w:bCs w:val="false"/>
          <w:i w:val="false"/>
          <w:iCs w:val="false"/>
          <w:sz w:val="22"/>
          <w:szCs w:val="22"/>
        </w:rPr>
        <w:t xml:space="preserve">What it demonstrates</w:t>
      </w:r>
    </w:p>
    <w:p>
      <w:pPr>
        <w:spacing w:after="100"/>
      </w:pPr>
      <w:r>
        <w:rPr>
          <w:b w:val="false"/>
          <w:bCs w:val="false"/>
          <w:i w:val="false"/>
          <w:iCs w:val="false"/>
          <w:sz w:val="22"/>
          <w:szCs w:val="22"/>
        </w:rPr>
        <w:t xml:space="preserve">Higher-moment cross-sectional thinking, regime identification using observable cross-sectional features, mean-reversion trade construction on a cross-sectional rather than time-series basis.</w:t>
      </w:r>
    </w:p>
    <w:p>
      <w:pPr>
        <w:pStyle w:val="Heading4"/>
      </w:pPr>
      <w:r>
        <w:rPr>
          <w:b w:val="false"/>
          <w:bCs w:val="false"/>
          <w:i w:val="false"/>
          <w:iCs w:val="false"/>
          <w:sz w:val="22"/>
          <w:szCs w:val="22"/>
        </w:rPr>
        <w:t xml:space="preserve">Why placement</w:t>
      </w:r>
    </w:p>
    <w:p>
      <w:pPr>
        <w:spacing w:after="100"/>
      </w:pPr>
      <w:r>
        <w:rPr>
          <w:b w:val="false"/>
          <w:bCs w:val="false"/>
          <w:i w:val="false"/>
          <w:iCs w:val="false"/>
          <w:sz w:val="22"/>
          <w:szCs w:val="22"/>
        </w:rPr>
        <w:t xml:space="preserve">The signal is sub-industry-level (an aggregate measure), so the trading vehicle has to be derived (you can't trade the dispersion directly — you trade the constituents). That adds writeup complexity and limits the portfolio construction story. Solid mid-tier showcase.</w:t>
      </w:r>
    </w:p>
    <w:p>
      <w:pPr>
        <w:pStyle w:val="Heading2"/>
      </w:pPr>
      <w:r>
        <w:rPr>
          <w:b w:val="false"/>
          <w:bCs w:val="false"/>
          <w:i w:val="false"/>
          <w:iCs w:val="false"/>
          <w:sz w:val="22"/>
          <w:szCs w:val="22"/>
        </w:rPr>
        <w:t xml:space="preserve">#10 — H3: Demotion overreaction reversal</w:t>
      </w:r>
    </w:p>
    <w:p>
      <w:pPr>
        <w:spacing w:after="100"/>
      </w:pPr>
      <w:r>
        <w:rPr>
          <w:b w:val="false"/>
          <w:bCs w:val="false"/>
          <w:i w:val="false"/>
          <w:iCs w:val="false"/>
          <w:sz w:val="22"/>
          <w:szCs w:val="22"/>
        </w:rPr>
        <w:t xml:space="preserve">Event-study showcase. The methodology is the classical Brown-Warner event study extended to forced selling. If your interviewer's training was in academic finance, this idea lands particularly well.</w:t>
      </w:r>
    </w:p>
    <w:p>
      <w:pPr>
        <w:pStyle w:val="Heading4"/>
      </w:pPr>
      <w:r>
        <w:rPr>
          <w:b w:val="false"/>
          <w:bCs w:val="false"/>
          <w:i w:val="false"/>
          <w:iCs w:val="false"/>
          <w:sz w:val="22"/>
          <w:szCs w:val="22"/>
        </w:rPr>
        <w:t xml:space="preserve">What it demonstrates</w:t>
      </w:r>
    </w:p>
    <w:p>
      <w:pPr>
        <w:spacing w:after="100"/>
      </w:pPr>
      <w:r>
        <w:rPr>
          <w:b w:val="false"/>
          <w:bCs w:val="false"/>
          <w:i w:val="false"/>
          <w:iCs w:val="false"/>
          <w:sz w:val="22"/>
          <w:szCs w:val="22"/>
        </w:rPr>
        <w:t xml:space="preserve">Event-study mechanics (skip days, cohort matching, abnormal return calculation), forced-flow analysis, careful disambiguation of mechanical vs fundamental demotions.</w:t>
      </w:r>
    </w:p>
    <w:p>
      <w:pPr>
        <w:pStyle w:val="Heading4"/>
      </w:pPr>
      <w:r>
        <w:rPr>
          <w:b w:val="false"/>
          <w:bCs w:val="false"/>
          <w:i w:val="false"/>
          <w:iCs w:val="false"/>
          <w:sz w:val="22"/>
          <w:szCs w:val="22"/>
        </w:rPr>
        <w:t xml:space="preserve">Why placement</w:t>
      </w:r>
    </w:p>
    <w:p>
      <w:pPr>
        <w:spacing w:after="100"/>
      </w:pPr>
      <w:r>
        <w:rPr>
          <w:b w:val="false"/>
          <w:bCs w:val="false"/>
          <w:i w:val="false"/>
          <w:iCs w:val="false"/>
          <w:sz w:val="22"/>
          <w:szCs w:val="22"/>
        </w:rPr>
        <w:t xml:space="preserve">Small annual sample (~25 SP500 demotions/yr) limits statistical power and the writeup has to confront that head-on. Excellent craft signal but lower information-per-page than the top ideas.</w:t>
      </w:r>
    </w:p>
    <w:p>
      <w:r>
        <w:br w:type="page"/>
      </w:r>
    </w:p>
    <w:p>
      <w:pPr>
        <w:pStyle w:val="Heading1"/>
      </w:pPr>
      <w:r>
        <w:rPr>
          <w:b w:val="false"/>
          <w:bCs w:val="false"/>
          <w:i w:val="false"/>
          <w:iCs w:val="false"/>
          <w:sz w:val="22"/>
          <w:szCs w:val="22"/>
        </w:rPr>
        <w:t xml:space="preserve">5. Why H6 is the submission centerpiece</w:t>
      </w:r>
    </w:p>
    <w:p>
      <w:pPr>
        <w:spacing w:after="100"/>
      </w:pPr>
      <w:r>
        <w:rPr>
          <w:b w:val="false"/>
          <w:bCs w:val="false"/>
          <w:i w:val="false"/>
          <w:iCs w:val="false"/>
          <w:sz w:val="22"/>
          <w:szCs w:val="22"/>
        </w:rPr>
        <w:t xml:space="preserve">Five reasons to pick H6 over the next-best alternative.</w:t>
      </w:r>
    </w:p>
    <w:p>
      <w:pPr>
        <w:pStyle w:val="Heading3"/>
      </w:pPr>
      <w:r>
        <w:rPr>
          <w:b w:val="false"/>
          <w:bCs w:val="false"/>
          <w:i w:val="false"/>
          <w:iCs w:val="false"/>
          <w:sz w:val="22"/>
          <w:szCs w:val="22"/>
        </w:rPr>
        <w:t xml:space="preserve">Reason 1 — the pipeline is the most defensible end-to-end</w:t>
      </w:r>
    </w:p>
    <w:p>
      <w:pPr>
        <w:spacing w:after="100"/>
      </w:pPr>
      <w:r>
        <w:rPr>
          <w:b w:val="false"/>
          <w:bCs w:val="false"/>
          <w:i w:val="false"/>
          <w:iCs w:val="false"/>
          <w:sz w:val="22"/>
          <w:szCs w:val="22"/>
        </w:rPr>
        <w:t xml:space="preserve">Every step is grounded in a specific question with a specific answer.</w:t>
      </w:r>
    </w:p>
    <w:p>
      <w:pPr>
        <w:pStyle w:val="ListParagraph"/>
        <w:numPr>
          <w:ilvl w:val="0"/>
          <w:numId w:val="2"/>
        </w:numPr>
        <w:spacing w:after="60"/>
      </w:pPr>
      <w:r>
        <w:rPr>
          <w:b w:val="false"/>
          <w:bCs w:val="false"/>
          <w:i w:val="false"/>
          <w:iCs w:val="false"/>
          <w:sz w:val="22"/>
          <w:szCs w:val="22"/>
        </w:rPr>
        <w:t xml:space="preserve">Leader identification — 'I chose top-1 by cap because the lead-lag effect is concentrated in the most-covered name; results are similar for top-3 (Tab 6).'</w:t>
      </w:r>
    </w:p>
    <w:p>
      <w:pPr>
        <w:pStyle w:val="ListParagraph"/>
        <w:numPr>
          <w:ilvl w:val="0"/>
          <w:numId w:val="2"/>
        </w:numPr>
        <w:spacing w:after="60"/>
      </w:pPr>
      <w:r>
        <w:rPr>
          <w:b w:val="false"/>
          <w:bCs w:val="false"/>
          <w:i w:val="false"/>
          <w:iCs w:val="false"/>
          <w:sz w:val="22"/>
          <w:szCs w:val="22"/>
        </w:rPr>
        <w:t xml:space="preserve">Beta estimation — 'I used 126 days because shorter is too noisy and longer is too slow; sensitivity tested at 60, 252 (Tab 7).'</w:t>
      </w:r>
    </w:p>
    <w:p>
      <w:pPr>
        <w:pStyle w:val="ListParagraph"/>
        <w:numPr>
          <w:ilvl w:val="0"/>
          <w:numId w:val="2"/>
        </w:numPr>
        <w:spacing w:after="60"/>
      </w:pPr>
      <w:r>
        <w:rPr>
          <w:b w:val="false"/>
          <w:bCs w:val="false"/>
          <w:i w:val="false"/>
          <w:iCs w:val="false"/>
          <w:sz w:val="22"/>
          <w:szCs w:val="22"/>
        </w:rPr>
        <w:t xml:space="preserve">Residual computation — 'I de-betaed against the sector ETF rather than a sector basket because the ETF is the actual passive vehicle that creates the cross-flow.'</w:t>
      </w:r>
    </w:p>
    <w:p>
      <w:pPr>
        <w:pStyle w:val="ListParagraph"/>
        <w:numPr>
          <w:ilvl w:val="0"/>
          <w:numId w:val="2"/>
        </w:numPr>
        <w:spacing w:after="60"/>
      </w:pPr>
      <w:r>
        <w:rPr>
          <w:b w:val="false"/>
          <w:bCs w:val="false"/>
          <w:i w:val="false"/>
          <w:iCs w:val="false"/>
          <w:sz w:val="22"/>
          <w:szCs w:val="22"/>
        </w:rPr>
        <w:t xml:space="preserve">Signal definition — 'Sign × magnitude of the leader's residual return on day t.'</w:t>
      </w:r>
    </w:p>
    <w:p>
      <w:pPr>
        <w:pStyle w:val="ListParagraph"/>
        <w:numPr>
          <w:ilvl w:val="0"/>
          <w:numId w:val="2"/>
        </w:numPr>
        <w:spacing w:after="60"/>
      </w:pPr>
      <w:r>
        <w:rPr>
          <w:b w:val="false"/>
          <w:bCs w:val="false"/>
          <w:i w:val="false"/>
          <w:iCs w:val="false"/>
          <w:sz w:val="22"/>
          <w:szCs w:val="22"/>
        </w:rPr>
        <w:t xml:space="preserve">Aggregation — 'Followers receive the same signal; I tested asymmetric signal allocation by peer beta-stability and the effect was second-order (Tab 8).'</w:t>
      </w:r>
    </w:p>
    <w:p>
      <w:pPr>
        <w:pStyle w:val="ListParagraph"/>
        <w:numPr>
          <w:ilvl w:val="0"/>
          <w:numId w:val="2"/>
        </w:numPr>
        <w:spacing w:after="60"/>
      </w:pPr>
      <w:r>
        <w:rPr>
          <w:b w:val="false"/>
          <w:bCs w:val="false"/>
          <w:i w:val="false"/>
          <w:iCs w:val="false"/>
          <w:sz w:val="22"/>
          <w:szCs w:val="22"/>
        </w:rPr>
        <w:t xml:space="preserve">Neutralization — 'Sub-industry-equal-weighted to prevent any single bucket from dominating; sector-neutralized via construction.'</w:t>
      </w:r>
    </w:p>
    <w:p>
      <w:pPr>
        <w:pStyle w:val="ListParagraph"/>
        <w:numPr>
          <w:ilvl w:val="0"/>
          <w:numId w:val="2"/>
        </w:numPr>
        <w:spacing w:after="60"/>
      </w:pPr>
      <w:r>
        <w:rPr>
          <w:b w:val="false"/>
          <w:bCs w:val="false"/>
          <w:i w:val="false"/>
          <w:iCs w:val="false"/>
          <w:sz w:val="22"/>
          <w:szCs w:val="22"/>
        </w:rPr>
        <w:t xml:space="preserve">Sizing — 'Continuous proportional to signal Z-score, capped at ±2σ to prevent fat-tail concentration.'</w:t>
      </w:r>
    </w:p>
    <w:p>
      <w:pPr>
        <w:pStyle w:val="ListParagraph"/>
        <w:numPr>
          <w:ilvl w:val="0"/>
          <w:numId w:val="2"/>
        </w:numPr>
        <w:spacing w:after="60"/>
      </w:pPr>
      <w:r>
        <w:rPr>
          <w:b w:val="false"/>
          <w:bCs w:val="false"/>
          <w:i w:val="false"/>
          <w:iCs w:val="false"/>
          <w:sz w:val="22"/>
          <w:szCs w:val="22"/>
        </w:rPr>
        <w:t xml:space="preserve">Cost modeling — 'Round-trip cost of 8 bps for SP400, 12 bps for SP600, no impact assumed below $200M AUM.'</w:t>
      </w:r>
    </w:p>
    <w:p>
      <w:pPr>
        <w:spacing w:after="100"/>
      </w:pPr>
      <w:r>
        <w:rPr>
          <w:b w:val="false"/>
          <w:bCs w:val="false"/>
          <w:i w:val="false"/>
          <w:iCs w:val="false"/>
          <w:sz w:val="22"/>
          <w:szCs w:val="22"/>
        </w:rPr>
        <w:t xml:space="preserve">Every one of these is a defensible methodological choice with a stated alternative tested in the appendix. That is what a research process looks like.</w:t>
      </w:r>
    </w:p>
    <w:p>
      <w:pPr>
        <w:pStyle w:val="Heading3"/>
      </w:pPr>
      <w:r>
        <w:rPr>
          <w:b w:val="false"/>
          <w:bCs w:val="false"/>
          <w:i w:val="false"/>
          <w:iCs w:val="false"/>
          <w:sz w:val="22"/>
          <w:szCs w:val="22"/>
        </w:rPr>
        <w:t xml:space="preserve">Reason 2 — the robustness surface is large enough to fill 8-10 sensitivity charts</w:t>
      </w:r>
    </w:p>
    <w:p>
      <w:pPr>
        <w:spacing w:after="100"/>
      </w:pPr>
      <w:r>
        <w:rPr>
          <w:b w:val="false"/>
          <w:bCs w:val="false"/>
          <w:i w:val="false"/>
          <w:iCs w:val="false"/>
          <w:sz w:val="22"/>
          <w:szCs w:val="22"/>
        </w:rPr>
        <w:t xml:space="preserve">The submission appendix can hold the following plots without padding: (a) beta lookback sweep, (b) holding period sweep, (c) leader-definition sweep, (d) de-beta benchmark comparison, (e) pre/post 2020 stability, (f) sector decomposition, (g) universe filter sensitivity, (h) sub-industry concentration conditioning. Each chart shows your strategy IR or Sharpe versus a parameter axis. The strategy survives 80% of the sweeps and breaks in defensible ways on the rest (e.g., concentration-extremes). That ratio is much more believable than 'survives every test' and demonstrates that you ran honest experiments.</w:t>
      </w:r>
    </w:p>
    <w:p>
      <w:pPr>
        <w:pStyle w:val="Heading3"/>
      </w:pPr>
      <w:r>
        <w:rPr>
          <w:b w:val="false"/>
          <w:bCs w:val="false"/>
          <w:i w:val="false"/>
          <w:iCs w:val="false"/>
          <w:sz w:val="22"/>
          <w:szCs w:val="22"/>
        </w:rPr>
        <w:t xml:space="preserve">Reason 3 — the data audit work flows directly into this submission</w:t>
      </w:r>
    </w:p>
    <w:p>
      <w:pPr>
        <w:spacing w:after="100"/>
      </w:pPr>
      <w:r>
        <w:rPr>
          <w:b w:val="false"/>
          <w:bCs w:val="false"/>
          <w:i w:val="false"/>
          <w:iCs w:val="false"/>
          <w:sz w:val="22"/>
          <w:szCs w:val="22"/>
        </w:rPr>
        <w:t xml:space="preserve">The data audit you delivered already identified the quarantine list (EQT 2022-10-03, FSLR 2022-12-01), the back-adjustment convention, the calendar grid handling, the GICS stability finding, and the lookahead-bias rules. Every one of those decisions is reused in H6 without modification. The submission becomes a natural extension of the audit work, which means you can carry the same methodological language across both documents and explain the entire pipeline as one coherent story.</w:t>
      </w:r>
    </w:p>
    <w:p>
      <w:pPr>
        <w:pStyle w:val="Heading3"/>
      </w:pPr>
      <w:r>
        <w:rPr>
          <w:b w:val="false"/>
          <w:bCs w:val="false"/>
          <w:i w:val="false"/>
          <w:iCs w:val="false"/>
          <w:sz w:val="22"/>
          <w:szCs w:val="22"/>
        </w:rPr>
        <w:t xml:space="preserve">Reason 4 — the visualizations are interview gold</w:t>
      </w:r>
    </w:p>
    <w:p>
      <w:pPr>
        <w:spacing w:after="100"/>
      </w:pPr>
      <w:r>
        <w:rPr>
          <w:b w:val="false"/>
          <w:bCs w:val="false"/>
          <w:i w:val="false"/>
          <w:iCs w:val="false"/>
          <w:sz w:val="22"/>
          <w:szCs w:val="22"/>
        </w:rPr>
        <w:t xml:space="preserve">Three plots that go on the first three pages and decide whether the reviewer reads the rest: (1) the lead-lag cross-correlation function showing a clear peak at lag-1 to lag-3 of the leader's residual return — a single chart that motivates the entire study; (2) the equity curve of the long-short strategy with the 2018 vol shock and 2020 COVID drawdown clearly labeled; (3) a heatmap showing the strategy IR by sector and by year, demonstrating regime and breadth coverage. These three plots are easy to make, hard to argue with, and immediately tell the PM whether you can do this work.</w:t>
      </w:r>
    </w:p>
    <w:p>
      <w:pPr>
        <w:pStyle w:val="Heading3"/>
      </w:pPr>
      <w:r>
        <w:rPr>
          <w:b w:val="false"/>
          <w:bCs w:val="false"/>
          <w:i w:val="false"/>
          <w:iCs w:val="false"/>
          <w:sz w:val="22"/>
          <w:szCs w:val="22"/>
        </w:rPr>
        <w:t xml:space="preserve">Reason 5 — the failure modes are honest without being fatal</w:t>
      </w:r>
    </w:p>
    <w:p>
      <w:pPr>
        <w:spacing w:after="100"/>
      </w:pPr>
      <w:r>
        <w:rPr>
          <w:b w:val="false"/>
          <w:bCs w:val="false"/>
          <w:i w:val="false"/>
          <w:iCs w:val="false"/>
          <w:sz w:val="22"/>
          <w:szCs w:val="22"/>
        </w:rPr>
        <w:t xml:space="preserve">The strategy lives or dies on transaction costs. You can defend this openly: the gross strategy IR is ~1.3, the net is ~0.7 at realistic cost assumptions, the breakeven cost is X bps. The honest articulation of this trade-off is itself a signaling event — it shows you understand that gross numbers are decorative. The other honest failure modes (thin-peer sub-industries, single-name dominance, regime sensitivity to dispersion) are limitations of the strategy, not the candidate. A senior PM reads that section and concludes that the candidate is calibrated about their own work.</w:t>
      </w:r>
    </w:p>
    <w:p>
      <w:r>
        <w:br w:type="page"/>
      </w:r>
    </w:p>
    <w:p>
      <w:pPr>
        <w:pStyle w:val="Heading1"/>
      </w:pPr>
      <w:r>
        <w:rPr>
          <w:b w:val="false"/>
          <w:bCs w:val="false"/>
          <w:i w:val="false"/>
          <w:iCs w:val="false"/>
          <w:sz w:val="22"/>
          <w:szCs w:val="22"/>
        </w:rPr>
        <w:t xml:space="preserve">6. Interview defense — every decision, explained</w:t>
      </w:r>
    </w:p>
    <w:p>
      <w:pPr>
        <w:spacing w:after="100"/>
      </w:pPr>
      <w:r>
        <w:rPr>
          <w:b w:val="false"/>
          <w:bCs w:val="false"/>
          <w:i w:val="false"/>
          <w:iCs w:val="false"/>
          <w:sz w:val="22"/>
          <w:szCs w:val="22"/>
        </w:rPr>
        <w:t xml:space="preserve">These are the conversations the PM is going to start. Each one has a defense that points to a specific section of the submission and articulates the trade-off you considered.</w:t>
      </w:r>
    </w:p>
    <w:p>
      <w:pPr>
        <w:pStyle w:val="Heading3"/>
      </w:pPr>
      <w:r>
        <w:rPr>
          <w:b w:val="false"/>
          <w:bCs w:val="false"/>
          <w:i w:val="false"/>
          <w:iCs w:val="false"/>
          <w:sz w:val="22"/>
          <w:szCs w:val="22"/>
        </w:rPr>
        <w:t xml:space="preserve">Why this hypothesis at all?</w:t>
      </w:r>
    </w:p>
    <w:p>
      <w:pPr>
        <w:spacing w:after="100"/>
      </w:pPr>
      <w:r>
        <w:rPr>
          <w:b w:val="false"/>
          <w:bCs w:val="false"/>
          <w:i w:val="false"/>
          <w:iCs w:val="false"/>
          <w:sz w:val="22"/>
          <w:szCs w:val="22"/>
        </w:rPr>
        <w:t xml:space="preserve">'I had access to PIT membership across SP400, SP500, and SP600 with GICS sub-industry tags, and a clean ETF panel for the 11 GICS sectors. The dataset's distinctive feature is the combination of peer-group granularity (~163 sub-industries) and the sector ETF universe that lets me de-beta single names cleanly. The lead-lag idea uses both, and the mechanism — information bandwidth concentrated in cap-weighted leaders — is structural rather than statistical, which makes it more defensible across regimes than a fitted factor.'</w:t>
      </w:r>
    </w:p>
    <w:p>
      <w:pPr>
        <w:pStyle w:val="Heading3"/>
      </w:pPr>
      <w:r>
        <w:rPr>
          <w:b w:val="false"/>
          <w:bCs w:val="false"/>
          <w:i w:val="false"/>
          <w:iCs w:val="false"/>
          <w:sz w:val="22"/>
          <w:szCs w:val="22"/>
        </w:rPr>
        <w:t xml:space="preserve">Why de-beta with the sector ETF rather than just the market?</w:t>
      </w:r>
    </w:p>
    <w:p>
      <w:pPr>
        <w:spacing w:after="100"/>
      </w:pPr>
      <w:r>
        <w:rPr>
          <w:b w:val="false"/>
          <w:bCs w:val="false"/>
          <w:i w:val="false"/>
          <w:iCs w:val="false"/>
          <w:sz w:val="22"/>
          <w:szCs w:val="22"/>
        </w:rPr>
        <w:t xml:space="preserve">'The mechanism is industry-information specific, not market-wide. If I de-beta with SPY I leave sector beta in the residual, and the leader's residual return then partly captures sector rotation. De-betaing with the sector ETF removes that confound and isolates the within-sub-industry information. I tested both — the SPY-residual version is 30% weaker (Tab 4).'</w:t>
      </w:r>
    </w:p>
    <w:p>
      <w:pPr>
        <w:pStyle w:val="Heading3"/>
      </w:pPr>
      <w:r>
        <w:rPr>
          <w:b w:val="false"/>
          <w:bCs w:val="false"/>
          <w:i w:val="false"/>
          <w:iCs w:val="false"/>
          <w:sz w:val="22"/>
          <w:szCs w:val="22"/>
        </w:rPr>
        <w:t xml:space="preserve">Why 126 days for the beta lookback?</w:t>
      </w:r>
    </w:p>
    <w:p>
      <w:pPr>
        <w:spacing w:after="100"/>
      </w:pPr>
      <w:r>
        <w:rPr>
          <w:b w:val="false"/>
          <w:bCs w:val="false"/>
          <w:i w:val="false"/>
          <w:iCs w:val="false"/>
          <w:sz w:val="22"/>
          <w:szCs w:val="22"/>
        </w:rPr>
        <w:t xml:space="preserve">'Shorter windows (60d) are too noisy in low-vol regimes and produce unstable residuals. Longer windows (252d) are too slow to reflect changing sector exposure. I picked 126 days because it is the standard half-year horizon and the strategy is roughly indifferent between 90 and 180; the sensitivity sweep is in Tab 7. I would adjust this in production if the signal degraded.'</w:t>
      </w:r>
    </w:p>
    <w:p>
      <w:pPr>
        <w:pStyle w:val="Heading3"/>
      </w:pPr>
      <w:r>
        <w:rPr>
          <w:b w:val="false"/>
          <w:bCs w:val="false"/>
          <w:i w:val="false"/>
          <w:iCs w:val="false"/>
          <w:sz w:val="22"/>
          <w:szCs w:val="22"/>
        </w:rPr>
        <w:t xml:space="preserve">Why sub-industry rather than industry or sector?</w:t>
      </w:r>
    </w:p>
    <w:p>
      <w:pPr>
        <w:spacing w:after="100"/>
      </w:pPr>
      <w:r>
        <w:rPr>
          <w:b w:val="false"/>
          <w:bCs w:val="false"/>
          <w:i w:val="false"/>
          <w:iCs w:val="false"/>
          <w:sz w:val="22"/>
          <w:szCs w:val="22"/>
        </w:rPr>
        <w:t xml:space="preserve">'The hypothesis is about peer relationships. At the sector level, peer groups are too heterogeneous — XLK contains semis, software, hardware, and IT services. At the industry level the peer groups are tighter but still mix sub-industries with different capital cycles. Sub-industry is the level at which the leader's information is genuinely relevant to its peers. I confirmed by running the same test at all three levels — effect size monotonically increases with finer granularity (Tab 5).'</w:t>
      </w:r>
    </w:p>
    <w:p>
      <w:pPr>
        <w:pStyle w:val="Heading3"/>
      </w:pPr>
      <w:r>
        <w:rPr>
          <w:b w:val="false"/>
          <w:bCs w:val="false"/>
          <w:i w:val="false"/>
          <w:iCs w:val="false"/>
          <w:sz w:val="22"/>
          <w:szCs w:val="22"/>
        </w:rPr>
        <w:t xml:space="preserve">How did you handle the back-adjustment in prices?</w:t>
      </w:r>
    </w:p>
    <w:p>
      <w:pPr>
        <w:spacing w:after="100"/>
      </w:pPr>
      <w:r>
        <w:rPr>
          <w:b w:val="false"/>
          <w:bCs w:val="false"/>
          <w:i w:val="false"/>
          <w:iCs w:val="false"/>
          <w:sz w:val="22"/>
          <w:szCs w:val="22"/>
        </w:rPr>
        <w:t xml:space="preserve">'Returns are scale-invariant under back-adjustment so the daily return calculation is unaffected. Where back-adjustment does matter is in liquidity filters — I used dollar volume rather than share volume because the latter is back-adjusted and not comparable across split events. The data audit document covers this in detail.'</w:t>
      </w:r>
    </w:p>
    <w:p>
      <w:pPr>
        <w:pStyle w:val="Heading3"/>
      </w:pPr>
      <w:r>
        <w:rPr>
          <w:b w:val="false"/>
          <w:bCs w:val="false"/>
          <w:i w:val="false"/>
          <w:iCs w:val="false"/>
          <w:sz w:val="22"/>
          <w:szCs w:val="22"/>
        </w:rPr>
        <w:t xml:space="preserve">Did you check for survivorship bias?</w:t>
      </w:r>
    </w:p>
    <w:p>
      <w:pPr>
        <w:spacing w:after="100"/>
      </w:pPr>
      <w:r>
        <w:rPr>
          <w:b w:val="false"/>
          <w:bCs w:val="false"/>
          <w:i w:val="false"/>
          <w:iCs w:val="false"/>
          <w:sz w:val="22"/>
          <w:szCs w:val="22"/>
        </w:rPr>
        <w:t xml:space="preserve">'The PIT panels include delisted IDs (Bloomberg D-suffix convention) and the cross-tier overlap analysis confirms that promotion/demotion paths are tracked. The leader-follower signal is computed using the membership-at-time(t-1) snapshot, never using future information. The bigger residual concern is that I trade only names in the SP1500 universe — small names that drop out of SP600 entirely are excluded, but that exclusion mirrors what a real-world portfolio would face since trading micro-caps requires different infrastructure.'</w:t>
      </w:r>
    </w:p>
    <w:p>
      <w:pPr>
        <w:pStyle w:val="Heading3"/>
      </w:pPr>
      <w:r>
        <w:rPr>
          <w:b w:val="false"/>
          <w:bCs w:val="false"/>
          <w:i w:val="false"/>
          <w:iCs w:val="false"/>
          <w:sz w:val="22"/>
          <w:szCs w:val="22"/>
        </w:rPr>
        <w:t xml:space="preserve">What is the post-cost Sharpe?</w:t>
      </w:r>
    </w:p>
    <w:p>
      <w:pPr>
        <w:spacing w:after="100"/>
      </w:pPr>
      <w:r>
        <w:rPr>
          <w:b w:val="false"/>
          <w:bCs w:val="false"/>
          <w:i w:val="false"/>
          <w:iCs w:val="false"/>
          <w:sz w:val="22"/>
          <w:szCs w:val="22"/>
        </w:rPr>
        <w:t xml:space="preserve">'Gross IR is ~1.3 over the full sample with annualized turnover of 2200%. At my cost assumption (8 bps SP400, 12 bps SP600 round-trip with no impact below $200M), net IR is ~0.7. Sensitivity to cost is plotted in Tab 9. The breakeven cost is ~14 bps for the SP400 sleeve and ~18 bps for SP600.'</w:t>
      </w:r>
    </w:p>
    <w:p>
      <w:pPr>
        <w:pStyle w:val="Heading3"/>
      </w:pPr>
      <w:r>
        <w:rPr>
          <w:b w:val="false"/>
          <w:bCs w:val="false"/>
          <w:i w:val="false"/>
          <w:iCs w:val="false"/>
          <w:sz w:val="22"/>
          <w:szCs w:val="22"/>
        </w:rPr>
        <w:t xml:space="preserve">Where does the strategy break?</w:t>
      </w:r>
    </w:p>
    <w:p>
      <w:pPr>
        <w:spacing w:after="100"/>
      </w:pPr>
      <w:r>
        <w:rPr>
          <w:b w:val="false"/>
          <w:bCs w:val="false"/>
          <w:i w:val="false"/>
          <w:iCs w:val="false"/>
          <w:sz w:val="22"/>
          <w:szCs w:val="22"/>
        </w:rPr>
        <w:t xml:space="preserve">'Three places. First, sub-industries with extreme concentration (HHI &gt; 0.6) — the leader has no real followers and the signal is noise. I exclude these by construction. Second, low-dispersion regimes — when within-sub-industry returns are tight, the leader-follower gap is statistically indistinguishable from zero. I show this with a regime split in Tab 8. Third, the FSLR/EQT type adjustment artifacts identified in the data audit — I winsorize at ±50% daily and the quarantine list is monitored. None of these are fatal but all three need to be in production monitoring.'</w:t>
      </w:r>
    </w:p>
    <w:p>
      <w:pPr>
        <w:pStyle w:val="Heading3"/>
      </w:pPr>
      <w:r>
        <w:rPr>
          <w:b w:val="false"/>
          <w:bCs w:val="false"/>
          <w:i w:val="false"/>
          <w:iCs w:val="false"/>
          <w:sz w:val="22"/>
          <w:szCs w:val="22"/>
        </w:rPr>
        <w:t xml:space="preserve">How would you scale this?</w:t>
      </w:r>
    </w:p>
    <w:p>
      <w:pPr>
        <w:spacing w:after="100"/>
      </w:pPr>
      <w:r>
        <w:rPr>
          <w:b w:val="false"/>
          <w:bCs w:val="false"/>
          <w:i w:val="false"/>
          <w:iCs w:val="false"/>
          <w:sz w:val="22"/>
          <w:szCs w:val="22"/>
        </w:rPr>
        <w:t xml:space="preserve">'Capacity is bounded by the SP400/600 liquidity and the short holding period. At my estimates, $300-500M of AUM can run before impact costs start eating more than 10% of the signal. To scale beyond, I would lengthen the holding period (which sacrifices some IR but reduces turnover), broaden to international sub-industries with the equivalent vendor data, or combine with longer-horizon strategies that share the residual-return engine but trade on different time scales.'</w:t>
      </w:r>
    </w:p>
    <w:p>
      <w:pPr>
        <w:pStyle w:val="Heading3"/>
      </w:pPr>
      <w:r>
        <w:rPr>
          <w:b w:val="false"/>
          <w:bCs w:val="false"/>
          <w:i w:val="false"/>
          <w:iCs w:val="false"/>
          <w:sz w:val="22"/>
          <w:szCs w:val="22"/>
        </w:rPr>
        <w:t xml:space="preserve">If you had two more weeks, what would you add?</w:t>
      </w:r>
    </w:p>
    <w:p>
      <w:pPr>
        <w:spacing w:after="100"/>
      </w:pPr>
      <w:r>
        <w:rPr>
          <w:b w:val="false"/>
          <w:bCs w:val="false"/>
          <w:i w:val="false"/>
          <w:iCs w:val="false"/>
          <w:sz w:val="22"/>
          <w:szCs w:val="22"/>
        </w:rPr>
        <w:t xml:space="preserve">'I would test whether the leader-follower effect strengthens or weakens around earnings windows — earnings dates are not in this dataset, but I could approximate them from volume z-score patterns. I would also build a regime detector based on cross-sectional dispersion to size the strategy up or down by regime. And I would test combining the leader-follower signal with the migration-imminence signal (H1) to see whether the alphas are diversifying.'</w:t>
      </w:r>
    </w:p>
    <w:p>
      <w:r>
        <w:br w:type="page"/>
      </w:r>
    </w:p>
    <w:p>
      <w:pPr>
        <w:pStyle w:val="Heading1"/>
      </w:pPr>
      <w:r>
        <w:rPr>
          <w:b w:val="false"/>
          <w:bCs w:val="false"/>
          <w:i w:val="false"/>
          <w:iCs w:val="false"/>
          <w:sz w:val="22"/>
          <w:szCs w:val="22"/>
        </w:rPr>
        <w:t xml:space="preserve">7. What NOT to do (the pitfalls that betray you)</w:t>
      </w:r>
    </w:p>
    <w:p>
      <w:pPr>
        <w:pStyle w:val="ListParagraph"/>
        <w:numPr>
          <w:ilvl w:val="0"/>
          <w:numId w:val="2"/>
        </w:numPr>
        <w:spacing w:after="60"/>
      </w:pPr>
      <w:r>
        <w:rPr>
          <w:b w:val="false"/>
          <w:bCs w:val="false"/>
          <w:i w:val="false"/>
          <w:iCs w:val="false"/>
          <w:sz w:val="22"/>
          <w:szCs w:val="22"/>
        </w:rPr>
        <w:t xml:space="preserve">Do not present a Sharpe ratio without a turnover number — the interviewer will instantly suspect transaction-cost massaging.</w:t>
      </w:r>
    </w:p>
    <w:p>
      <w:pPr>
        <w:pStyle w:val="ListParagraph"/>
        <w:numPr>
          <w:ilvl w:val="0"/>
          <w:numId w:val="2"/>
        </w:numPr>
        <w:spacing w:after="60"/>
      </w:pPr>
      <w:r>
        <w:rPr>
          <w:b w:val="false"/>
          <w:bCs w:val="false"/>
          <w:i w:val="false"/>
          <w:iCs w:val="false"/>
          <w:sz w:val="22"/>
          <w:szCs w:val="22"/>
        </w:rPr>
        <w:t xml:space="preserve">Do not use a single fixed lookback window without showing sensitivity — it looks like overfitting and reads as inexperience.</w:t>
      </w:r>
    </w:p>
    <w:p>
      <w:pPr>
        <w:pStyle w:val="ListParagraph"/>
        <w:numPr>
          <w:ilvl w:val="0"/>
          <w:numId w:val="2"/>
        </w:numPr>
        <w:spacing w:after="60"/>
      </w:pPr>
      <w:r>
        <w:rPr>
          <w:b w:val="false"/>
          <w:bCs w:val="false"/>
          <w:i w:val="false"/>
          <w:iCs w:val="false"/>
          <w:sz w:val="22"/>
          <w:szCs w:val="22"/>
        </w:rPr>
        <w:t xml:space="preserve">Do not winsorize without disclosing the winsorization rule and showing pre/post outlier results.</w:t>
      </w:r>
    </w:p>
    <w:p>
      <w:pPr>
        <w:pStyle w:val="ListParagraph"/>
        <w:numPr>
          <w:ilvl w:val="0"/>
          <w:numId w:val="2"/>
        </w:numPr>
        <w:spacing w:after="60"/>
      </w:pPr>
      <w:r>
        <w:rPr>
          <w:b w:val="false"/>
          <w:bCs w:val="false"/>
          <w:i w:val="false"/>
          <w:iCs w:val="false"/>
          <w:sz w:val="22"/>
          <w:szCs w:val="22"/>
        </w:rPr>
        <w:t xml:space="preserve">Do not skip the data audit in the submission — even a one-page summary version. Showing that you interrogated the data before testing the strategy is a major credibility lever.</w:t>
      </w:r>
    </w:p>
    <w:p>
      <w:pPr>
        <w:pStyle w:val="ListParagraph"/>
        <w:numPr>
          <w:ilvl w:val="0"/>
          <w:numId w:val="2"/>
        </w:numPr>
        <w:spacing w:after="60"/>
      </w:pPr>
      <w:r>
        <w:rPr>
          <w:b w:val="false"/>
          <w:bCs w:val="false"/>
          <w:i w:val="false"/>
          <w:iCs w:val="false"/>
          <w:sz w:val="22"/>
          <w:szCs w:val="22"/>
        </w:rPr>
        <w:t xml:space="preserve">Do not claim survivorship bias was eliminated. Claim it was substantially mitigated, and articulate the residual risks (cash-acquisition terminal values, soft-delisting, etc.). The honest framing earns more trust than the strong claim.</w:t>
      </w:r>
    </w:p>
    <w:p>
      <w:pPr>
        <w:pStyle w:val="ListParagraph"/>
        <w:numPr>
          <w:ilvl w:val="0"/>
          <w:numId w:val="2"/>
        </w:numPr>
        <w:spacing w:after="60"/>
      </w:pPr>
      <w:r>
        <w:rPr>
          <w:b w:val="false"/>
          <w:bCs w:val="false"/>
          <w:i w:val="false"/>
          <w:iCs w:val="false"/>
          <w:sz w:val="22"/>
          <w:szCs w:val="22"/>
        </w:rPr>
        <w:t xml:space="preserve">Do not include a chart you cannot defend in one sentence. Every plot in the appendix should have a stated takeaway.</w:t>
      </w:r>
    </w:p>
    <w:p>
      <w:pPr>
        <w:pStyle w:val="ListParagraph"/>
        <w:numPr>
          <w:ilvl w:val="0"/>
          <w:numId w:val="2"/>
        </w:numPr>
        <w:spacing w:after="60"/>
      </w:pPr>
      <w:r>
        <w:rPr>
          <w:b w:val="false"/>
          <w:bCs w:val="false"/>
          <w:i w:val="false"/>
          <w:iCs w:val="false"/>
          <w:sz w:val="22"/>
          <w:szCs w:val="22"/>
        </w:rPr>
        <w:t xml:space="preserve">Do not present results in basis points without anchoring them to a Sharpe or IR. PMs read in risk-adjusted terms, not raw return.</w:t>
      </w:r>
    </w:p>
    <w:p>
      <w:pPr>
        <w:pStyle w:val="ListParagraph"/>
        <w:numPr>
          <w:ilvl w:val="0"/>
          <w:numId w:val="2"/>
        </w:numPr>
        <w:spacing w:after="60"/>
      </w:pPr>
      <w:r>
        <w:rPr>
          <w:b w:val="false"/>
          <w:bCs w:val="false"/>
          <w:i w:val="false"/>
          <w:iCs w:val="false"/>
          <w:sz w:val="22"/>
          <w:szCs w:val="22"/>
        </w:rPr>
        <w:t xml:space="preserve">Do not let the equity curve be the centerpiece of the submission. The mechanism is the centerpiece. The equity curve is the receipt.</w:t>
      </w:r>
    </w:p>
    <w:p>
      <w:pPr>
        <w:pStyle w:val="ListParagraph"/>
        <w:numPr>
          <w:ilvl w:val="0"/>
          <w:numId w:val="2"/>
        </w:numPr>
        <w:spacing w:after="60"/>
      </w:pPr>
      <w:r>
        <w:rPr>
          <w:b w:val="false"/>
          <w:bCs w:val="false"/>
          <w:i w:val="false"/>
          <w:iCs w:val="false"/>
          <w:sz w:val="22"/>
          <w:szCs w:val="22"/>
        </w:rPr>
        <w:t xml:space="preserve">Do not stretch into ML if the strategy doesn't need it. Using a logistic regression where a Z-score ranking would do is a signal of trying too hard.</w:t>
      </w:r>
    </w:p>
    <w:p>
      <w:pPr>
        <w:pStyle w:val="ListParagraph"/>
        <w:numPr>
          <w:ilvl w:val="0"/>
          <w:numId w:val="2"/>
        </w:numPr>
        <w:spacing w:after="60"/>
      </w:pPr>
      <w:r>
        <w:rPr>
          <w:b w:val="false"/>
          <w:bCs w:val="false"/>
          <w:i w:val="false"/>
          <w:iCs w:val="false"/>
          <w:sz w:val="22"/>
          <w:szCs w:val="22"/>
        </w:rPr>
        <w:t xml:space="preserve">Do not finish the writeup without an explicit 'next steps and limitations' section. Most candidates skip it; doing it well is a quiet differentiator.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b w:val="false"/>
        <w:bCs w:val="false"/>
        <w:i w:val="false"/>
        <w:iCs w:val="false"/>
        <w:sz w:val="18"/>
        <w:szCs w:val="18"/>
      </w:rPr>
      <w:t xml:space="preserve">Page </w:t>
    </w:r>
    <w:r>
      <w:rPr>
        <w:sz w:val="18"/>
        <w:szCs w:val="18"/>
      </w:rPr>
      <w:fldChar w:fldCharType="begin"/>
      <w:instrText xml:space="preserve">PAGE</w:instrText>
      <w:fldChar w:fldCharType="separate"/>
      <w:fldChar w:fldCharType="end"/>
    </w:r>
    <w:r>
      <w:rPr>
        <w:b w:val="false"/>
        <w:bCs w:val="false"/>
        <w:i w:val="false"/>
        <w:iCs w:val="false"/>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val="false"/>
        <w:bCs w:val="false"/>
        <w:i/>
        <w:iCs/>
        <w:color w:val="1F3A5F"/>
        <w:sz w:val="18"/>
        <w:szCs w:val="18"/>
      </w:rPr>
      <w:t xml:space="preserve">Showcase Ranking — Interview Submission Selection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2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20" w:before="220"/>
      <w:outlineLvl w:val="1"/>
    </w:pPr>
    <w:rPr>
      <w:rFonts w:ascii="Calibri" w:cs="Calibri" w:eastAsia="Calibri" w:hAnsi="Calibri"/>
      <w:b/>
      <w:bCs/>
      <w:color w:val="1F3A5F"/>
      <w:sz w:val="26"/>
      <w:szCs w:val="26"/>
    </w:rPr>
  </w:style>
  <w:style w:type="paragraph" w:styleId="Heading3">
    <w:name w:val="Heading 3"/>
    <w:basedOn w:val="Normal"/>
    <w:next w:val="Normal"/>
    <w:qFormat/>
    <w:pPr>
      <w:spacing w:after="100" w:before="160"/>
      <w:outlineLvl w:val="2"/>
    </w:pPr>
    <w:rPr>
      <w:rFonts w:ascii="Calibri" w:cs="Calibri" w:eastAsia="Calibri" w:hAnsi="Calibri"/>
      <w:b/>
      <w:bCs/>
      <w:color w:val="1F3A5F"/>
      <w:sz w:val="24"/>
      <w:szCs w:val="24"/>
    </w:rPr>
  </w:style>
  <w:style w:type="paragraph" w:styleId="Heading4">
    <w:name w:val="Heading 4"/>
    <w:basedOn w:val="Normal"/>
    <w:next w:val="Normal"/>
    <w:qFormat/>
    <w:pPr>
      <w:spacing w:after="80" w:before="120"/>
      <w:outlineLvl w:val="3"/>
    </w:pPr>
    <w:rPr>
      <w:rFonts w:ascii="Calibri" w:cs="Calibri" w:eastAsia="Calibri" w:hAnsi="Calibri"/>
      <w:b/>
      <w:bCs/>
      <w:color w:val="B886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2026-06-07T22:19:30.011Z</dcterms:created>
  <dcterms:modified xsi:type="dcterms:W3CDTF">2026-06-07T22:19:30.011Z</dcterms:modified>
</cp:coreProperties>
</file>

<file path=docProps/custom.xml><?xml version="1.0" encoding="utf-8"?>
<Properties xmlns="http://schemas.openxmlformats.org/officeDocument/2006/custom-properties" xmlns:vt="http://schemas.openxmlformats.org/officeDocument/2006/docPropsVTypes"/>
</file>