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00B9F1"/>
          <w:sz w:val="22"/>
          <w:szCs w:val="22"/>
        </w:rPr>
        <w:t xml:space="preserve">Paytm UPI Growth Challenge — Round 1</w:t>
      </w:r>
    </w:p>
    <w:p>
      <w:pPr>
        <w:spacing w:after="80"/>
      </w:pPr>
      <w:r>
        <w:rPr>
          <w:b/>
          <w:bCs/>
          <w:color w:val="002E6E"/>
          <w:sz w:val="44"/>
          <w:szCs w:val="44"/>
        </w:rPr>
        <w:t xml:space="preserve">Execution Plan &amp; Proposal</w:t>
      </w:r>
    </w:p>
    <w:p>
      <w:pPr>
        <w:spacing w:after="240"/>
      </w:pPr>
      <w:r>
        <w:t xml:space="preserve">Track A · Build Primary-App Preference   |   Prepared 19 Sep 2026   |   Submission deadline: </w:t>
      </w:r>
      <w:r>
        <w:rPr>
          <w:b/>
          <w:bCs/>
        </w:rPr>
        <w:t xml:space="preserve">20 Sep 2026</w:t>
      </w:r>
    </w:p>
    <w:p>
      <w:pPr>
        <w:pStyle w:val="Heading1"/>
      </w:pPr>
      <w:r>
        <w:t xml:space="preserve">1. The bet in one paragraph</w:t>
      </w:r>
    </w:p>
    <w:p>
      <w:pPr>
        <w:pBdr>
          <w:left w:val="single" w:color="00B9F1" w:sz="24" w:space="8"/>
        </w:pBdr>
        <w:shd w:fill="E6F7FD" w:color="auto" w:val="clear"/>
        <w:spacing w:after="160" w:before="120"/>
        <w:ind w:left="200" w:right="200"/>
      </w:pPr>
      <w:r>
        <w:rPr>
          <w:b/>
          <w:bCs/>
        </w:rPr>
        <w:t xml:space="preserve">Students keep Paytm for the big, occasional payments and send the small daily ones through PhonePe or GPay. Their spending is largely funded by parents, and a lot of parents are long-time Paytm users. We propose "Paytm Allowance": turn Paytm's existing UPI Circle feature into a parent-to-student monthly allowance. The student's daily canteen, food, auto and split payments then run through Paytm by default. No cashback is needed. The reason to keep using Paytm is that the allowance lives there.</w:t>
      </w:r>
    </w:p>
    <w:p>
      <w:pPr>
        <w:spacing w:after="100"/>
      </w:pPr>
      <w:r>
        <w:t xml:space="preserve">This is the main idea, not a final decision. The 50 VOCs will either confirm it or move us to the backup idea (Section 4). Whichever one the data supports goes into the final PDF.</w:t>
      </w:r>
    </w:p>
    <w:p>
      <w:pPr>
        <w:pStyle w:val="Heading1"/>
      </w:pPr>
      <w:r>
        <w:t xml:space="preserve">2. Track, segment and payment occasions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BFC7D5" w:sz="4"/>
              <w:left w:val="single" w:color="BFC7D5" w:sz="4"/>
              <w:bottom w:val="single" w:color="BFC7D5" w:sz="4"/>
              <w:right w:val="single" w:color="BFC7D5" w:sz="4"/>
            </w:tcBorders>
            <w:shd w:fill="002E6E" w:color="auto" w:val="clear"/>
            <w:tcMar>
              <w:top w:type="dxa" w:w="60"/>
              <w:left w:type="dxa" w:w="100"/>
              <w:bottom w:type="dxa" w:w="60"/>
              <w:right w:type="dxa" w:w="100"/>
            </w:tcMar>
          </w:tcPr>
          <w:p>
            <w:pPr>
              <w:pStyle w:val="cell"/>
            </w:pPr>
            <w:r>
              <w:rPr>
                <w:b/>
                <w:bCs/>
                <w:color w:val="FFFFFF"/>
                <w:sz w:val="19"/>
                <w:szCs w:val="19"/>
              </w:rPr>
              <w:t xml:space="preserve">Item</w:t>
            </w:r>
          </w:p>
        </w:tc>
        <w:tc>
          <w:tcPr>
            <w:tcW w:type="dxa" w:w="6726"/>
            <w:tcBorders>
              <w:top w:val="single" w:color="BFC7D5" w:sz="4"/>
              <w:left w:val="single" w:color="BFC7D5" w:sz="4"/>
              <w:bottom w:val="single" w:color="BFC7D5" w:sz="4"/>
              <w:right w:val="single" w:color="BFC7D5" w:sz="4"/>
            </w:tcBorders>
            <w:shd w:fill="002E6E" w:color="auto" w:val="clear"/>
            <w:tcMar>
              <w:top w:type="dxa" w:w="60"/>
              <w:left w:type="dxa" w:w="100"/>
              <w:bottom w:type="dxa" w:w="60"/>
              <w:right w:type="dxa" w:w="100"/>
            </w:tcMar>
          </w:tcPr>
          <w:p>
            <w:pPr>
              <w:pStyle w:val="cell"/>
            </w:pPr>
            <w:r>
              <w:rPr>
                <w:b/>
                <w:bCs/>
                <w:color w:val="FFFFFF"/>
                <w:sz w:val="19"/>
                <w:szCs w:val="19"/>
              </w:rPr>
              <w:t xml:space="preserve">Definition</w:t>
            </w:r>
          </w:p>
        </w:tc>
      </w:tr>
      <w:tr>
        <w:trPr>
          <w:tblHeader w:val="false"/>
        </w:trPr>
        <w:tc>
          <w:tcPr>
            <w:tcW w:type="dxa" w:w="23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pStyle w:val="cell"/>
            </w:pPr>
            <w:r>
              <w:t xml:space="preserve">Track</w:t>
            </w:r>
          </w:p>
        </w:tc>
        <w:tc>
          <w:tcPr>
            <w:tcW w:type="dxa" w:w="6726"/>
            <w:tcBorders>
              <w:top w:val="single" w:color="BFC7D5" w:sz="4"/>
              <w:left w:val="single" w:color="BFC7D5" w:sz="4"/>
              <w:bottom w:val="single" w:color="BFC7D5" w:sz="4"/>
              <w:right w:val="single" w:color="BFC7D5" w:sz="4"/>
            </w:tcBorders>
            <w:tcMar>
              <w:top w:type="dxa" w:w="60"/>
              <w:left w:type="dxa" w:w="100"/>
              <w:bottom w:type="dxa" w:w="60"/>
              <w:right w:type="dxa" w:w="100"/>
            </w:tcMar>
          </w:tcPr>
          <w:p>
            <w:pPr>
              <w:pStyle w:val="cell"/>
            </w:pPr>
            <w:r>
              <w:t xml:space="preserve">A — Build Primary-App Preference</w:t>
            </w:r>
          </w:p>
        </w:tc>
      </w:tr>
      <w:tr>
        <w:trPr>
          <w:tblHeader w:val="false"/>
        </w:trPr>
        <w:tc>
          <w:tcPr>
            <w:tcW w:type="dxa" w:w="23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pStyle w:val="cell"/>
            </w:pPr>
            <w:r>
              <w:t xml:space="preserve">Target segment</w:t>
            </w:r>
          </w:p>
        </w:tc>
        <w:tc>
          <w:tcPr>
            <w:tcW w:type="dxa" w:w="6726"/>
            <w:tcBorders>
              <w:top w:val="single" w:color="BFC7D5" w:sz="4"/>
              <w:left w:val="single" w:color="BFC7D5" w:sz="4"/>
              <w:bottom w:val="single" w:color="BFC7D5" w:sz="4"/>
              <w:right w:val="single" w:color="BFC7D5" w:sz="4"/>
            </w:tcBorders>
            <w:tcMar>
              <w:top w:type="dxa" w:w="60"/>
              <w:left w:type="dxa" w:w="100"/>
              <w:bottom w:type="dxa" w:w="60"/>
              <w:right w:type="dxa" w:w="100"/>
            </w:tcMar>
          </w:tcPr>
          <w:p>
            <w:pPr>
              <w:pStyle w:val="cell"/>
            </w:pPr>
            <w:r>
              <w:t xml:space="preserve">College students aged 18–25 (VIT Vellore first, plus friends at other colleges for spread) who </w:t>
            </w:r>
            <w:r>
              <w:rPr>
                <w:b/>
                <w:bCs/>
              </w:rPr>
              <w:t xml:space="preserve">used Paytm UPI in the last 90 days</w:t>
            </w:r>
            <w:r>
              <w:t xml:space="preserve"> but make </w:t>
            </w:r>
            <w:r>
              <w:rPr>
                <w:b/>
                <w:bCs/>
              </w:rPr>
              <w:t xml:space="preserve">most of their UPI payments through another app</w:t>
            </w:r>
          </w:p>
        </w:tc>
      </w:tr>
      <w:tr>
        <w:trPr>
          <w:tblHeader w:val="false"/>
        </w:trPr>
        <w:tc>
          <w:tcPr>
            <w:tcW w:type="dxa" w:w="23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pStyle w:val="cell"/>
            </w:pPr>
            <w:r>
              <w:t xml:space="preserve">Payment occasions studied</w:t>
            </w:r>
          </w:p>
        </w:tc>
        <w:tc>
          <w:tcPr>
            <w:tcW w:type="dxa" w:w="6726"/>
            <w:tcBorders>
              <w:top w:val="single" w:color="BFC7D5" w:sz="4"/>
              <w:left w:val="single" w:color="BFC7D5" w:sz="4"/>
              <w:bottom w:val="single" w:color="BFC7D5" w:sz="4"/>
              <w:right w:val="single" w:color="BFC7D5" w:sz="4"/>
            </w:tcBorders>
            <w:tcMar>
              <w:top w:type="dxa" w:w="60"/>
              <w:left w:type="dxa" w:w="100"/>
              <w:bottom w:type="dxa" w:w="60"/>
              <w:right w:type="dxa" w:w="100"/>
            </w:tcMar>
          </w:tcPr>
          <w:p>
            <w:pPr>
              <w:pStyle w:val="cell"/>
            </w:pPr>
            <w:r>
              <w:t xml:space="preserve">Medium/low-value, high-frequency: canteen and mess extras, food stalls and cafés, autos, splitting with friends, small online orders. Compared against high-value, low-frequency: recharges, bills, train and movie tickets.</w:t>
            </w:r>
          </w:p>
        </w:tc>
      </w:tr>
      <w:tr>
        <w:trPr>
          <w:tblHeader w:val="false"/>
        </w:trPr>
        <w:tc>
          <w:tcPr>
            <w:tcW w:type="dxa" w:w="23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pStyle w:val="cell"/>
            </w:pPr>
            <w:r>
              <w:t xml:space="preserve">Why this segment</w:t>
            </w:r>
          </w:p>
        </w:tc>
        <w:tc>
          <w:tcPr>
            <w:tcW w:type="dxa" w:w="6726"/>
            <w:tcBorders>
              <w:top w:val="single" w:color="BFC7D5" w:sz="4"/>
              <w:left w:val="single" w:color="BFC7D5" w:sz="4"/>
              <w:bottom w:val="single" w:color="BFC7D5" w:sz="4"/>
              <w:right w:val="single" w:color="BFC7D5" w:sz="4"/>
            </w:tcBorders>
            <w:tcMar>
              <w:top w:type="dxa" w:w="60"/>
              <w:left w:type="dxa" w:w="100"/>
              <w:bottom w:type="dxa" w:w="60"/>
              <w:right w:type="dxa" w:w="100"/>
            </w:tcMar>
          </w:tcPr>
          <w:p>
            <w:pPr>
              <w:pStyle w:val="cell"/>
            </w:pPr>
            <w:r>
              <w:t xml:space="preserve">Students make many small payments and form habits early. It's the easiest segment to reach in 24 hours, and it matches the brief's 'medium/low value, high frequency' occasion exactly.</w:t>
            </w:r>
          </w:p>
        </w:tc>
      </w:tr>
      <w:tr>
        <w:trPr>
          <w:tblHeader w:val="false"/>
        </w:trPr>
        <w:tc>
          <w:tcPr>
            <w:tcW w:type="dxa" w:w="23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pStyle w:val="cell"/>
            </w:pPr>
            <w:r>
              <w:t xml:space="preserve">Who is out of scope</w:t>
            </w:r>
          </w:p>
        </w:tc>
        <w:tc>
          <w:tcPr>
            <w:tcW w:type="dxa" w:w="6726"/>
            <w:tcBorders>
              <w:top w:val="single" w:color="BFC7D5" w:sz="4"/>
              <w:left w:val="single" w:color="BFC7D5" w:sz="4"/>
              <w:bottom w:val="single" w:color="BFC7D5" w:sz="4"/>
              <w:right w:val="single" w:color="BFC7D5" w:sz="4"/>
            </w:tcBorders>
            <w:tcMar>
              <w:top w:type="dxa" w:w="60"/>
              <w:left w:type="dxa" w:w="100"/>
              <w:bottom w:type="dxa" w:w="60"/>
              <w:right w:type="dxa" w:w="100"/>
            </w:tcMar>
          </w:tcPr>
          <w:p>
            <w:pPr>
              <w:pStyle w:val="cell"/>
            </w:pPr>
            <w:r>
              <w:t xml:space="preserve">People who have never used Paytm, and people who already use Paytm as their main app. Both are screened out (Section 6.2).</w:t>
            </w:r>
          </w:p>
        </w:tc>
      </w:tr>
    </w:tbl>
    <w:p>
      <w:pPr>
        <w:pStyle w:val="Heading1"/>
      </w:pPr>
      <w:r>
        <w:t xml:space="preserve">3. Why this matters to Paytm</w:t>
      </w:r>
    </w:p>
    <w:p>
      <w:pPr>
        <w:pStyle w:val="ListParagraph"/>
        <w:numPr>
          <w:ilvl w:val="0"/>
          <w:numId w:val="2"/>
        </w:numPr>
        <w:spacing w:after="60"/>
      </w:pPr>
      <w:r>
        <w:rPr>
          <w:b/>
          <w:bCs/>
        </w:rPr>
        <w:t xml:space="preserve">The wrong kind of usage.</w:t>
      </w:r>
      <w:r>
        <w:t xml:space="preserve"> If our hypothesis holds, Paytm gets the student's rare large payments and loses the daily ones. The daily payments are what drive monthly active users (MTU) and frequency.</w:t>
      </w:r>
    </w:p>
    <w:p>
      <w:pPr>
        <w:pStyle w:val="ListParagraph"/>
        <w:numPr>
          <w:ilvl w:val="0"/>
          <w:numId w:val="2"/>
        </w:numPr>
        <w:spacing w:after="60"/>
      </w:pPr>
      <w:r>
        <w:rPr>
          <w:b/>
          <w:bCs/>
        </w:rPr>
        <w:t xml:space="preserve">Habits formed now last.</w:t>
      </w:r>
      <w:r>
        <w:t xml:space="preserve"> The app a student makes their default at 19 is likely the one they keep after they start earning.</w:t>
      </w:r>
    </w:p>
    <w:p>
      <w:pPr>
        <w:pStyle w:val="ListParagraph"/>
        <w:numPr>
          <w:ilvl w:val="0"/>
          <w:numId w:val="2"/>
        </w:numPr>
        <w:spacing w:after="60"/>
      </w:pPr>
      <w:r>
        <w:rPr>
          <w:b/>
          <w:bCs/>
        </w:rPr>
        <w:t xml:space="preserve">The brief rules out cashback.</w:t>
      </w:r>
      <w:r>
        <w:t xml:space="preserve"> A structural reason to use Paytm (money that arrives in Paytm) lasts longer than a reward that ends when the campaign does.</w:t>
      </w:r>
    </w:p>
    <w:p>
      <w:pPr>
        <w:pStyle w:val="Heading1"/>
      </w:pPr>
      <w:r>
        <w:t xml:space="preserve">4. Hypotheses we are testing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4100"/>
        <w:gridCol w:w="4026"/>
      </w:tblGrid>
      <w:tr>
        <w:trPr>
          <w:tblHeader/>
        </w:trPr>
        <w:tc>
          <w:tcPr>
            <w:tcW w:type="dxa" w:w="900"/>
            <w:tcBorders>
              <w:top w:val="single" w:color="BFC7D5" w:sz="4"/>
              <w:left w:val="single" w:color="BFC7D5" w:sz="4"/>
              <w:bottom w:val="single" w:color="BFC7D5" w:sz="4"/>
              <w:right w:val="single" w:color="BFC7D5" w:sz="4"/>
            </w:tcBorders>
            <w:shd w:fill="002E6E" w:color="auto" w:val="clear"/>
            <w:tcMar>
              <w:top w:type="dxa" w:w="60"/>
              <w:left w:type="dxa" w:w="100"/>
              <w:bottom w:type="dxa" w:w="60"/>
              <w:right w:type="dxa" w:w="100"/>
            </w:tcMar>
          </w:tcPr>
          <w:p>
            <w:pPr>
              <w:pStyle w:val="cell"/>
            </w:pPr>
            <w:r>
              <w:rPr>
                <w:b/>
                <w:bCs/>
                <w:color w:val="FFFFFF"/>
                <w:sz w:val="19"/>
                <w:szCs w:val="19"/>
              </w:rPr>
              <w:t xml:space="preserve">ID</w:t>
            </w:r>
          </w:p>
        </w:tc>
        <w:tc>
          <w:tcPr>
            <w:tcW w:type="dxa" w:w="4100"/>
            <w:tcBorders>
              <w:top w:val="single" w:color="BFC7D5" w:sz="4"/>
              <w:left w:val="single" w:color="BFC7D5" w:sz="4"/>
              <w:bottom w:val="single" w:color="BFC7D5" w:sz="4"/>
              <w:right w:val="single" w:color="BFC7D5" w:sz="4"/>
            </w:tcBorders>
            <w:shd w:fill="002E6E" w:color="auto" w:val="clear"/>
            <w:tcMar>
              <w:top w:type="dxa" w:w="60"/>
              <w:left w:type="dxa" w:w="100"/>
              <w:bottom w:type="dxa" w:w="60"/>
              <w:right w:type="dxa" w:w="100"/>
            </w:tcMar>
          </w:tcPr>
          <w:p>
            <w:pPr>
              <w:pStyle w:val="cell"/>
            </w:pPr>
            <w:r>
              <w:rPr>
                <w:b/>
                <w:bCs/>
                <w:color w:val="FFFFFF"/>
                <w:sz w:val="19"/>
                <w:szCs w:val="19"/>
              </w:rPr>
              <w:t xml:space="preserve">Hypothesis</w:t>
            </w:r>
          </w:p>
        </w:tc>
        <w:tc>
          <w:tcPr>
            <w:tcW w:type="dxa" w:w="4026"/>
            <w:tcBorders>
              <w:top w:val="single" w:color="BFC7D5" w:sz="4"/>
              <w:left w:val="single" w:color="BFC7D5" w:sz="4"/>
              <w:bottom w:val="single" w:color="BFC7D5" w:sz="4"/>
              <w:right w:val="single" w:color="BFC7D5" w:sz="4"/>
            </w:tcBorders>
            <w:shd w:fill="002E6E" w:color="auto" w:val="clear"/>
            <w:tcMar>
              <w:top w:type="dxa" w:w="60"/>
              <w:left w:type="dxa" w:w="100"/>
              <w:bottom w:type="dxa" w:w="60"/>
              <w:right w:type="dxa" w:w="100"/>
            </w:tcMar>
          </w:tcPr>
          <w:p>
            <w:pPr>
              <w:pStyle w:val="cell"/>
            </w:pPr>
            <w:r>
              <w:rPr>
                <w:b/>
                <w:bCs/>
                <w:color w:val="FFFFFF"/>
                <w:sz w:val="19"/>
                <w:szCs w:val="19"/>
              </w:rPr>
              <w:t xml:space="preserve">What the VOC data must show</w:t>
            </w:r>
          </w:p>
        </w:tc>
      </w:tr>
      <w:tr>
        <w:trPr>
          <w:tblHeader w:val="false"/>
        </w:trPr>
        <w:tc>
          <w:tcPr>
            <w:tcW w:type="dxa" w:w="9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pStyle w:val="cell"/>
            </w:pPr>
            <w:r>
              <w:t xml:space="preserve">H1</w:t>
            </w:r>
          </w:p>
        </w:tc>
        <w:tc>
          <w:tcPr>
            <w:tcW w:type="dxa" w:w="41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pStyle w:val="cell"/>
            </w:pPr>
            <w:r>
              <w:t xml:space="preserve">Paytm is used for occasional large payments and loses the daily small ones.</w:t>
            </w:r>
          </w:p>
        </w:tc>
        <w:tc>
          <w:tcPr>
            <w:tcW w:type="dxa" w:w="4026"/>
            <w:tcBorders>
              <w:top w:val="single" w:color="BFC7D5" w:sz="4"/>
              <w:left w:val="single" w:color="BFC7D5" w:sz="4"/>
              <w:bottom w:val="single" w:color="BFC7D5" w:sz="4"/>
              <w:right w:val="single" w:color="BFC7D5" w:sz="4"/>
            </w:tcBorders>
            <w:tcMar>
              <w:top w:type="dxa" w:w="60"/>
              <w:left w:type="dxa" w:w="100"/>
              <w:bottom w:type="dxa" w:w="60"/>
              <w:right w:type="dxa" w:w="100"/>
            </w:tcMar>
          </w:tcPr>
          <w:p>
            <w:pPr>
              <w:pStyle w:val="cell"/>
            </w:pPr>
            <w:r>
              <w:t xml:space="preserve">In the last-10-payments count, Paytm's share on small daily payments is well below its share on recharges, bills and tickets.</w:t>
            </w:r>
          </w:p>
        </w:tc>
      </w:tr>
      <w:tr>
        <w:trPr>
          <w:tblHeader w:val="false"/>
        </w:trPr>
        <w:tc>
          <w:tcPr>
            <w:tcW w:type="dxa" w:w="9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pStyle w:val="cell"/>
            </w:pPr>
            <w:r>
              <w:t xml:space="preserve">H2</w:t>
            </w:r>
          </w:p>
        </w:tc>
        <w:tc>
          <w:tcPr>
            <w:tcW w:type="dxa" w:w="41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pStyle w:val="cell"/>
            </w:pPr>
            <w:r>
              <w:t xml:space="preserve">The first app a student opens is decided by habit, friends and speed, not by features.</w:t>
            </w:r>
          </w:p>
        </w:tc>
        <w:tc>
          <w:tcPr>
            <w:tcW w:type="dxa" w:w="4026"/>
            <w:tcBorders>
              <w:top w:val="single" w:color="BFC7D5" w:sz="4"/>
              <w:left w:val="single" w:color="BFC7D5" w:sz="4"/>
              <w:bottom w:val="single" w:color="BFC7D5" w:sz="4"/>
              <w:right w:val="single" w:color="BFC7D5" w:sz="4"/>
            </w:tcBorders>
            <w:tcMar>
              <w:top w:type="dxa" w:w="60"/>
              <w:left w:type="dxa" w:w="100"/>
              <w:bottom w:type="dxa" w:w="60"/>
              <w:right w:type="dxa" w:w="100"/>
            </w:tcMar>
          </w:tcPr>
          <w:p>
            <w:pPr>
              <w:pStyle w:val="cell"/>
            </w:pPr>
            <w:r>
              <w:t xml:space="preserve">Most coded barriers fall under habit, network, speed or clutter. Few are about 'missing features'.</w:t>
            </w:r>
          </w:p>
        </w:tc>
      </w:tr>
      <w:tr>
        <w:trPr>
          <w:tblHeader w:val="false"/>
        </w:trPr>
        <w:tc>
          <w:tcPr>
            <w:tcW w:type="dxa" w:w="9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pStyle w:val="cell"/>
            </w:pPr>
            <w:r>
              <w:t xml:space="preserve">H3</w:t>
            </w:r>
          </w:p>
        </w:tc>
        <w:tc>
          <w:tcPr>
            <w:tcW w:type="dxa" w:w="41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pStyle w:val="cell"/>
            </w:pPr>
            <w:r>
              <w:t xml:space="preserve">Parents fund a large part of students' daily spending.</w:t>
            </w:r>
          </w:p>
        </w:tc>
        <w:tc>
          <w:tcPr>
            <w:tcW w:type="dxa" w:w="4026"/>
            <w:tcBorders>
              <w:top w:val="single" w:color="BFC7D5" w:sz="4"/>
              <w:left w:val="single" w:color="BFC7D5" w:sz="4"/>
              <w:bottom w:val="single" w:color="BFC7D5" w:sz="4"/>
              <w:right w:val="single" w:color="BFC7D5" w:sz="4"/>
            </w:tcBorders>
            <w:tcMar>
              <w:top w:type="dxa" w:w="60"/>
              <w:left w:type="dxa" w:w="100"/>
              <w:bottom w:type="dxa" w:w="60"/>
              <w:right w:type="dxa" w:w="100"/>
            </w:tcMar>
          </w:tcPr>
          <w:p>
            <w:pPr>
              <w:pStyle w:val="cell"/>
            </w:pPr>
            <w:r>
              <w:t xml:space="preserve">A majority get a regular allowance or top-up from their parents.</w:t>
            </w:r>
          </w:p>
        </w:tc>
      </w:tr>
      <w:tr>
        <w:trPr>
          <w:tblHeader w:val="false"/>
        </w:trPr>
        <w:tc>
          <w:tcPr>
            <w:tcW w:type="dxa" w:w="9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pStyle w:val="cell"/>
            </w:pPr>
            <w:r>
              <w:t xml:space="preserve">H4</w:t>
            </w:r>
          </w:p>
        </w:tc>
        <w:tc>
          <w:tcPr>
            <w:tcW w:type="dxa" w:w="41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pStyle w:val="cell"/>
            </w:pPr>
            <w:r>
              <w:t xml:space="preserve">Many of those parents already use Paytm.</w:t>
            </w:r>
          </w:p>
        </w:tc>
        <w:tc>
          <w:tcPr>
            <w:tcW w:type="dxa" w:w="4026"/>
            <w:tcBorders>
              <w:top w:val="single" w:color="BFC7D5" w:sz="4"/>
              <w:left w:val="single" w:color="BFC7D5" w:sz="4"/>
              <w:bottom w:val="single" w:color="BFC7D5" w:sz="4"/>
              <w:right w:val="single" w:color="BFC7D5" w:sz="4"/>
            </w:tcBorders>
            <w:tcMar>
              <w:top w:type="dxa" w:w="60"/>
              <w:left w:type="dxa" w:w="100"/>
              <w:bottom w:type="dxa" w:w="60"/>
              <w:right w:type="dxa" w:w="100"/>
            </w:tcMar>
          </w:tcPr>
          <w:p>
            <w:pPr>
              <w:pStyle w:val="cell"/>
            </w:pPr>
            <w:r>
              <w:t xml:space="preserve">A meaningful share say a parent uses Paytm (for bills, recharges or a shop).</w:t>
            </w:r>
          </w:p>
        </w:tc>
      </w:tr>
      <w:tr>
        <w:trPr>
          <w:tblHeader w:val="false"/>
        </w:trPr>
        <w:tc>
          <w:tcPr>
            <w:tcW w:type="dxa" w:w="9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pStyle w:val="cell"/>
            </w:pPr>
            <w:r>
              <w:t xml:space="preserve">H5</w:t>
            </w:r>
          </w:p>
        </w:tc>
        <w:tc>
          <w:tcPr>
            <w:tcW w:type="dxa" w:w="41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pStyle w:val="cell"/>
            </w:pPr>
            <w:r>
              <w:t xml:space="preserve">Students would accept a limited allowance if parents see category totals, not every payment.</w:t>
            </w:r>
          </w:p>
        </w:tc>
        <w:tc>
          <w:tcPr>
            <w:tcW w:type="dxa" w:w="4026"/>
            <w:tcBorders>
              <w:top w:val="single" w:color="BFC7D5" w:sz="4"/>
              <w:left w:val="single" w:color="BFC7D5" w:sz="4"/>
              <w:bottom w:val="single" w:color="BFC7D5" w:sz="4"/>
              <w:right w:val="single" w:color="BFC7D5" w:sz="4"/>
            </w:tcBorders>
            <w:tcMar>
              <w:top w:type="dxa" w:w="60"/>
              <w:left w:type="dxa" w:w="100"/>
              <w:bottom w:type="dxa" w:w="60"/>
              <w:right w:type="dxa" w:w="100"/>
            </w:tcMar>
          </w:tcPr>
          <w:p>
            <w:pPr>
              <w:pStyle w:val="cell"/>
            </w:pPr>
            <w:r>
              <w:t xml:space="preserve">Positive or neutral reactions to the concept card. Privacy objections come up in a minority.</w:t>
            </w:r>
          </w:p>
        </w:tc>
      </w:tr>
    </w:tbl>
    <w:p>
      <w:pPr>
        <w:spacing w:after="60"/>
      </w:pPr>
    </w:p>
    <w:p>
      <w:pPr>
        <w:spacing w:after="100"/>
      </w:pPr>
      <w:r>
        <w:rPr>
          <w:b/>
          <w:bCs/>
        </w:rPr>
        <w:t xml:space="preserve">Rule for choosing between the ideas:</w:t>
      </w:r>
    </w:p>
    <w:p>
      <w:pPr>
        <w:pStyle w:val="ListParagraph"/>
        <w:numPr>
          <w:ilvl w:val="0"/>
          <w:numId w:val="2"/>
        </w:numPr>
        <w:spacing w:after="60"/>
      </w:pPr>
      <w:r>
        <w:t xml:space="preserve">H3 + H4 + H5 hold → go with </w:t>
      </w:r>
      <w:r>
        <w:rPr>
          <w:b/>
          <w:bCs/>
        </w:rPr>
        <w:t xml:space="preserve">Paytm Allowance</w:t>
      </w:r>
      <w:r>
        <w:t xml:space="preserve"> (main idea).</w:t>
      </w:r>
    </w:p>
    <w:p>
      <w:pPr>
        <w:pStyle w:val="ListParagraph"/>
        <w:numPr>
          <w:ilvl w:val="0"/>
          <w:numId w:val="2"/>
        </w:numPr>
        <w:spacing w:after="60"/>
      </w:pPr>
      <w:r>
        <w:t xml:space="preserve">H5 fails (students strongly reject parents seeing spending) but H1/H2 hold → switch to the </w:t>
      </w:r>
      <w:r>
        <w:rPr>
          <w:b/>
          <w:bCs/>
        </w:rPr>
        <w:t xml:space="preserve">backup: Paytm Hostel Tab</w:t>
      </w:r>
      <w:r>
        <w:t xml:space="preserve">. This is a running group ledger for roommates and friends that settles in one tap, so Paytm becomes the app for group spending.</w:t>
      </w:r>
    </w:p>
    <w:p>
      <w:pPr>
        <w:pStyle w:val="ListParagraph"/>
        <w:numPr>
          <w:ilvl w:val="0"/>
          <w:numId w:val="2"/>
        </w:numPr>
        <w:spacing w:after="60"/>
      </w:pPr>
      <w:r>
        <w:t xml:space="preserve">H1 fails (Paytm is already strong on small payments) → rewrite the problem around whatever barrier dominates the coded data. The research steps don't change.</w:t>
      </w:r>
    </w:p>
    <w:p>
      <w:pPr>
        <w:pStyle w:val="Heading1"/>
      </w:pPr>
      <w:r>
        <w:t xml:space="preserve">5. The proposed solution: Paytm Allowance</w:t>
      </w:r>
    </w:p>
    <w:p>
      <w:pPr>
        <w:pStyle w:val="Heading2"/>
      </w:pPr>
      <w:r>
        <w:t xml:space="preserve">5.1 What it is</w:t>
      </w:r>
    </w:p>
    <w:p>
      <w:pPr>
        <w:spacing w:after="100"/>
      </w:pPr>
      <w:r>
        <w:t xml:space="preserve">NPCI's </w:t>
      </w:r>
      <w:r>
        <w:rPr>
          <w:b/>
          <w:bCs/>
        </w:rPr>
        <w:t xml:space="preserve">UPI Circle</w:t>
      </w:r>
      <w:r>
        <w:t xml:space="preserve"> lets a primary user (the parent) give a secondary user (the student) permission to pay from the parent's account. In </w:t>
      </w:r>
      <w:r>
        <w:rPr>
          <w:b/>
          <w:bCs/>
        </w:rPr>
        <w:t xml:space="preserve">full delegation</w:t>
      </w:r>
      <w:r>
        <w:t xml:space="preserve">, the student pays without approval, capped at </w:t>
      </w:r>
      <w:r>
        <w:rPr>
          <w:b/>
          <w:bCs/>
        </w:rPr>
        <w:t xml:space="preserve">₹5,000 per payment and ₹15,000 per month</w:t>
      </w:r>
      <w:r>
        <w:t xml:space="preserve">. The student doesn't need their own bank account on UPI. A parent can add up to 5 secondary users. Paytm's FAQ already covers adding a secondary user, so the payment capability exists. </w:t>
      </w:r>
      <w:r>
        <w:rPr>
          <w:b/>
          <w:bCs/>
        </w:rPr>
        <w:t xml:space="preserve">What's missing is packaging and getting people to turn it on.</w:t>
      </w:r>
      <w:r>
        <w:t xml:space="preserve"> That makes the pitch cheap and fast for Paytm to execute, which works in our favour.</w:t>
      </w:r>
    </w:p>
    <w:p>
      <w:pPr>
        <w:pBdr>
          <w:left w:val="single" w:color="00B9F1" w:sz="24" w:space="8"/>
        </w:pBdr>
        <w:shd w:fill="E6F7FD" w:color="auto" w:val="clear"/>
        <w:spacing w:after="160" w:before="120"/>
        <w:ind w:left="200" w:right="200"/>
      </w:pPr>
      <w:r>
        <w:rPr>
          <w:b/>
          <w:bCs/>
        </w:rPr>
        <w:t xml:space="preserve">Check today:</w:t>
      </w:r>
      <w:r>
        <w:t xml:space="preserve"> open Paytm and confirm the UPI Circle flow works end to end: where it is, how many taps, what the student sees. Screenshot it. If it's hard to find, the pitch becomes 'the feature is there but nobody can find it'. That is a strong and specific finding.</w:t>
      </w:r>
    </w:p>
    <w:p>
      <w:pPr>
        <w:pStyle w:val="Heading2"/>
      </w:pPr>
      <w:r>
        <w:t xml:space="preserve">5.2 What we package on top (product changes)</w:t>
      </w:r>
    </w:p>
    <w:p>
      <w:pPr>
        <w:pStyle w:val="ListParagraph"/>
        <w:numPr>
          <w:ilvl w:val="0"/>
          <w:numId w:val="3"/>
        </w:numPr>
        <w:spacing w:after="60"/>
      </w:pPr>
      <w:r>
        <w:rPr>
          <w:b/>
          <w:bCs/>
        </w:rPr>
        <w:t xml:space="preserve">'Set up Allowance' entry point</w:t>
      </w:r>
      <w:r>
        <w:t xml:space="preserve"> for Paytm's existing adult users. It's shown to people whose contacts or payment patterns suggest a college-age child (e.g. regular transfers to the same young contact). Setup: pick the child, set a monthly amount up to the ₹15k cap, and it's done in under 60 seconds.</w:t>
      </w:r>
    </w:p>
    <w:p>
      <w:pPr>
        <w:pStyle w:val="ListParagraph"/>
        <w:numPr>
          <w:ilvl w:val="0"/>
          <w:numId w:val="3"/>
        </w:numPr>
        <w:spacing w:after="60"/>
      </w:pPr>
      <w:r>
        <w:rPr>
          <w:b/>
          <w:bCs/>
        </w:rPr>
        <w:t xml:space="preserve">Student-side allowance card</w:t>
      </w:r>
      <w:r>
        <w:t xml:space="preserve"> on the Paytm home screen: balance left this month, days left, and a one-tap scanner. The first screen answers 'how much can I spend?', which is a question students ask themselves every day.</w:t>
      </w:r>
    </w:p>
    <w:p>
      <w:pPr>
        <w:pStyle w:val="ListParagraph"/>
        <w:numPr>
          <w:ilvl w:val="0"/>
          <w:numId w:val="3"/>
        </w:numPr>
        <w:spacing w:after="60"/>
      </w:pPr>
      <w:r>
        <w:rPr>
          <w:b/>
          <w:bCs/>
        </w:rPr>
        <w:t xml:space="preserve">Parent summary, not surveillance:</w:t>
      </w:r>
      <w:r>
        <w:t xml:space="preserve"> a weekly total by category (food, travel, shopping). Parents don't get an alert for every payment. This is designed to address the privacy objection we expect in H5.</w:t>
      </w:r>
    </w:p>
    <w:p>
      <w:pPr>
        <w:pStyle w:val="ListParagraph"/>
        <w:numPr>
          <w:ilvl w:val="0"/>
          <w:numId w:val="3"/>
        </w:numPr>
        <w:spacing w:after="60"/>
      </w:pPr>
      <w:r>
        <w:rPr>
          <w:b/>
          <w:bCs/>
        </w:rPr>
        <w:t xml:space="preserve">'Ask for top-up' button</w:t>
      </w:r>
      <w:r>
        <w:t xml:space="preserve"> that replaces the awkward 'papa send money' WhatsApp message. It sends a structured request that the parent approves with their UPI PIN.</w:t>
      </w:r>
    </w:p>
    <w:p>
      <w:pPr>
        <w:pStyle w:val="ListParagraph"/>
        <w:numPr>
          <w:ilvl w:val="0"/>
          <w:numId w:val="3"/>
        </w:numPr>
        <w:spacing w:after="60"/>
      </w:pPr>
      <w:r>
        <w:rPr>
          <w:b/>
          <w:bCs/>
        </w:rPr>
        <w:t xml:space="preserve">Campus launch cue:</w:t>
      </w:r>
      <w:r>
        <w:t xml:space="preserve"> Paytm Soundbox / QR standees at campus merchants saying 'Allowance accepted here'. This uses Paytm's existing merchant network, again without cashback.</w:t>
      </w:r>
    </w:p>
    <w:p>
      <w:pPr>
        <w:pStyle w:val="Heading2"/>
      </w:pPr>
      <w:r>
        <w:t xml:space="preserve">5.3 Value proposition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rPr>
          <w:tblHeader/>
        </w:trPr>
        <w:tc>
          <w:tcPr>
            <w:tcW w:type="dxa" w:w="1900"/>
            <w:tcBorders>
              <w:top w:val="single" w:color="BFC7D5" w:sz="4"/>
              <w:left w:val="single" w:color="BFC7D5" w:sz="4"/>
              <w:bottom w:val="single" w:color="BFC7D5" w:sz="4"/>
              <w:right w:val="single" w:color="BFC7D5" w:sz="4"/>
            </w:tcBorders>
            <w:shd w:fill="002E6E" w:color="auto" w:val="clear"/>
            <w:tcMar>
              <w:top w:type="dxa" w:w="60"/>
              <w:left w:type="dxa" w:w="100"/>
              <w:bottom w:type="dxa" w:w="60"/>
              <w:right w:type="dxa" w:w="100"/>
            </w:tcMar>
          </w:tcPr>
          <w:p>
            <w:pPr>
              <w:pStyle w:val="cell"/>
            </w:pPr>
            <w:r>
              <w:rPr>
                <w:b/>
                <w:bCs/>
                <w:color w:val="FFFFFF"/>
                <w:sz w:val="19"/>
                <w:szCs w:val="19"/>
              </w:rPr>
              <w:t xml:space="preserve">For</w:t>
            </w:r>
          </w:p>
        </w:tc>
        <w:tc>
          <w:tcPr>
            <w:tcW w:type="dxa" w:w="7126"/>
            <w:tcBorders>
              <w:top w:val="single" w:color="BFC7D5" w:sz="4"/>
              <w:left w:val="single" w:color="BFC7D5" w:sz="4"/>
              <w:bottom w:val="single" w:color="BFC7D5" w:sz="4"/>
              <w:right w:val="single" w:color="BFC7D5" w:sz="4"/>
            </w:tcBorders>
            <w:shd w:fill="002E6E" w:color="auto" w:val="clear"/>
            <w:tcMar>
              <w:top w:type="dxa" w:w="60"/>
              <w:left w:type="dxa" w:w="100"/>
              <w:bottom w:type="dxa" w:w="60"/>
              <w:right w:type="dxa" w:w="100"/>
            </w:tcMar>
          </w:tcPr>
          <w:p>
            <w:pPr>
              <w:pStyle w:val="cell"/>
            </w:pPr>
            <w:r>
              <w:rPr>
                <w:b/>
                <w:bCs/>
                <w:color w:val="FFFFFF"/>
                <w:sz w:val="19"/>
                <w:szCs w:val="19"/>
              </w:rPr>
              <w:t xml:space="preserve">What they get</w:t>
            </w:r>
          </w:p>
        </w:tc>
      </w:tr>
      <w:tr>
        <w:trPr>
          <w:tblHeader w:val="false"/>
        </w:trPr>
        <w:tc>
          <w:tcPr>
            <w:tcW w:type="dxa" w:w="19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pStyle w:val="cell"/>
            </w:pPr>
            <w:r>
              <w:t xml:space="preserve">Student</w:t>
            </w:r>
          </w:p>
        </w:tc>
        <w:tc>
          <w:tcPr>
            <w:tcW w:type="dxa" w:w="7126"/>
            <w:tcBorders>
              <w:top w:val="single" w:color="BFC7D5" w:sz="4"/>
              <w:left w:val="single" w:color="BFC7D5" w:sz="4"/>
              <w:bottom w:val="single" w:color="BFC7D5" w:sz="4"/>
              <w:right w:val="single" w:color="BFC7D5" w:sz="4"/>
            </w:tcBorders>
            <w:tcMar>
              <w:top w:type="dxa" w:w="60"/>
              <w:left w:type="dxa" w:w="100"/>
              <w:bottom w:type="dxa" w:w="60"/>
              <w:right w:type="dxa" w:w="100"/>
            </w:tcMar>
          </w:tcPr>
          <w:p>
            <w:pPr>
              <w:pStyle w:val="cell"/>
            </w:pPr>
            <w:r>
              <w:t xml:space="preserve">Money is there when they need it, with no asking every week. A clear 'left this month' number. Faster scan-and-pay from one home-screen card.</w:t>
            </w:r>
          </w:p>
        </w:tc>
      </w:tr>
      <w:tr>
        <w:trPr>
          <w:tblHeader w:val="false"/>
        </w:trPr>
        <w:tc>
          <w:tcPr>
            <w:tcW w:type="dxa" w:w="19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pStyle w:val="cell"/>
            </w:pPr>
            <w:r>
              <w:t xml:space="preserve">Parent</w:t>
            </w:r>
          </w:p>
        </w:tc>
        <w:tc>
          <w:tcPr>
            <w:tcW w:type="dxa" w:w="7126"/>
            <w:tcBorders>
              <w:top w:val="single" w:color="BFC7D5" w:sz="4"/>
              <w:left w:val="single" w:color="BFC7D5" w:sz="4"/>
              <w:bottom w:val="single" w:color="BFC7D5" w:sz="4"/>
              <w:right w:val="single" w:color="BFC7D5" w:sz="4"/>
            </w:tcBorders>
            <w:tcMar>
              <w:top w:type="dxa" w:w="60"/>
              <w:left w:type="dxa" w:w="100"/>
              <w:bottom w:type="dxa" w:w="60"/>
              <w:right w:type="dxa" w:w="100"/>
            </w:tcMar>
          </w:tcPr>
          <w:p>
            <w:pPr>
              <w:pStyle w:val="cell"/>
            </w:pPr>
            <w:r>
              <w:t xml:space="preserve">A spending limit they control and category totals, without the friction of transferring money again and again. They manage it in the app they already use.</w:t>
            </w:r>
          </w:p>
        </w:tc>
      </w:tr>
      <w:tr>
        <w:trPr>
          <w:tblHeader w:val="false"/>
        </w:trPr>
        <w:tc>
          <w:tcPr>
            <w:tcW w:type="dxa" w:w="19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pStyle w:val="cell"/>
            </w:pPr>
            <w:r>
              <w:t xml:space="preserve">Paytm</w:t>
            </w:r>
          </w:p>
        </w:tc>
        <w:tc>
          <w:tcPr>
            <w:tcW w:type="dxa" w:w="7126"/>
            <w:tcBorders>
              <w:top w:val="single" w:color="BFC7D5" w:sz="4"/>
              <w:left w:val="single" w:color="BFC7D5" w:sz="4"/>
              <w:bottom w:val="single" w:color="BFC7D5" w:sz="4"/>
              <w:right w:val="single" w:color="BFC7D5" w:sz="4"/>
            </w:tcBorders>
            <w:tcMar>
              <w:top w:type="dxa" w:w="60"/>
              <w:left w:type="dxa" w:w="100"/>
              <w:bottom w:type="dxa" w:w="60"/>
              <w:right w:type="dxa" w:w="100"/>
            </w:tcMar>
          </w:tcPr>
          <w:p>
            <w:pPr>
              <w:pStyle w:val="cell"/>
            </w:pPr>
            <w:r>
              <w:t xml:space="preserve">The student's daily small payments move to Paytm, which grows </w:t>
            </w:r>
            <w:r>
              <w:rPr>
                <w:b/>
                <w:bCs/>
              </w:rPr>
              <w:t xml:space="preserve">MTU, frequency and GMV share</w:t>
            </w:r>
            <w:r>
              <w:t xml:space="preserve">. The parent's engagement goes up too, and the student is acquired early, before they start earning.</w:t>
            </w:r>
          </w:p>
        </w:tc>
      </w:tr>
      <w:tr>
        <w:trPr>
          <w:tblHeader w:val="false"/>
        </w:trPr>
        <w:tc>
          <w:tcPr>
            <w:tcW w:type="dxa" w:w="19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pStyle w:val="cell"/>
            </w:pPr>
            <w:r>
              <w:t xml:space="preserve">Campus merchant</w:t>
            </w:r>
          </w:p>
        </w:tc>
        <w:tc>
          <w:tcPr>
            <w:tcW w:type="dxa" w:w="7126"/>
            <w:tcBorders>
              <w:top w:val="single" w:color="BFC7D5" w:sz="4"/>
              <w:left w:val="single" w:color="BFC7D5" w:sz="4"/>
              <w:bottom w:val="single" w:color="BFC7D5" w:sz="4"/>
              <w:right w:val="single" w:color="BFC7D5" w:sz="4"/>
            </w:tcBorders>
            <w:tcMar>
              <w:top w:type="dxa" w:w="60"/>
              <w:left w:type="dxa" w:w="100"/>
              <w:bottom w:type="dxa" w:w="60"/>
              <w:right w:type="dxa" w:w="100"/>
            </w:tcMar>
          </w:tcPr>
          <w:p>
            <w:pPr>
              <w:pStyle w:val="cell"/>
            </w:pPr>
            <w:r>
              <w:t xml:space="preserve">Faster checkout, a Soundbox confirmation, and a visible 'allowance accepted' cue that brings student footfall.</w:t>
            </w:r>
          </w:p>
        </w:tc>
      </w:tr>
    </w:tbl>
    <w:p>
      <w:pPr>
        <w:pStyle w:val="Heading2"/>
      </w:pPr>
      <w:r>
        <w:t xml:space="preserve">5.4 Why only Paytm can win this</w:t>
      </w:r>
    </w:p>
    <w:p>
      <w:pPr>
        <w:pStyle w:val="ListParagraph"/>
        <w:numPr>
          <w:ilvl w:val="0"/>
          <w:numId w:val="2"/>
        </w:numPr>
        <w:spacing w:after="60"/>
      </w:pPr>
      <w:r>
        <w:rPr>
          <w:b/>
          <w:bCs/>
        </w:rPr>
        <w:t xml:space="preserve">Paytm's older user base is our parent base.</w:t>
      </w:r>
      <w:r>
        <w:t xml:space="preserve"> Since the 2016 wallet era, many middle-aged Indians have used Paytm for bills, recharges and shop payments. A competitor can copy the feature but not that installed base of parents.</w:t>
      </w:r>
    </w:p>
    <w:p>
      <w:pPr>
        <w:pStyle w:val="ListParagraph"/>
        <w:numPr>
          <w:ilvl w:val="0"/>
          <w:numId w:val="2"/>
        </w:numPr>
        <w:spacing w:after="60"/>
      </w:pPr>
      <w:r>
        <w:rPr>
          <w:b/>
          <w:bCs/>
        </w:rPr>
        <w:t xml:space="preserve">Merchant network:</w:t>
      </w:r>
      <w:r>
        <w:t xml:space="preserve"> Soundbox and QR presence at small merchants give us an offline cue at the moment students pay.</w:t>
      </w:r>
    </w:p>
    <w:p>
      <w:pPr>
        <w:pStyle w:val="ListParagraph"/>
        <w:numPr>
          <w:ilvl w:val="0"/>
          <w:numId w:val="2"/>
        </w:numPr>
        <w:spacing w:after="60"/>
      </w:pPr>
      <w:r>
        <w:rPr>
          <w:b/>
          <w:bCs/>
        </w:rPr>
        <w:t xml:space="preserve">It isn't cashback:</w:t>
      </w:r>
      <w:r>
        <w:t xml:space="preserve"> the reason to keep using it is the money itself, so usage continues after any promotion ends.</w:t>
      </w:r>
    </w:p>
    <w:p>
      <w:pPr>
        <w:pStyle w:val="Heading1"/>
      </w:pPr>
      <w:r>
        <w:t xml:space="preserve">6. Research plan (the 50 VOCs)</w:t>
      </w:r>
    </w:p>
    <w:p>
      <w:pPr>
        <w:pStyle w:val="Heading2"/>
      </w:pPr>
      <w:r>
        <w:t xml:space="preserve">6.1 Sample design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1500"/>
        <w:gridCol w:w="4226"/>
      </w:tblGrid>
      <w:tr>
        <w:trPr>
          <w:tblHeader/>
        </w:trPr>
        <w:tc>
          <w:tcPr>
            <w:tcW w:type="dxa" w:w="3300"/>
            <w:tcBorders>
              <w:top w:val="single" w:color="BFC7D5" w:sz="4"/>
              <w:left w:val="single" w:color="BFC7D5" w:sz="4"/>
              <w:bottom w:val="single" w:color="BFC7D5" w:sz="4"/>
              <w:right w:val="single" w:color="BFC7D5" w:sz="4"/>
            </w:tcBorders>
            <w:shd w:fill="002E6E" w:color="auto" w:val="clear"/>
            <w:tcMar>
              <w:top w:type="dxa" w:w="60"/>
              <w:left w:type="dxa" w:w="100"/>
              <w:bottom w:type="dxa" w:w="60"/>
              <w:right w:type="dxa" w:w="100"/>
            </w:tcMar>
          </w:tcPr>
          <w:p>
            <w:pPr>
              <w:pStyle w:val="cell"/>
            </w:pPr>
            <w:r>
              <w:rPr>
                <w:b/>
                <w:bCs/>
                <w:color w:val="FFFFFF"/>
                <w:sz w:val="19"/>
                <w:szCs w:val="19"/>
              </w:rPr>
              <w:t xml:space="preserve">Component</w:t>
            </w:r>
          </w:p>
        </w:tc>
        <w:tc>
          <w:tcPr>
            <w:tcW w:type="dxa" w:w="1500"/>
            <w:tcBorders>
              <w:top w:val="single" w:color="BFC7D5" w:sz="4"/>
              <w:left w:val="single" w:color="BFC7D5" w:sz="4"/>
              <w:bottom w:val="single" w:color="BFC7D5" w:sz="4"/>
              <w:right w:val="single" w:color="BFC7D5" w:sz="4"/>
            </w:tcBorders>
            <w:shd w:fill="002E6E" w:color="auto" w:val="clear"/>
            <w:tcMar>
              <w:top w:type="dxa" w:w="60"/>
              <w:left w:type="dxa" w:w="100"/>
              <w:bottom w:type="dxa" w:w="60"/>
              <w:right w:type="dxa" w:w="100"/>
            </w:tcMar>
          </w:tcPr>
          <w:p>
            <w:pPr>
              <w:pStyle w:val="cell"/>
            </w:pPr>
            <w:r>
              <w:rPr>
                <w:b/>
                <w:bCs/>
                <w:color w:val="FFFFFF"/>
                <w:sz w:val="19"/>
                <w:szCs w:val="19"/>
              </w:rPr>
              <w:t xml:space="preserve">Count</w:t>
            </w:r>
          </w:p>
        </w:tc>
        <w:tc>
          <w:tcPr>
            <w:tcW w:type="dxa" w:w="4226"/>
            <w:tcBorders>
              <w:top w:val="single" w:color="BFC7D5" w:sz="4"/>
              <w:left w:val="single" w:color="BFC7D5" w:sz="4"/>
              <w:bottom w:val="single" w:color="BFC7D5" w:sz="4"/>
              <w:right w:val="single" w:color="BFC7D5" w:sz="4"/>
            </w:tcBorders>
            <w:shd w:fill="002E6E" w:color="auto" w:val="clear"/>
            <w:tcMar>
              <w:top w:type="dxa" w:w="60"/>
              <w:left w:type="dxa" w:w="100"/>
              <w:bottom w:type="dxa" w:w="60"/>
              <w:right w:type="dxa" w:w="100"/>
            </w:tcMar>
          </w:tcPr>
          <w:p>
            <w:pPr>
              <w:pStyle w:val="cell"/>
            </w:pPr>
            <w:r>
              <w:rPr>
                <w:b/>
                <w:bCs/>
                <w:color w:val="FFFFFF"/>
                <w:sz w:val="19"/>
                <w:szCs w:val="19"/>
              </w:rPr>
              <w:t xml:space="preserve">Notes</w:t>
            </w:r>
          </w:p>
        </w:tc>
      </w:tr>
      <w:tr>
        <w:trPr>
          <w:tblHeader w:val="false"/>
        </w:trPr>
        <w:tc>
          <w:tcPr>
            <w:tcW w:type="dxa" w:w="33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pStyle w:val="cell"/>
            </w:pPr>
            <w:r>
              <w:t xml:space="preserve">In-depth conversations (15–20 min, call or in person)</w:t>
            </w:r>
          </w:p>
        </w:tc>
        <w:tc>
          <w:tcPr>
            <w:tcW w:type="dxa" w:w="15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pStyle w:val="cell"/>
            </w:pPr>
            <w:r>
              <w:t xml:space="preserve">10–12</w:t>
            </w:r>
          </w:p>
        </w:tc>
        <w:tc>
          <w:tcPr>
            <w:tcW w:type="dxa" w:w="4226"/>
            <w:tcBorders>
              <w:top w:val="single" w:color="BFC7D5" w:sz="4"/>
              <w:left w:val="single" w:color="BFC7D5" w:sz="4"/>
              <w:bottom w:val="single" w:color="BFC7D5" w:sz="4"/>
              <w:right w:val="single" w:color="BFC7D5" w:sz="4"/>
            </w:tcBorders>
            <w:tcMar>
              <w:top w:type="dxa" w:w="60"/>
              <w:left w:type="dxa" w:w="100"/>
              <w:bottom w:type="dxa" w:w="60"/>
              <w:right w:type="dxa" w:w="100"/>
            </w:tcMar>
          </w:tcPr>
          <w:p>
            <w:pPr>
              <w:pStyle w:val="cell"/>
            </w:pPr>
            <w:r>
              <w:t xml:space="preserve">Required minimum is 10. Aim for 12 in case some don't qualify.</w:t>
            </w:r>
          </w:p>
        </w:tc>
      </w:tr>
      <w:tr>
        <w:trPr>
          <w:tblHeader w:val="false"/>
        </w:trPr>
        <w:tc>
          <w:tcPr>
            <w:tcW w:type="dxa" w:w="33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pStyle w:val="cell"/>
            </w:pPr>
            <w:r>
              <w:t xml:space="preserve">Structured survey responses (Google Form)</w:t>
            </w:r>
          </w:p>
        </w:tc>
        <w:tc>
          <w:tcPr>
            <w:tcW w:type="dxa" w:w="15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pStyle w:val="cell"/>
            </w:pPr>
            <w:r>
              <w:t xml:space="preserve">40+</w:t>
            </w:r>
          </w:p>
        </w:tc>
        <w:tc>
          <w:tcPr>
            <w:tcW w:type="dxa" w:w="4226"/>
            <w:tcBorders>
              <w:top w:val="single" w:color="BFC7D5" w:sz="4"/>
              <w:left w:val="single" w:color="BFC7D5" w:sz="4"/>
              <w:bottom w:val="single" w:color="BFC7D5" w:sz="4"/>
              <w:right w:val="single" w:color="BFC7D5" w:sz="4"/>
            </w:tcBorders>
            <w:tcMar>
              <w:top w:type="dxa" w:w="60"/>
              <w:left w:type="dxa" w:w="100"/>
              <w:bottom w:type="dxa" w:w="60"/>
              <w:right w:type="dxa" w:w="100"/>
            </w:tcMar>
          </w:tcPr>
          <w:p>
            <w:pPr>
              <w:pStyle w:val="cell"/>
            </w:pPr>
            <w:r>
              <w:t xml:space="preserve">Sent through class, club, hostel and friend WhatsApp groups. Only screened-in rows count.</w:t>
            </w:r>
          </w:p>
        </w:tc>
      </w:tr>
      <w:tr>
        <w:trPr>
          <w:tblHeader w:val="false"/>
        </w:trPr>
        <w:tc>
          <w:tcPr>
            <w:tcW w:type="dxa" w:w="33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pStyle w:val="cell"/>
            </w:pPr>
            <w:r>
              <w:t xml:space="preserve">Total valid VOCs</w:t>
            </w:r>
          </w:p>
        </w:tc>
        <w:tc>
          <w:tcPr>
            <w:tcW w:type="dxa" w:w="15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pStyle w:val="cell"/>
            </w:pPr>
            <w:r>
              <w:t xml:space="preserve">≥ 50</w:t>
            </w:r>
          </w:p>
        </w:tc>
        <w:tc>
          <w:tcPr>
            <w:tcW w:type="dxa" w:w="4226"/>
            <w:tcBorders>
              <w:top w:val="single" w:color="BFC7D5" w:sz="4"/>
              <w:left w:val="single" w:color="BFC7D5" w:sz="4"/>
              <w:bottom w:val="single" w:color="BFC7D5" w:sz="4"/>
              <w:right w:val="single" w:color="BFC7D5" w:sz="4"/>
            </w:tcBorders>
            <w:tcMar>
              <w:top w:type="dxa" w:w="60"/>
              <w:left w:type="dxa" w:w="100"/>
              <w:bottom w:type="dxa" w:w="60"/>
              <w:right w:type="dxa" w:w="100"/>
            </w:tcMar>
          </w:tcPr>
          <w:p>
            <w:pPr>
              <w:pStyle w:val="cell"/>
            </w:pPr>
            <w:r>
              <w:t xml:space="preserve">Each respondent is unique. Don't count the same person twice.</w:t>
            </w:r>
          </w:p>
        </w:tc>
      </w:tr>
    </w:tbl>
    <w:p>
      <w:pPr>
        <w:spacing w:after="60"/>
      </w:pPr>
    </w:p>
    <w:p>
      <w:pPr>
        <w:spacing w:after="100"/>
      </w:pPr>
      <w:r>
        <w:rPr>
          <w:b/>
          <w:bCs/>
        </w:rPr>
        <w:t xml:space="preserve">Quotas for variety</w:t>
      </w:r>
      <w:r>
        <w:t xml:space="preserve"> (the brief asks for 'meaningful variation'). Aim roughly for: 1st/2nd/3rd/4th year · hostel vs day scholar · home states from North, South, East and West · at least 30% women · a few from non-VIT colleges · a mix of PhonePe-primary and GPay-primary users.</w:t>
      </w:r>
    </w:p>
    <w:p>
      <w:pPr>
        <w:pStyle w:val="Heading2"/>
      </w:pPr>
      <w:r>
        <w:t xml:space="preserve">6.2 Screening questions (ask first; end the survey if they don't qualify)</w:t>
      </w:r>
    </w:p>
    <w:p>
      <w:pPr>
        <w:pStyle w:val="ListParagraph"/>
        <w:numPr>
          <w:ilvl w:val="0"/>
          <w:numId w:val="4"/>
        </w:numPr>
        <w:spacing w:after="60"/>
      </w:pPr>
      <w:r>
        <w:t xml:space="preserve">Have you made at least one UPI payment using Paytm in the last 90 days? (Yes / No → end)</w:t>
      </w:r>
    </w:p>
    <w:p>
      <w:pPr>
        <w:pStyle w:val="ListParagraph"/>
        <w:numPr>
          <w:ilvl w:val="0"/>
          <w:numId w:val="4"/>
        </w:numPr>
        <w:spacing w:after="60"/>
      </w:pPr>
      <w:r>
        <w:t xml:space="preserve">Which app did you use for MOST of your UPI payments in the last month? (If Paytm → end; otherwise continue)</w:t>
      </w:r>
    </w:p>
    <w:p>
      <w:pPr>
        <w:pStyle w:val="ListParagraph"/>
        <w:numPr>
          <w:ilvl w:val="0"/>
          <w:numId w:val="4"/>
        </w:numPr>
        <w:spacing w:after="60"/>
      </w:pPr>
      <w:r>
        <w:t xml:space="preserve">Are you currently a college student? (Yes / No → end)</w:t>
      </w:r>
    </w:p>
    <w:p>
      <w:pPr>
        <w:pStyle w:val="Heading2"/>
      </w:pPr>
      <w:r>
        <w:t xml:space="preserve">6.3 Survey questions</w:t>
      </w:r>
    </w:p>
    <w:p>
      <w:pPr>
        <w:pStyle w:val="ListParagraph"/>
        <w:numPr>
          <w:ilvl w:val="0"/>
          <w:numId w:val="5"/>
        </w:numPr>
        <w:spacing w:after="60"/>
      </w:pPr>
      <w:r>
        <w:t xml:space="preserve">Basics: year of study, hostel or day scholar, home state, college, city.</w:t>
      </w:r>
    </w:p>
    <w:p>
      <w:pPr>
        <w:pStyle w:val="ListParagraph"/>
        <w:numPr>
          <w:ilvl w:val="0"/>
          <w:numId w:val="5"/>
        </w:numPr>
        <w:spacing w:after="60"/>
      </w:pPr>
      <w:r>
        <w:t xml:space="preserve">Which UPI apps are on your phone? (multi-select)</w:t>
      </w:r>
    </w:p>
    <w:p>
      <w:pPr>
        <w:pStyle w:val="ListParagraph"/>
        <w:numPr>
          <w:ilvl w:val="0"/>
          <w:numId w:val="5"/>
        </w:numPr>
        <w:spacing w:after="60"/>
      </w:pPr>
      <w:r>
        <w:rPr>
          <w:b/>
          <w:bCs/>
        </w:rPr>
        <w:t xml:space="preserve">Last-10-payments count:</w:t>
      </w:r>
      <w:r>
        <w:t xml:space="preserve"> open your UPI apps' transaction history and count how many of your last 10 UPI payments were made on each app. (Enter numbers.)</w:t>
      </w:r>
    </w:p>
    <w:p>
      <w:pPr>
        <w:pStyle w:val="ListParagraph"/>
        <w:numPr>
          <w:ilvl w:val="0"/>
          <w:numId w:val="5"/>
        </w:numPr>
        <w:spacing w:after="60"/>
      </w:pPr>
      <w:r>
        <w:t xml:space="preserve">For each occasion, which app do you usually use? Canteen/mess · food stalls/cafés · autos/cabs · splitting with friends · small online orders · recharges/bills · train/movie tickets. (Grid: PhonePe / GPay / Paytm / other / cash)</w:t>
      </w:r>
    </w:p>
    <w:p>
      <w:pPr>
        <w:pStyle w:val="ListParagraph"/>
        <w:numPr>
          <w:ilvl w:val="0"/>
          <w:numId w:val="5"/>
        </w:numPr>
        <w:spacing w:after="60"/>
      </w:pPr>
      <w:r>
        <w:t xml:space="preserve">When you're at a counter, which app do you open first, and why? (</w:t>
      </w:r>
      <w:r>
        <w:rPr>
          <w:b/>
          <w:bCs/>
        </w:rPr>
        <w:t xml:space="preserve">Short text. Keep their exact words.</w:t>
      </w:r>
      <w:r>
        <w:t xml:space="preserve">)</w:t>
      </w:r>
    </w:p>
    <w:p>
      <w:pPr>
        <w:pStyle w:val="ListParagraph"/>
        <w:numPr>
          <w:ilvl w:val="0"/>
          <w:numId w:val="5"/>
        </w:numPr>
        <w:spacing w:after="60"/>
      </w:pPr>
      <w:r>
        <w:t xml:space="preserve">When did you last use Paytm, and for what? (Short text)</w:t>
      </w:r>
    </w:p>
    <w:p>
      <w:pPr>
        <w:pStyle w:val="ListParagraph"/>
        <w:numPr>
          <w:ilvl w:val="0"/>
          <w:numId w:val="5"/>
        </w:numPr>
        <w:spacing w:after="60"/>
      </w:pPr>
      <w:r>
        <w:t xml:space="preserve">What would have to change for you to use Paytm for daily payments? (Short text)</w:t>
      </w:r>
    </w:p>
    <w:p>
      <w:pPr>
        <w:pStyle w:val="ListParagraph"/>
        <w:numPr>
          <w:ilvl w:val="0"/>
          <w:numId w:val="5"/>
        </w:numPr>
        <w:spacing w:after="60"/>
      </w:pPr>
      <w:r>
        <w:t xml:space="preserve">Has a payment ever failed on any app? Which app, and what did you do next?</w:t>
      </w:r>
    </w:p>
    <w:p>
      <w:pPr>
        <w:pStyle w:val="ListParagraph"/>
        <w:numPr>
          <w:ilvl w:val="0"/>
          <w:numId w:val="5"/>
        </w:numPr>
        <w:spacing w:after="60"/>
      </w:pPr>
      <w:r>
        <w:t xml:space="preserve">How is your monthly spending mostly funded? (Parents' allowance / parents send money when asked / own income / scholarship / mix)</w:t>
      </w:r>
    </w:p>
    <w:p>
      <w:pPr>
        <w:pStyle w:val="ListParagraph"/>
        <w:numPr>
          <w:ilvl w:val="0"/>
          <w:numId w:val="5"/>
        </w:numPr>
        <w:spacing w:after="60"/>
      </w:pPr>
      <w:r>
        <w:t xml:space="preserve">How do you usually get money from your parents? (UPI transfer, which app / bank transfer / cash / other)</w:t>
      </w:r>
    </w:p>
    <w:p>
      <w:pPr>
        <w:pStyle w:val="ListParagraph"/>
        <w:numPr>
          <w:ilvl w:val="0"/>
          <w:numId w:val="5"/>
        </w:numPr>
        <w:spacing w:after="60"/>
      </w:pPr>
      <w:r>
        <w:t xml:space="preserve">Does either parent use Paytm? (For bills, recharges, shop payments, not sure, no)</w:t>
      </w:r>
    </w:p>
    <w:p>
      <w:pPr>
        <w:pStyle w:val="ListParagraph"/>
        <w:numPr>
          <w:ilvl w:val="0"/>
          <w:numId w:val="5"/>
        </w:numPr>
        <w:spacing w:after="60"/>
      </w:pPr>
      <w:r>
        <w:rPr>
          <w:b/>
          <w:bCs/>
        </w:rPr>
        <w:t xml:space="preserve">Concept card:</w:t>
      </w:r>
      <w:r>
        <w:t xml:space="preserve"> 'Your parent sets a monthly allowance (up to ₹15k) in Paytm. You pay from it directly at any UPI QR. Your parent sees only weekly category totals, not each payment.' Would you use this? (1–5), and why? (Short text)</w:t>
      </w:r>
    </w:p>
    <w:p>
      <w:pPr>
        <w:pStyle w:val="ListParagraph"/>
        <w:numPr>
          <w:ilvl w:val="0"/>
          <w:numId w:val="5"/>
        </w:numPr>
        <w:spacing w:after="60"/>
      </w:pPr>
      <w:r>
        <w:t xml:space="preserve">What worries you about that idea, if anything? (Short text)</w:t>
      </w:r>
    </w:p>
    <w:p>
      <w:pPr>
        <w:pStyle w:val="ListParagraph"/>
        <w:numPr>
          <w:ilvl w:val="0"/>
          <w:numId w:val="5"/>
        </w:numPr>
        <w:spacing w:after="60"/>
      </w:pPr>
      <w:r>
        <w:t xml:space="preserve">Optional: may we contact you for a 15-minute follow-up? (Phone/Instagram)</w:t>
      </w:r>
    </w:p>
    <w:p>
      <w:pPr>
        <w:pStyle w:val="Heading2"/>
      </w:pPr>
      <w:r>
        <w:t xml:space="preserve">6.4 In-depth interview guide (15–20 min)</w:t>
      </w:r>
    </w:p>
    <w:p>
      <w:pPr>
        <w:pStyle w:val="ListParagraph"/>
        <w:numPr>
          <w:ilvl w:val="0"/>
          <w:numId w:val="2"/>
        </w:numPr>
        <w:spacing w:after="60"/>
      </w:pPr>
      <w:r>
        <w:rPr>
          <w:b/>
          <w:bCs/>
        </w:rPr>
        <w:t xml:space="preserve">Walk-through:</w:t>
      </w:r>
      <w:r>
        <w:t xml:space="preserve"> 'Show me your UPI history from the last week. Tell me about the last three payments: where, how much, which app, why that app?'</w:t>
      </w:r>
    </w:p>
    <w:p>
      <w:pPr>
        <w:pStyle w:val="ListParagraph"/>
        <w:numPr>
          <w:ilvl w:val="0"/>
          <w:numId w:val="2"/>
        </w:numPr>
        <w:spacing w:after="60"/>
      </w:pPr>
      <w:r>
        <w:rPr>
          <w:b/>
          <w:bCs/>
        </w:rPr>
        <w:t xml:space="preserve">First-app moment:</w:t>
      </w:r>
      <w:r>
        <w:t xml:space="preserve"> 'Picture yourself at the canteen counter. What happens between taking your phone out and the payment going through?'</w:t>
      </w:r>
    </w:p>
    <w:p>
      <w:pPr>
        <w:pStyle w:val="ListParagraph"/>
        <w:numPr>
          <w:ilvl w:val="0"/>
          <w:numId w:val="2"/>
        </w:numPr>
        <w:spacing w:after="60"/>
      </w:pPr>
      <w:r>
        <w:rPr>
          <w:b/>
          <w:bCs/>
        </w:rPr>
        <w:t xml:space="preserve">Paytm story:</w:t>
      </w:r>
      <w:r>
        <w:t xml:space="preserve"> 'When did you start using Paytm? When did you stop using it as your main app, and what happened?'</w:t>
      </w:r>
    </w:p>
    <w:p>
      <w:pPr>
        <w:pStyle w:val="ListParagraph"/>
        <w:numPr>
          <w:ilvl w:val="0"/>
          <w:numId w:val="2"/>
        </w:numPr>
        <w:spacing w:after="60"/>
      </w:pPr>
      <w:r>
        <w:rPr>
          <w:b/>
          <w:bCs/>
        </w:rPr>
        <w:t xml:space="preserve">Money flow:</w:t>
      </w:r>
      <w:r>
        <w:t xml:space="preserve"> 'How does money reach you each month? What's annoying about that?'</w:t>
      </w:r>
    </w:p>
    <w:p>
      <w:pPr>
        <w:pStyle w:val="ListParagraph"/>
        <w:numPr>
          <w:ilvl w:val="0"/>
          <w:numId w:val="2"/>
        </w:numPr>
        <w:spacing w:after="60"/>
      </w:pPr>
      <w:r>
        <w:rPr>
          <w:b/>
          <w:bCs/>
        </w:rPr>
        <w:t xml:space="preserve">Concept reaction:</w:t>
      </w:r>
      <w:r>
        <w:t xml:space="preserve"> show the Allowance concept. 'What would make you say yes? What would make you say no? Would your parents do it?'</w:t>
      </w:r>
    </w:p>
    <w:p>
      <w:pPr>
        <w:pStyle w:val="ListParagraph"/>
        <w:numPr>
          <w:ilvl w:val="0"/>
          <w:numId w:val="2"/>
        </w:numPr>
        <w:spacing w:after="60"/>
      </w:pPr>
      <w:r>
        <w:rPr>
          <w:b/>
          <w:bCs/>
        </w:rPr>
        <w:t xml:space="preserve">Close:</w:t>
      </w:r>
      <w:r>
        <w:t xml:space="preserve"> 'If you ran Paytm, what one change would you make for students?'</w:t>
      </w:r>
    </w:p>
    <w:p>
      <w:pPr>
        <w:spacing w:after="100"/>
      </w:pPr>
      <w:r>
        <w:t xml:space="preserve">Take notes in the respondent's own words, including Hinglish or Tamil. Don't clean them up. Anonymise as 'M, 3rd yr, hostel, Rajasthan'.</w:t>
      </w:r>
    </w:p>
    <w:p>
      <w:pPr>
        <w:pStyle w:val="Heading2"/>
      </w:pPr>
      <w:r>
        <w:t xml:space="preserve">6.5 Barrier codebook (for the 'derived barrier' column)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BFC7D5" w:sz="4"/>
              <w:left w:val="single" w:color="BFC7D5" w:sz="4"/>
              <w:bottom w:val="single" w:color="BFC7D5" w:sz="4"/>
              <w:right w:val="single" w:color="BFC7D5" w:sz="4"/>
            </w:tcBorders>
            <w:shd w:fill="002E6E" w:color="auto" w:val="clear"/>
            <w:tcMar>
              <w:top w:type="dxa" w:w="60"/>
              <w:left w:type="dxa" w:w="100"/>
              <w:bottom w:type="dxa" w:w="60"/>
              <w:right w:type="dxa" w:w="100"/>
            </w:tcMar>
          </w:tcPr>
          <w:p>
            <w:pPr>
              <w:pStyle w:val="cell"/>
            </w:pPr>
            <w:r>
              <w:rPr>
                <w:b/>
                <w:bCs/>
                <w:color w:val="FFFFFF"/>
                <w:sz w:val="19"/>
                <w:szCs w:val="19"/>
              </w:rPr>
              <w:t xml:space="preserve">Code</w:t>
            </w:r>
          </w:p>
        </w:tc>
        <w:tc>
          <w:tcPr>
            <w:tcW w:type="dxa" w:w="6826"/>
            <w:tcBorders>
              <w:top w:val="single" w:color="BFC7D5" w:sz="4"/>
              <w:left w:val="single" w:color="BFC7D5" w:sz="4"/>
              <w:bottom w:val="single" w:color="BFC7D5" w:sz="4"/>
              <w:right w:val="single" w:color="BFC7D5" w:sz="4"/>
            </w:tcBorders>
            <w:shd w:fill="002E6E" w:color="auto" w:val="clear"/>
            <w:tcMar>
              <w:top w:type="dxa" w:w="60"/>
              <w:left w:type="dxa" w:w="100"/>
              <w:bottom w:type="dxa" w:w="60"/>
              <w:right w:type="dxa" w:w="100"/>
            </w:tcMar>
          </w:tcPr>
          <w:p>
            <w:pPr>
              <w:pStyle w:val="cell"/>
            </w:pPr>
            <w:r>
              <w:rPr>
                <w:b/>
                <w:bCs/>
                <w:color w:val="FFFFFF"/>
                <w:sz w:val="19"/>
                <w:szCs w:val="19"/>
              </w:rPr>
              <w:t xml:space="preserve">Meaning</w:t>
            </w:r>
          </w:p>
        </w:tc>
      </w:tr>
      <w:tr>
        <w:trPr>
          <w:tblHeader w:val="false"/>
        </w:trPr>
        <w:tc>
          <w:tcPr>
            <w:tcW w:type="dxa" w:w="22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pStyle w:val="cell"/>
            </w:pPr>
            <w:r>
              <w:t xml:space="preserve">HABIT</w:t>
            </w:r>
          </w:p>
        </w:tc>
        <w:tc>
          <w:tcPr>
            <w:tcW w:type="dxa" w:w="6826"/>
            <w:tcBorders>
              <w:top w:val="single" w:color="BFC7D5" w:sz="4"/>
              <w:left w:val="single" w:color="BFC7D5" w:sz="4"/>
              <w:bottom w:val="single" w:color="BFC7D5" w:sz="4"/>
              <w:right w:val="single" w:color="BFC7D5" w:sz="4"/>
            </w:tcBorders>
            <w:tcMar>
              <w:top w:type="dxa" w:w="60"/>
              <w:left w:type="dxa" w:w="100"/>
              <w:bottom w:type="dxa" w:w="60"/>
              <w:right w:type="dxa" w:w="100"/>
            </w:tcMar>
          </w:tcPr>
          <w:p>
            <w:pPr>
              <w:pStyle w:val="cell"/>
            </w:pPr>
            <w:r>
              <w:t xml:space="preserve">'I just open PhonePe/GPay', muscle memory, it's on the home screen dock</w:t>
            </w:r>
          </w:p>
        </w:tc>
      </w:tr>
      <w:tr>
        <w:trPr>
          <w:tblHeader w:val="false"/>
        </w:trPr>
        <w:tc>
          <w:tcPr>
            <w:tcW w:type="dxa" w:w="22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pStyle w:val="cell"/>
            </w:pPr>
            <w:r>
              <w:t xml:space="preserve">NETWORK</w:t>
            </w:r>
          </w:p>
        </w:tc>
        <w:tc>
          <w:tcPr>
            <w:tcW w:type="dxa" w:w="6826"/>
            <w:tcBorders>
              <w:top w:val="single" w:color="BFC7D5" w:sz="4"/>
              <w:left w:val="single" w:color="BFC7D5" w:sz="4"/>
              <w:bottom w:val="single" w:color="BFC7D5" w:sz="4"/>
              <w:right w:val="single" w:color="BFC7D5" w:sz="4"/>
            </w:tcBorders>
            <w:tcMar>
              <w:top w:type="dxa" w:w="60"/>
              <w:left w:type="dxa" w:w="100"/>
              <w:bottom w:type="dxa" w:w="60"/>
              <w:right w:type="dxa" w:w="100"/>
            </w:tcMar>
          </w:tcPr>
          <w:p>
            <w:pPr>
              <w:pStyle w:val="cell"/>
            </w:pPr>
            <w:r>
              <w:t xml:space="preserve">Friends and family use another app, splitting is easier there</w:t>
            </w:r>
          </w:p>
        </w:tc>
      </w:tr>
      <w:tr>
        <w:trPr>
          <w:tblHeader w:val="false"/>
        </w:trPr>
        <w:tc>
          <w:tcPr>
            <w:tcW w:type="dxa" w:w="22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pStyle w:val="cell"/>
            </w:pPr>
            <w:r>
              <w:t xml:space="preserve">SPEED</w:t>
            </w:r>
          </w:p>
        </w:tc>
        <w:tc>
          <w:tcPr>
            <w:tcW w:type="dxa" w:w="6826"/>
            <w:tcBorders>
              <w:top w:val="single" w:color="BFC7D5" w:sz="4"/>
              <w:left w:val="single" w:color="BFC7D5" w:sz="4"/>
              <w:bottom w:val="single" w:color="BFC7D5" w:sz="4"/>
              <w:right w:val="single" w:color="BFC7D5" w:sz="4"/>
            </w:tcBorders>
            <w:tcMar>
              <w:top w:type="dxa" w:w="60"/>
              <w:left w:type="dxa" w:w="100"/>
              <w:bottom w:type="dxa" w:w="60"/>
              <w:right w:type="dxa" w:w="100"/>
            </w:tcMar>
          </w:tcPr>
          <w:p>
            <w:pPr>
              <w:pStyle w:val="cell"/>
            </w:pPr>
            <w:r>
              <w:t xml:space="preserve">Opens slower, more taps to reach the scanner</w:t>
            </w:r>
          </w:p>
        </w:tc>
      </w:tr>
      <w:tr>
        <w:trPr>
          <w:tblHeader w:val="false"/>
        </w:trPr>
        <w:tc>
          <w:tcPr>
            <w:tcW w:type="dxa" w:w="22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pStyle w:val="cell"/>
            </w:pPr>
            <w:r>
              <w:t xml:space="preserve">RELIABILITY</w:t>
            </w:r>
          </w:p>
        </w:tc>
        <w:tc>
          <w:tcPr>
            <w:tcW w:type="dxa" w:w="6826"/>
            <w:tcBorders>
              <w:top w:val="single" w:color="BFC7D5" w:sz="4"/>
              <w:left w:val="single" w:color="BFC7D5" w:sz="4"/>
              <w:bottom w:val="single" w:color="BFC7D5" w:sz="4"/>
              <w:right w:val="single" w:color="BFC7D5" w:sz="4"/>
            </w:tcBorders>
            <w:tcMar>
              <w:top w:type="dxa" w:w="60"/>
              <w:left w:type="dxa" w:w="100"/>
              <w:bottom w:type="dxa" w:w="60"/>
              <w:right w:type="dxa" w:w="100"/>
            </w:tcMar>
          </w:tcPr>
          <w:p>
            <w:pPr>
              <w:pStyle w:val="cell"/>
            </w:pPr>
            <w:r>
              <w:t xml:space="preserve">Failed or stuck payments, pending refunds</w:t>
            </w:r>
          </w:p>
        </w:tc>
      </w:tr>
      <w:tr>
        <w:trPr>
          <w:tblHeader w:val="false"/>
        </w:trPr>
        <w:tc>
          <w:tcPr>
            <w:tcW w:type="dxa" w:w="22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pStyle w:val="cell"/>
            </w:pPr>
            <w:r>
              <w:t xml:space="preserve">CLUTTER</w:t>
            </w:r>
          </w:p>
        </w:tc>
        <w:tc>
          <w:tcPr>
            <w:tcW w:type="dxa" w:w="6826"/>
            <w:tcBorders>
              <w:top w:val="single" w:color="BFC7D5" w:sz="4"/>
              <w:left w:val="single" w:color="BFC7D5" w:sz="4"/>
              <w:bottom w:val="single" w:color="BFC7D5" w:sz="4"/>
              <w:right w:val="single" w:color="BFC7D5" w:sz="4"/>
            </w:tcBorders>
            <w:tcMar>
              <w:top w:type="dxa" w:w="60"/>
              <w:left w:type="dxa" w:w="100"/>
              <w:bottom w:type="dxa" w:w="60"/>
              <w:right w:type="dxa" w:w="100"/>
            </w:tcMar>
          </w:tcPr>
          <w:p>
            <w:pPr>
              <w:pStyle w:val="cell"/>
            </w:pPr>
            <w:r>
              <w:t xml:space="preserve">Too many features or ads, feels heavy</w:t>
            </w:r>
          </w:p>
        </w:tc>
      </w:tr>
      <w:tr>
        <w:trPr>
          <w:tblHeader w:val="false"/>
        </w:trPr>
        <w:tc>
          <w:tcPr>
            <w:tcW w:type="dxa" w:w="22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pStyle w:val="cell"/>
            </w:pPr>
            <w:r>
              <w:t xml:space="preserve">TRUST</w:t>
            </w:r>
          </w:p>
        </w:tc>
        <w:tc>
          <w:tcPr>
            <w:tcW w:type="dxa" w:w="6826"/>
            <w:tcBorders>
              <w:top w:val="single" w:color="BFC7D5" w:sz="4"/>
              <w:left w:val="single" w:color="BFC7D5" w:sz="4"/>
              <w:bottom w:val="single" w:color="BFC7D5" w:sz="4"/>
              <w:right w:val="single" w:color="BFC7D5" w:sz="4"/>
            </w:tcBorders>
            <w:tcMar>
              <w:top w:type="dxa" w:w="60"/>
              <w:left w:type="dxa" w:w="100"/>
              <w:bottom w:type="dxa" w:w="60"/>
              <w:right w:type="dxa" w:w="100"/>
            </w:tcMar>
          </w:tcPr>
          <w:p>
            <w:pPr>
              <w:pStyle w:val="cell"/>
            </w:pPr>
            <w:r>
              <w:t xml:space="preserve">Past news about Paytm, worried about money safety</w:t>
            </w:r>
          </w:p>
        </w:tc>
      </w:tr>
      <w:tr>
        <w:trPr>
          <w:tblHeader w:val="false"/>
        </w:trPr>
        <w:tc>
          <w:tcPr>
            <w:tcW w:type="dxa" w:w="22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pStyle w:val="cell"/>
            </w:pPr>
            <w:r>
              <w:t xml:space="preserve">NO-REASON</w:t>
            </w:r>
          </w:p>
        </w:tc>
        <w:tc>
          <w:tcPr>
            <w:tcW w:type="dxa" w:w="6826"/>
            <w:tcBorders>
              <w:top w:val="single" w:color="BFC7D5" w:sz="4"/>
              <w:left w:val="single" w:color="BFC7D5" w:sz="4"/>
              <w:bottom w:val="single" w:color="BFC7D5" w:sz="4"/>
              <w:right w:val="single" w:color="BFC7D5" w:sz="4"/>
            </w:tcBorders>
            <w:tcMar>
              <w:top w:type="dxa" w:w="60"/>
              <w:left w:type="dxa" w:w="100"/>
              <w:bottom w:type="dxa" w:w="60"/>
              <w:right w:type="dxa" w:w="100"/>
            </w:tcMar>
          </w:tcPr>
          <w:p>
            <w:pPr>
              <w:pStyle w:val="cell"/>
            </w:pPr>
            <w:r>
              <w:t xml:space="preserve">No push to switch, 'all apps are the same'</w:t>
            </w:r>
          </w:p>
        </w:tc>
      </w:tr>
      <w:tr>
        <w:trPr>
          <w:tblHeader w:val="false"/>
        </w:trPr>
        <w:tc>
          <w:tcPr>
            <w:tcW w:type="dxa" w:w="22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pStyle w:val="cell"/>
            </w:pPr>
            <w:r>
              <w:t xml:space="preserve">AWARENESS</w:t>
            </w:r>
          </w:p>
        </w:tc>
        <w:tc>
          <w:tcPr>
            <w:tcW w:type="dxa" w:w="6826"/>
            <w:tcBorders>
              <w:top w:val="single" w:color="BFC7D5" w:sz="4"/>
              <w:left w:val="single" w:color="BFC7D5" w:sz="4"/>
              <w:bottom w:val="single" w:color="BFC7D5" w:sz="4"/>
              <w:right w:val="single" w:color="BFC7D5" w:sz="4"/>
            </w:tcBorders>
            <w:tcMar>
              <w:top w:type="dxa" w:w="60"/>
              <w:left w:type="dxa" w:w="100"/>
              <w:bottom w:type="dxa" w:w="60"/>
              <w:right w:type="dxa" w:w="100"/>
            </w:tcMar>
          </w:tcPr>
          <w:p>
            <w:pPr>
              <w:pStyle w:val="cell"/>
            </w:pPr>
            <w:r>
              <w:t xml:space="preserve">Doesn't know about a Paytm feature that would help</w:t>
            </w:r>
          </w:p>
        </w:tc>
      </w:tr>
    </w:tbl>
    <w:p>
      <w:pPr>
        <w:spacing w:after="100"/>
      </w:pPr>
      <w:r>
        <w:t xml:space="preserve">Every row gets one main code and optionally one secondary code. Count them: that turns 50 quotes into a chart that proves the problem.</w:t>
      </w:r>
    </w:p>
    <w:p>
      <w:pPr>
        <w:pStyle w:val="Heading1"/>
      </w:pPr>
      <w:r>
        <w:t xml:space="preserve">7. Filling the VOC workbook</w:t>
      </w:r>
    </w:p>
    <w:p>
      <w:pPr>
        <w:spacing w:after="100"/>
      </w:pPr>
      <w:r>
        <w:t xml:space="preserve">Keep all 12 template columns and </w:t>
      </w:r>
      <w:r>
        <w:rPr>
          <w:b/>
          <w:bCs/>
        </w:rPr>
        <w:t xml:space="preserve">add</w:t>
      </w:r>
      <w:r>
        <w:t xml:space="preserve"> these (the template allows extra columns): Year · Hostel/Day scholar · Home state · Interview type (Survey / In-depth) · Paytm share of last 10 (#) · Primary-app share of last 10 (#) · Allowance funded by parents (Y/N) · Parent uses Paytm (Y/N/Unsure) · Concept score (1–5) · Barrier code (primary) · Barrier code (secondary).</w:t>
      </w:r>
    </w:p>
    <w:p>
      <w:pPr>
        <w:pStyle w:val="ListParagraph"/>
        <w:numPr>
          <w:ilvl w:val="0"/>
          <w:numId w:val="2"/>
        </w:numPr>
        <w:spacing w:after="60"/>
      </w:pPr>
      <w:r>
        <w:t xml:space="preserve">'Why was it chosen?' and 'Key quote' → </w:t>
      </w:r>
      <w:r>
        <w:rPr>
          <w:b/>
          <w:bCs/>
        </w:rPr>
        <w:t xml:space="preserve">their exact words</w:t>
      </w:r>
      <w:r>
        <w:t xml:space="preserve"> only.</w:t>
      </w:r>
    </w:p>
    <w:p>
      <w:pPr>
        <w:pStyle w:val="ListParagraph"/>
        <w:numPr>
          <w:ilvl w:val="0"/>
          <w:numId w:val="2"/>
        </w:numPr>
        <w:spacing w:after="60"/>
      </w:pPr>
      <w:r>
        <w:t xml:space="preserve">'Need, barrier or motivation' → </w:t>
      </w:r>
      <w:r>
        <w:rPr>
          <w:b/>
          <w:bCs/>
        </w:rPr>
        <w:t xml:space="preserve">your interpretation</w:t>
      </w:r>
      <w:r>
        <w:t xml:space="preserve"> in one line, plus a barrier code.</w:t>
      </w:r>
    </w:p>
    <w:p>
      <w:pPr>
        <w:pStyle w:val="ListParagraph"/>
        <w:numPr>
          <w:ilvl w:val="0"/>
          <w:numId w:val="2"/>
        </w:numPr>
        <w:spacing w:after="60"/>
      </w:pPr>
      <w:r>
        <w:t xml:space="preserve">'Opportunity / idea' → a specific product idea that follows from that row, not a generic one.</w:t>
      </w:r>
    </w:p>
    <w:p>
      <w:pPr>
        <w:pStyle w:val="ListParagraph"/>
        <w:numPr>
          <w:ilvl w:val="0"/>
          <w:numId w:val="2"/>
        </w:numPr>
        <w:spacing w:after="60"/>
      </w:pPr>
      <w:r>
        <w:t xml:space="preserve">Add a second sheet, </w:t>
      </w:r>
      <w:r>
        <w:rPr>
          <w:b/>
          <w:bCs/>
        </w:rPr>
        <w:t xml:space="preserve">'Summary'</w:t>
      </w:r>
      <w:r>
        <w:t xml:space="preserve">, with: counts by barrier code, Paytm share by occasion, the H1–H5 verdicts and concept-score distribution. Judges see real analysis before reading any rows.</w:t>
      </w:r>
    </w:p>
    <w:p>
      <w:pPr>
        <w:pStyle w:val="Heading1"/>
      </w:pPr>
      <w:r>
        <w:t xml:space="preserve">8. Opportunity sizing (fill in with survey numbers)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800"/>
        <w:gridCol w:w="1900"/>
        <w:gridCol w:w="2326"/>
      </w:tblGrid>
      <w:tr>
        <w:trPr>
          <w:tblHeader/>
        </w:trPr>
        <w:tc>
          <w:tcPr>
            <w:tcW w:type="dxa" w:w="4800"/>
            <w:tcBorders>
              <w:top w:val="single" w:color="BFC7D5" w:sz="4"/>
              <w:left w:val="single" w:color="BFC7D5" w:sz="4"/>
              <w:bottom w:val="single" w:color="BFC7D5" w:sz="4"/>
              <w:right w:val="single" w:color="BFC7D5" w:sz="4"/>
            </w:tcBorders>
            <w:shd w:fill="002E6E" w:color="auto" w:val="clear"/>
            <w:tcMar>
              <w:top w:type="dxa" w:w="60"/>
              <w:left w:type="dxa" w:w="100"/>
              <w:bottom w:type="dxa" w:w="60"/>
              <w:right w:type="dxa" w:w="100"/>
            </w:tcMar>
          </w:tcPr>
          <w:p>
            <w:pPr>
              <w:pStyle w:val="cell"/>
            </w:pPr>
            <w:r>
              <w:rPr>
                <w:b/>
                <w:bCs/>
                <w:color w:val="FFFFFF"/>
                <w:sz w:val="19"/>
                <w:szCs w:val="19"/>
              </w:rPr>
              <w:t xml:space="preserve">Step</w:t>
            </w:r>
          </w:p>
        </w:tc>
        <w:tc>
          <w:tcPr>
            <w:tcW w:type="dxa" w:w="1900"/>
            <w:tcBorders>
              <w:top w:val="single" w:color="BFC7D5" w:sz="4"/>
              <w:left w:val="single" w:color="BFC7D5" w:sz="4"/>
              <w:bottom w:val="single" w:color="BFC7D5" w:sz="4"/>
              <w:right w:val="single" w:color="BFC7D5" w:sz="4"/>
            </w:tcBorders>
            <w:shd w:fill="002E6E" w:color="auto" w:val="clear"/>
            <w:tcMar>
              <w:top w:type="dxa" w:w="60"/>
              <w:left w:type="dxa" w:w="100"/>
              <w:bottom w:type="dxa" w:w="60"/>
              <w:right w:type="dxa" w:w="100"/>
            </w:tcMar>
          </w:tcPr>
          <w:p>
            <w:pPr>
              <w:pStyle w:val="cell"/>
            </w:pPr>
            <w:r>
              <w:rPr>
                <w:b/>
                <w:bCs/>
                <w:color w:val="FFFFFF"/>
                <w:sz w:val="19"/>
                <w:szCs w:val="19"/>
              </w:rPr>
              <w:t xml:space="preserve">Value</w:t>
            </w:r>
          </w:p>
        </w:tc>
        <w:tc>
          <w:tcPr>
            <w:tcW w:type="dxa" w:w="2326"/>
            <w:tcBorders>
              <w:top w:val="single" w:color="BFC7D5" w:sz="4"/>
              <w:left w:val="single" w:color="BFC7D5" w:sz="4"/>
              <w:bottom w:val="single" w:color="BFC7D5" w:sz="4"/>
              <w:right w:val="single" w:color="BFC7D5" w:sz="4"/>
            </w:tcBorders>
            <w:shd w:fill="002E6E" w:color="auto" w:val="clear"/>
            <w:tcMar>
              <w:top w:type="dxa" w:w="60"/>
              <w:left w:type="dxa" w:w="100"/>
              <w:bottom w:type="dxa" w:w="60"/>
              <w:right w:type="dxa" w:w="100"/>
            </w:tcMar>
          </w:tcPr>
          <w:p>
            <w:pPr>
              <w:pStyle w:val="cell"/>
            </w:pPr>
            <w:r>
              <w:rPr>
                <w:b/>
                <w:bCs/>
                <w:color w:val="FFFFFF"/>
                <w:sz w:val="19"/>
                <w:szCs w:val="19"/>
              </w:rPr>
              <w:t xml:space="preserve">Source</w:t>
            </w:r>
          </w:p>
        </w:tc>
      </w:tr>
      <w:tr>
        <w:trPr>
          <w:tblHeader w:val="false"/>
        </w:trPr>
        <w:tc>
          <w:tcPr>
            <w:tcW w:type="dxa" w:w="48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pStyle w:val="cell"/>
            </w:pPr>
            <w:r>
              <w:t xml:space="preserve">Students in higher education in India</w:t>
            </w:r>
          </w:p>
        </w:tc>
        <w:tc>
          <w:tcPr>
            <w:tcW w:type="dxa" w:w="19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pStyle w:val="cell"/>
            </w:pPr>
            <w:r>
              <w:t xml:space="preserve">~4.5 crore</w:t>
            </w:r>
          </w:p>
        </w:tc>
        <w:tc>
          <w:tcPr>
            <w:tcW w:type="dxa" w:w="2326"/>
            <w:tcBorders>
              <w:top w:val="single" w:color="BFC7D5" w:sz="4"/>
              <w:left w:val="single" w:color="BFC7D5" w:sz="4"/>
              <w:bottom w:val="single" w:color="BFC7D5" w:sz="4"/>
              <w:right w:val="single" w:color="BFC7D5" w:sz="4"/>
            </w:tcBorders>
            <w:tcMar>
              <w:top w:type="dxa" w:w="60"/>
              <w:left w:type="dxa" w:w="100"/>
              <w:bottom w:type="dxa" w:w="60"/>
              <w:right w:type="dxa" w:w="100"/>
            </w:tcMar>
          </w:tcPr>
          <w:p>
            <w:pPr>
              <w:pStyle w:val="cell"/>
            </w:pPr>
            <w:r>
              <w:t xml:space="preserve">AISHE 2023-24</w:t>
            </w:r>
          </w:p>
        </w:tc>
      </w:tr>
      <w:tr>
        <w:trPr>
          <w:tblHeader w:val="false"/>
        </w:trPr>
        <w:tc>
          <w:tcPr>
            <w:tcW w:type="dxa" w:w="48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pStyle w:val="cell"/>
            </w:pPr>
            <w:r>
              <w:t xml:space="preserve">× share who pay with UPI regularly</w:t>
            </w:r>
          </w:p>
        </w:tc>
        <w:tc>
          <w:tcPr>
            <w:tcW w:type="dxa" w:w="19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pStyle w:val="cell"/>
            </w:pPr>
            <w:r>
              <w:t xml:space="preserve">[survey / assume 80%]</w:t>
            </w:r>
          </w:p>
        </w:tc>
        <w:tc>
          <w:tcPr>
            <w:tcW w:type="dxa" w:w="2326"/>
            <w:tcBorders>
              <w:top w:val="single" w:color="BFC7D5" w:sz="4"/>
              <w:left w:val="single" w:color="BFC7D5" w:sz="4"/>
              <w:bottom w:val="single" w:color="BFC7D5" w:sz="4"/>
              <w:right w:val="single" w:color="BFC7D5" w:sz="4"/>
            </w:tcBorders>
            <w:tcMar>
              <w:top w:type="dxa" w:w="60"/>
              <w:left w:type="dxa" w:w="100"/>
              <w:bottom w:type="dxa" w:w="60"/>
              <w:right w:type="dxa" w:w="100"/>
            </w:tcMar>
          </w:tcPr>
          <w:p>
            <w:pPr>
              <w:pStyle w:val="cell"/>
            </w:pPr>
            <w:r>
              <w:t xml:space="preserve">Your survey</w:t>
            </w:r>
          </w:p>
        </w:tc>
      </w:tr>
      <w:tr>
        <w:trPr>
          <w:tblHeader w:val="false"/>
        </w:trPr>
        <w:tc>
          <w:tcPr>
            <w:tcW w:type="dxa" w:w="48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pStyle w:val="cell"/>
            </w:pPr>
            <w:r>
              <w:t xml:space="preserve">× share who used Paytm in 90 days but mainly use another app</w:t>
            </w:r>
          </w:p>
        </w:tc>
        <w:tc>
          <w:tcPr>
            <w:tcW w:type="dxa" w:w="19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pStyle w:val="cell"/>
            </w:pPr>
            <w:r>
              <w:t xml:space="preserve">[from screening pass rate]</w:t>
            </w:r>
          </w:p>
        </w:tc>
        <w:tc>
          <w:tcPr>
            <w:tcW w:type="dxa" w:w="2326"/>
            <w:tcBorders>
              <w:top w:val="single" w:color="BFC7D5" w:sz="4"/>
              <w:left w:val="single" w:color="BFC7D5" w:sz="4"/>
              <w:bottom w:val="single" w:color="BFC7D5" w:sz="4"/>
              <w:right w:val="single" w:color="BFC7D5" w:sz="4"/>
            </w:tcBorders>
            <w:tcMar>
              <w:top w:type="dxa" w:w="60"/>
              <w:left w:type="dxa" w:w="100"/>
              <w:bottom w:type="dxa" w:w="60"/>
              <w:right w:type="dxa" w:w="100"/>
            </w:tcMar>
          </w:tcPr>
          <w:p>
            <w:pPr>
              <w:pStyle w:val="cell"/>
            </w:pPr>
            <w:r>
              <w:t xml:space="preserve">Your survey</w:t>
            </w:r>
          </w:p>
        </w:tc>
      </w:tr>
      <w:tr>
        <w:trPr>
          <w:tblHeader w:val="false"/>
        </w:trPr>
        <w:tc>
          <w:tcPr>
            <w:tcW w:type="dxa" w:w="48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pStyle w:val="cell"/>
            </w:pPr>
            <w:r>
              <w:t xml:space="preserve">× monthly small-payment spend per student</w:t>
            </w:r>
          </w:p>
        </w:tc>
        <w:tc>
          <w:tcPr>
            <w:tcW w:type="dxa" w:w="19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pStyle w:val="cell"/>
            </w:pPr>
            <w:r>
              <w:t xml:space="preserve">₹[median from survey]</w:t>
            </w:r>
          </w:p>
        </w:tc>
        <w:tc>
          <w:tcPr>
            <w:tcW w:type="dxa" w:w="2326"/>
            <w:tcBorders>
              <w:top w:val="single" w:color="BFC7D5" w:sz="4"/>
              <w:left w:val="single" w:color="BFC7D5" w:sz="4"/>
              <w:bottom w:val="single" w:color="BFC7D5" w:sz="4"/>
              <w:right w:val="single" w:color="BFC7D5" w:sz="4"/>
            </w:tcBorders>
            <w:tcMar>
              <w:top w:type="dxa" w:w="60"/>
              <w:left w:type="dxa" w:w="100"/>
              <w:bottom w:type="dxa" w:w="60"/>
              <w:right w:type="dxa" w:w="100"/>
            </w:tcMar>
          </w:tcPr>
          <w:p>
            <w:pPr>
              <w:pStyle w:val="cell"/>
            </w:pPr>
            <w:r>
              <w:t xml:space="preserve">Your survey</w:t>
            </w:r>
          </w:p>
        </w:tc>
      </w:tr>
      <w:tr>
        <w:trPr>
          <w:tblHeader w:val="false"/>
        </w:trPr>
        <w:tc>
          <w:tcPr>
            <w:tcW w:type="dxa" w:w="48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pStyle w:val="cell"/>
            </w:pPr>
            <w:r>
              <w:t xml:space="preserve">× share Paytm could win with Allowance</w:t>
            </w:r>
          </w:p>
        </w:tc>
        <w:tc>
          <w:tcPr>
            <w:tcW w:type="dxa" w:w="19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pStyle w:val="cell"/>
            </w:pPr>
            <w:r>
              <w:t xml:space="preserve">[concept score 4–5 share × conservative factor]</w:t>
            </w:r>
          </w:p>
        </w:tc>
        <w:tc>
          <w:tcPr>
            <w:tcW w:type="dxa" w:w="2326"/>
            <w:tcBorders>
              <w:top w:val="single" w:color="BFC7D5" w:sz="4"/>
              <w:left w:val="single" w:color="BFC7D5" w:sz="4"/>
              <w:bottom w:val="single" w:color="BFC7D5" w:sz="4"/>
              <w:right w:val="single" w:color="BFC7D5" w:sz="4"/>
            </w:tcBorders>
            <w:tcMar>
              <w:top w:type="dxa" w:w="60"/>
              <w:left w:type="dxa" w:w="100"/>
              <w:bottom w:type="dxa" w:w="60"/>
              <w:right w:type="dxa" w:w="100"/>
            </w:tcMar>
          </w:tcPr>
          <w:p>
            <w:pPr>
              <w:pStyle w:val="cell"/>
            </w:pPr>
            <w:r>
              <w:t xml:space="preserve">Your survey</w:t>
            </w:r>
          </w:p>
        </w:tc>
      </w:tr>
      <w:tr>
        <w:trPr>
          <w:tblHeader w:val="false"/>
        </w:trPr>
        <w:tc>
          <w:tcPr>
            <w:tcW w:type="dxa" w:w="48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pStyle w:val="cell"/>
            </w:pPr>
            <w:r>
              <w:t xml:space="preserve">= Monthly GMV Paytm could gain</w:t>
            </w:r>
          </w:p>
        </w:tc>
        <w:tc>
          <w:tcPr>
            <w:tcW w:type="dxa" w:w="19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pStyle w:val="cell"/>
            </w:pPr>
            <w:r>
              <w:t xml:space="preserve">₹[result]</w:t>
            </w:r>
          </w:p>
        </w:tc>
        <w:tc>
          <w:tcPr>
            <w:tcW w:type="dxa" w:w="2326"/>
            <w:tcBorders>
              <w:top w:val="single" w:color="BFC7D5" w:sz="4"/>
              <w:left w:val="single" w:color="BFC7D5" w:sz="4"/>
              <w:bottom w:val="single" w:color="BFC7D5" w:sz="4"/>
              <w:right w:val="single" w:color="BFC7D5" w:sz="4"/>
            </w:tcBorders>
            <w:tcMar>
              <w:top w:type="dxa" w:w="60"/>
              <w:left w:type="dxa" w:w="100"/>
              <w:bottom w:type="dxa" w:w="60"/>
              <w:right w:type="dxa" w:w="100"/>
            </w:tcMar>
          </w:tcPr>
          <w:p>
            <w:pPr>
              <w:pStyle w:val="cell"/>
            </w:pPr>
            <w:r>
              <w:t xml:space="preserve">Calculated</w:t>
            </w:r>
          </w:p>
        </w:tc>
      </w:tr>
    </w:tbl>
    <w:p>
      <w:pPr>
        <w:spacing w:after="100"/>
      </w:pPr>
      <w:r>
        <w:rPr>
          <w:b/>
          <w:bCs/>
        </w:rPr>
        <w:t xml:space="preserve">Worked example with placeholder numbers only</w:t>
      </w:r>
      <w:r>
        <w:t xml:space="preserve"> (replace every one with your data): 4.5 cr × 80% × 25% ≈ 90 lakh students. At ₹3,000/month small-payment spend, shifting 30% of it to Paytm = ₹900 per student per month. That's roughly </w:t>
      </w:r>
      <w:r>
        <w:rPr>
          <w:b/>
          <w:bCs/>
        </w:rPr>
        <w:t xml:space="preserve">₹800 crore/month, about ₹9,600 crore a year</w:t>
      </w:r>
      <w:r>
        <w:t xml:space="preserve"> in incremental GMV, plus about 90 lakh stronger MTUs. Show the formula in the PDF so judges can check it.</w:t>
      </w:r>
    </w:p>
    <w:p>
      <w:pPr>
        <w:pStyle w:val="Heading1"/>
      </w:pPr>
      <w:r>
        <w:t xml:space="preserve">9. Pilot design and success metrics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300"/>
        <w:gridCol w:w="3126"/>
      </w:tblGrid>
      <w:tr>
        <w:trPr>
          <w:tblHeader/>
        </w:trPr>
        <w:tc>
          <w:tcPr>
            <w:tcW w:type="dxa" w:w="2600"/>
            <w:tcBorders>
              <w:top w:val="single" w:color="BFC7D5" w:sz="4"/>
              <w:left w:val="single" w:color="BFC7D5" w:sz="4"/>
              <w:bottom w:val="single" w:color="BFC7D5" w:sz="4"/>
              <w:right w:val="single" w:color="BFC7D5" w:sz="4"/>
            </w:tcBorders>
            <w:shd w:fill="002E6E" w:color="auto" w:val="clear"/>
            <w:tcMar>
              <w:top w:type="dxa" w:w="60"/>
              <w:left w:type="dxa" w:w="100"/>
              <w:bottom w:type="dxa" w:w="60"/>
              <w:right w:type="dxa" w:w="100"/>
            </w:tcMar>
          </w:tcPr>
          <w:p>
            <w:pPr>
              <w:pStyle w:val="cell"/>
            </w:pPr>
            <w:r>
              <w:rPr>
                <w:b/>
                <w:bCs/>
                <w:color w:val="FFFFFF"/>
                <w:sz w:val="19"/>
                <w:szCs w:val="19"/>
              </w:rPr>
              <w:t xml:space="preserve">Metric</w:t>
            </w:r>
          </w:p>
        </w:tc>
        <w:tc>
          <w:tcPr>
            <w:tcW w:type="dxa" w:w="3300"/>
            <w:tcBorders>
              <w:top w:val="single" w:color="BFC7D5" w:sz="4"/>
              <w:left w:val="single" w:color="BFC7D5" w:sz="4"/>
              <w:bottom w:val="single" w:color="BFC7D5" w:sz="4"/>
              <w:right w:val="single" w:color="BFC7D5" w:sz="4"/>
            </w:tcBorders>
            <w:shd w:fill="002E6E" w:color="auto" w:val="clear"/>
            <w:tcMar>
              <w:top w:type="dxa" w:w="60"/>
              <w:left w:type="dxa" w:w="100"/>
              <w:bottom w:type="dxa" w:w="60"/>
              <w:right w:type="dxa" w:w="100"/>
            </w:tcMar>
          </w:tcPr>
          <w:p>
            <w:pPr>
              <w:pStyle w:val="cell"/>
            </w:pPr>
            <w:r>
              <w:rPr>
                <w:b/>
                <w:bCs/>
                <w:color w:val="FFFFFF"/>
                <w:sz w:val="19"/>
                <w:szCs w:val="19"/>
              </w:rPr>
              <w:t xml:space="preserve">Definition</w:t>
            </w:r>
          </w:p>
        </w:tc>
        <w:tc>
          <w:tcPr>
            <w:tcW w:type="dxa" w:w="3126"/>
            <w:tcBorders>
              <w:top w:val="single" w:color="BFC7D5" w:sz="4"/>
              <w:left w:val="single" w:color="BFC7D5" w:sz="4"/>
              <w:bottom w:val="single" w:color="BFC7D5" w:sz="4"/>
              <w:right w:val="single" w:color="BFC7D5" w:sz="4"/>
            </w:tcBorders>
            <w:shd w:fill="002E6E" w:color="auto" w:val="clear"/>
            <w:tcMar>
              <w:top w:type="dxa" w:w="60"/>
              <w:left w:type="dxa" w:w="100"/>
              <w:bottom w:type="dxa" w:w="60"/>
              <w:right w:type="dxa" w:w="100"/>
            </w:tcMar>
          </w:tcPr>
          <w:p>
            <w:pPr>
              <w:pStyle w:val="cell"/>
            </w:pPr>
            <w:r>
              <w:rPr>
                <w:b/>
                <w:bCs/>
                <w:color w:val="FFFFFF"/>
                <w:sz w:val="19"/>
                <w:szCs w:val="19"/>
              </w:rPr>
              <w:t xml:space="preserve">Target (4-week, one-campus pilot)</w:t>
            </w:r>
          </w:p>
        </w:tc>
      </w:tr>
      <w:tr>
        <w:trPr>
          <w:tblHeader w:val="false"/>
        </w:trPr>
        <w:tc>
          <w:tcPr>
            <w:tcW w:type="dxa" w:w="26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pStyle w:val="cell"/>
            </w:pPr>
            <w:r>
              <w:t xml:space="preserve">Parent activation</w:t>
            </w:r>
          </w:p>
        </w:tc>
        <w:tc>
          <w:tcPr>
            <w:tcW w:type="dxa" w:w="33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pStyle w:val="cell"/>
            </w:pPr>
            <w:r>
              <w:t xml:space="preserve">% of invited student-parent pairs that set up an allowance</w:t>
            </w:r>
          </w:p>
        </w:tc>
        <w:tc>
          <w:tcPr>
            <w:tcW w:type="dxa" w:w="3126"/>
            <w:tcBorders>
              <w:top w:val="single" w:color="BFC7D5" w:sz="4"/>
              <w:left w:val="single" w:color="BFC7D5" w:sz="4"/>
              <w:bottom w:val="single" w:color="BFC7D5" w:sz="4"/>
              <w:right w:val="single" w:color="BFC7D5" w:sz="4"/>
            </w:tcBorders>
            <w:tcMar>
              <w:top w:type="dxa" w:w="60"/>
              <w:left w:type="dxa" w:w="100"/>
              <w:bottom w:type="dxa" w:w="60"/>
              <w:right w:type="dxa" w:w="100"/>
            </w:tcMar>
          </w:tcPr>
          <w:p>
            <w:pPr>
              <w:pStyle w:val="cell"/>
            </w:pPr>
            <w:r>
              <w:t xml:space="preserve">≥ 15% (below 15% → drop the idea)</w:t>
            </w:r>
          </w:p>
        </w:tc>
      </w:tr>
      <w:tr>
        <w:trPr>
          <w:tblHeader w:val="false"/>
        </w:trPr>
        <w:tc>
          <w:tcPr>
            <w:tcW w:type="dxa" w:w="26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pStyle w:val="cell"/>
            </w:pPr>
            <w:r>
              <w:t xml:space="preserve">MTU</w:t>
            </w:r>
          </w:p>
        </w:tc>
        <w:tc>
          <w:tcPr>
            <w:tcW w:type="dxa" w:w="33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pStyle w:val="cell"/>
            </w:pPr>
            <w:r>
              <w:t xml:space="preserve">Students making ≥1 Paytm UPI payment per month</w:t>
            </w:r>
          </w:p>
        </w:tc>
        <w:tc>
          <w:tcPr>
            <w:tcW w:type="dxa" w:w="3126"/>
            <w:tcBorders>
              <w:top w:val="single" w:color="BFC7D5" w:sz="4"/>
              <w:left w:val="single" w:color="BFC7D5" w:sz="4"/>
              <w:bottom w:val="single" w:color="BFC7D5" w:sz="4"/>
              <w:right w:val="single" w:color="BFC7D5" w:sz="4"/>
            </w:tcBorders>
            <w:tcMar>
              <w:top w:type="dxa" w:w="60"/>
              <w:left w:type="dxa" w:w="100"/>
              <w:bottom w:type="dxa" w:w="60"/>
              <w:right w:type="dxa" w:w="100"/>
            </w:tcMar>
          </w:tcPr>
          <w:p>
            <w:pPr>
              <w:pStyle w:val="cell"/>
            </w:pPr>
            <w:r>
              <w:t xml:space="preserve">+X% vs control campus</w:t>
            </w:r>
          </w:p>
        </w:tc>
      </w:tr>
      <w:tr>
        <w:trPr>
          <w:tblHeader w:val="false"/>
        </w:trPr>
        <w:tc>
          <w:tcPr>
            <w:tcW w:type="dxa" w:w="26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pStyle w:val="cell"/>
            </w:pPr>
            <w:r>
              <w:t xml:space="preserve">Frequency</w:t>
            </w:r>
          </w:p>
        </w:tc>
        <w:tc>
          <w:tcPr>
            <w:tcW w:type="dxa" w:w="33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pStyle w:val="cell"/>
            </w:pPr>
            <w:r>
              <w:t xml:space="preserve">Paytm UPI payments per active student per week</w:t>
            </w:r>
          </w:p>
        </w:tc>
        <w:tc>
          <w:tcPr>
            <w:tcW w:type="dxa" w:w="3126"/>
            <w:tcBorders>
              <w:top w:val="single" w:color="BFC7D5" w:sz="4"/>
              <w:left w:val="single" w:color="BFC7D5" w:sz="4"/>
              <w:bottom w:val="single" w:color="BFC7D5" w:sz="4"/>
              <w:right w:val="single" w:color="BFC7D5" w:sz="4"/>
            </w:tcBorders>
            <w:tcMar>
              <w:top w:type="dxa" w:w="60"/>
              <w:left w:type="dxa" w:w="100"/>
              <w:bottom w:type="dxa" w:w="60"/>
              <w:right w:type="dxa" w:w="100"/>
            </w:tcMar>
          </w:tcPr>
          <w:p>
            <w:pPr>
              <w:pStyle w:val="cell"/>
            </w:pPr>
            <w:r>
              <w:t xml:space="preserve">From ~1 to ≥4</w:t>
            </w:r>
          </w:p>
        </w:tc>
      </w:tr>
      <w:tr>
        <w:trPr>
          <w:tblHeader w:val="false"/>
        </w:trPr>
        <w:tc>
          <w:tcPr>
            <w:tcW w:type="dxa" w:w="26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pStyle w:val="cell"/>
            </w:pPr>
            <w:r>
              <w:t xml:space="preserve">GMV share</w:t>
            </w:r>
          </w:p>
        </w:tc>
        <w:tc>
          <w:tcPr>
            <w:tcW w:type="dxa" w:w="33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pStyle w:val="cell"/>
            </w:pPr>
            <w:r>
              <w:t xml:space="preserve">Paytm share of the last 10 payments (same count as the survey)</w:t>
            </w:r>
          </w:p>
        </w:tc>
        <w:tc>
          <w:tcPr>
            <w:tcW w:type="dxa" w:w="3126"/>
            <w:tcBorders>
              <w:top w:val="single" w:color="BFC7D5" w:sz="4"/>
              <w:left w:val="single" w:color="BFC7D5" w:sz="4"/>
              <w:bottom w:val="single" w:color="BFC7D5" w:sz="4"/>
              <w:right w:val="single" w:color="BFC7D5" w:sz="4"/>
            </w:tcBorders>
            <w:tcMar>
              <w:top w:type="dxa" w:w="60"/>
              <w:left w:type="dxa" w:w="100"/>
              <w:bottom w:type="dxa" w:w="60"/>
              <w:right w:type="dxa" w:w="100"/>
            </w:tcMar>
          </w:tcPr>
          <w:p>
            <w:pPr>
              <w:pStyle w:val="cell"/>
            </w:pPr>
            <w:r>
              <w:t xml:space="preserve">From baseline [survey] to 2× baseline</w:t>
            </w:r>
          </w:p>
        </w:tc>
      </w:tr>
      <w:tr>
        <w:trPr>
          <w:tblHeader w:val="false"/>
        </w:trPr>
        <w:tc>
          <w:tcPr>
            <w:tcW w:type="dxa" w:w="26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pStyle w:val="cell"/>
            </w:pPr>
            <w:r>
              <w:t xml:space="preserve">Retention</w:t>
            </w:r>
          </w:p>
        </w:tc>
        <w:tc>
          <w:tcPr>
            <w:tcW w:type="dxa" w:w="33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pStyle w:val="cell"/>
            </w:pPr>
            <w:r>
              <w:t xml:space="preserve">% still using the allowance in week 4</w:t>
            </w:r>
          </w:p>
        </w:tc>
        <w:tc>
          <w:tcPr>
            <w:tcW w:type="dxa" w:w="3126"/>
            <w:tcBorders>
              <w:top w:val="single" w:color="BFC7D5" w:sz="4"/>
              <w:left w:val="single" w:color="BFC7D5" w:sz="4"/>
              <w:bottom w:val="single" w:color="BFC7D5" w:sz="4"/>
              <w:right w:val="single" w:color="BFC7D5" w:sz="4"/>
            </w:tcBorders>
            <w:tcMar>
              <w:top w:type="dxa" w:w="60"/>
              <w:left w:type="dxa" w:w="100"/>
              <w:bottom w:type="dxa" w:w="60"/>
              <w:right w:type="dxa" w:w="100"/>
            </w:tcMar>
          </w:tcPr>
          <w:p>
            <w:pPr>
              <w:pStyle w:val="cell"/>
            </w:pPr>
            <w:r>
              <w:t xml:space="preserve">≥ 60% of activated pairs</w:t>
            </w:r>
          </w:p>
        </w:tc>
      </w:tr>
    </w:tbl>
    <w:p>
      <w:pPr>
        <w:spacing w:after="100"/>
      </w:pPr>
      <w:r>
        <w:t xml:space="preserve">A failure criterion (drop it if under 15%) shows product thinking. Few student entries will have one.</w:t>
      </w:r>
    </w:p>
    <w:p>
      <w:pPr>
        <w:pStyle w:val="Heading1"/>
      </w:pPr>
      <w:r>
        <w:t xml:space="preserve">10. Why this beats the other ~10,000 entries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rPr>
          <w:tblHeader/>
        </w:trPr>
        <w:tc>
          <w:tcPr>
            <w:tcW w:type="dxa" w:w="3000"/>
            <w:tcBorders>
              <w:top w:val="single" w:color="BFC7D5" w:sz="4"/>
              <w:left w:val="single" w:color="BFC7D5" w:sz="4"/>
              <w:bottom w:val="single" w:color="BFC7D5" w:sz="4"/>
              <w:right w:val="single" w:color="BFC7D5" w:sz="4"/>
            </w:tcBorders>
            <w:shd w:fill="002E6E" w:color="auto" w:val="clear"/>
            <w:tcMar>
              <w:top w:type="dxa" w:w="60"/>
              <w:left w:type="dxa" w:w="100"/>
              <w:bottom w:type="dxa" w:w="60"/>
              <w:right w:type="dxa" w:w="100"/>
            </w:tcMar>
          </w:tcPr>
          <w:p>
            <w:pPr>
              <w:pStyle w:val="cell"/>
            </w:pPr>
            <w:r>
              <w:rPr>
                <w:b/>
                <w:bCs/>
                <w:color w:val="FFFFFF"/>
                <w:sz w:val="19"/>
                <w:szCs w:val="19"/>
              </w:rPr>
              <w:t xml:space="preserve">What most teams will submit</w:t>
            </w:r>
          </w:p>
        </w:tc>
        <w:tc>
          <w:tcPr>
            <w:tcW w:type="dxa" w:w="3000"/>
            <w:tcBorders>
              <w:top w:val="single" w:color="BFC7D5" w:sz="4"/>
              <w:left w:val="single" w:color="BFC7D5" w:sz="4"/>
              <w:bottom w:val="single" w:color="BFC7D5" w:sz="4"/>
              <w:right w:val="single" w:color="BFC7D5" w:sz="4"/>
            </w:tcBorders>
            <w:shd w:fill="002E6E" w:color="auto" w:val="clear"/>
            <w:tcMar>
              <w:top w:type="dxa" w:w="60"/>
              <w:left w:type="dxa" w:w="100"/>
              <w:bottom w:type="dxa" w:w="60"/>
              <w:right w:type="dxa" w:w="100"/>
            </w:tcMar>
          </w:tcPr>
          <w:p>
            <w:pPr>
              <w:pStyle w:val="cell"/>
            </w:pPr>
            <w:r>
              <w:rPr>
                <w:b/>
                <w:bCs/>
                <w:color w:val="FFFFFF"/>
                <w:sz w:val="19"/>
                <w:szCs w:val="19"/>
              </w:rPr>
              <w:t xml:space="preserve">What we submit</w:t>
            </w:r>
          </w:p>
        </w:tc>
        <w:tc>
          <w:tcPr>
            <w:tcW w:type="dxa" w:w="3026"/>
            <w:tcBorders>
              <w:top w:val="single" w:color="BFC7D5" w:sz="4"/>
              <w:left w:val="single" w:color="BFC7D5" w:sz="4"/>
              <w:bottom w:val="single" w:color="BFC7D5" w:sz="4"/>
              <w:right w:val="single" w:color="BFC7D5" w:sz="4"/>
            </w:tcBorders>
            <w:shd w:fill="002E6E" w:color="auto" w:val="clear"/>
            <w:tcMar>
              <w:top w:type="dxa" w:w="60"/>
              <w:left w:type="dxa" w:w="100"/>
              <w:bottom w:type="dxa" w:w="60"/>
              <w:right w:type="dxa" w:w="100"/>
            </w:tcMar>
          </w:tcPr>
          <w:p>
            <w:pPr>
              <w:pStyle w:val="cell"/>
            </w:pPr>
            <w:r>
              <w:rPr>
                <w:b/>
                <w:bCs/>
                <w:color w:val="FFFFFF"/>
                <w:sz w:val="19"/>
                <w:szCs w:val="19"/>
              </w:rPr>
              <w:t xml:space="preserve">Why judges care</w:t>
            </w:r>
          </w:p>
        </w:tc>
      </w:tr>
      <w:tr>
        <w:trPr>
          <w:tblHeader w:val="false"/>
        </w:trPr>
        <w:tc>
          <w:tcPr>
            <w:tcW w:type="dxa" w:w="30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pStyle w:val="cell"/>
            </w:pPr>
            <w:r>
              <w:t xml:space="preserve">'Which app do you prefer?' opinions</w:t>
            </w:r>
          </w:p>
        </w:tc>
        <w:tc>
          <w:tcPr>
            <w:tcW w:type="dxa" w:w="30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pStyle w:val="cell"/>
            </w:pPr>
            <w:r>
              <w:t xml:space="preserve">Last-10-payments count = real share-of-wallet numbers</w:t>
            </w:r>
          </w:p>
        </w:tc>
        <w:tc>
          <w:tcPr>
            <w:tcW w:type="dxa" w:w="3026"/>
            <w:tcBorders>
              <w:top w:val="single" w:color="BFC7D5" w:sz="4"/>
              <w:left w:val="single" w:color="BFC7D5" w:sz="4"/>
              <w:bottom w:val="single" w:color="BFC7D5" w:sz="4"/>
              <w:right w:val="single" w:color="BFC7D5" w:sz="4"/>
            </w:tcBorders>
            <w:tcMar>
              <w:top w:type="dxa" w:w="60"/>
              <w:left w:type="dxa" w:w="100"/>
              <w:bottom w:type="dxa" w:w="60"/>
              <w:right w:type="dxa" w:w="100"/>
            </w:tcMar>
          </w:tcPr>
          <w:p>
            <w:pPr>
              <w:pStyle w:val="cell"/>
            </w:pPr>
            <w:r>
              <w:t xml:space="preserve">The brief asks for recent behaviour, not general preference</w:t>
            </w:r>
          </w:p>
        </w:tc>
      </w:tr>
      <w:tr>
        <w:trPr>
          <w:tblHeader w:val="false"/>
        </w:trPr>
        <w:tc>
          <w:tcPr>
            <w:tcW w:type="dxa" w:w="30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pStyle w:val="cell"/>
            </w:pPr>
            <w:r>
              <w:t xml:space="preserve">'People like GPay because it's simple'</w:t>
            </w:r>
          </w:p>
        </w:tc>
        <w:tc>
          <w:tcPr>
            <w:tcW w:type="dxa" w:w="30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pStyle w:val="cell"/>
            </w:pPr>
            <w:r>
              <w:t xml:space="preserve">Payment type × app table showing exactly where Paytm loses</w:t>
            </w:r>
          </w:p>
        </w:tc>
        <w:tc>
          <w:tcPr>
            <w:tcW w:type="dxa" w:w="3026"/>
            <w:tcBorders>
              <w:top w:val="single" w:color="BFC7D5" w:sz="4"/>
              <w:left w:val="single" w:color="BFC7D5" w:sz="4"/>
              <w:bottom w:val="single" w:color="BFC7D5" w:sz="4"/>
              <w:right w:val="single" w:color="BFC7D5" w:sz="4"/>
            </w:tcBorders>
            <w:tcMar>
              <w:top w:type="dxa" w:w="60"/>
              <w:left w:type="dxa" w:w="100"/>
              <w:bottom w:type="dxa" w:w="60"/>
              <w:right w:type="dxa" w:w="100"/>
            </w:tcMar>
          </w:tcPr>
          <w:p>
            <w:pPr>
              <w:pStyle w:val="cell"/>
            </w:pPr>
            <w:r>
              <w:t xml:space="preserve">It's specific and actionable</w:t>
            </w:r>
          </w:p>
        </w:tc>
      </w:tr>
      <w:tr>
        <w:trPr>
          <w:tblHeader w:val="false"/>
        </w:trPr>
        <w:tc>
          <w:tcPr>
            <w:tcW w:type="dxa" w:w="30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pStyle w:val="cell"/>
            </w:pPr>
            <w:r>
              <w:t xml:space="preserve">Barriers asked directly</w:t>
            </w:r>
          </w:p>
        </w:tc>
        <w:tc>
          <w:tcPr>
            <w:tcW w:type="dxa" w:w="30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pStyle w:val="cell"/>
            </w:pPr>
            <w:r>
              <w:t xml:space="preserve">Barriers inferred and coded, then counted</w:t>
            </w:r>
          </w:p>
        </w:tc>
        <w:tc>
          <w:tcPr>
            <w:tcW w:type="dxa" w:w="3026"/>
            <w:tcBorders>
              <w:top w:val="single" w:color="BFC7D5" w:sz="4"/>
              <w:left w:val="single" w:color="BFC7D5" w:sz="4"/>
              <w:bottom w:val="single" w:color="BFC7D5" w:sz="4"/>
              <w:right w:val="single" w:color="BFC7D5" w:sz="4"/>
            </w:tcBorders>
            <w:tcMar>
              <w:top w:type="dxa" w:w="60"/>
              <w:left w:type="dxa" w:w="100"/>
              <w:bottom w:type="dxa" w:w="60"/>
              <w:right w:type="dxa" w:w="100"/>
            </w:tcMar>
          </w:tcPr>
          <w:p>
            <w:pPr>
              <w:pStyle w:val="cell"/>
            </w:pPr>
            <w:r>
              <w:t xml:space="preserve">Matches the template's instruction to derive them</w:t>
            </w:r>
          </w:p>
        </w:tc>
      </w:tr>
      <w:tr>
        <w:trPr>
          <w:tblHeader w:val="false"/>
        </w:trPr>
        <w:tc>
          <w:tcPr>
            <w:tcW w:type="dxa" w:w="30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pStyle w:val="cell"/>
            </w:pPr>
            <w:r>
              <w:t xml:space="preserve">Cashback / gamification / 'improve UI'</w:t>
            </w:r>
          </w:p>
        </w:tc>
        <w:tc>
          <w:tcPr>
            <w:tcW w:type="dxa" w:w="30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pStyle w:val="cell"/>
            </w:pPr>
            <w:r>
              <w:t xml:space="preserve">A structural loop: the allowance lives in Paytm</w:t>
            </w:r>
          </w:p>
        </w:tc>
        <w:tc>
          <w:tcPr>
            <w:tcW w:type="dxa" w:w="3026"/>
            <w:tcBorders>
              <w:top w:val="single" w:color="BFC7D5" w:sz="4"/>
              <w:left w:val="single" w:color="BFC7D5" w:sz="4"/>
              <w:bottom w:val="single" w:color="BFC7D5" w:sz="4"/>
              <w:right w:val="single" w:color="BFC7D5" w:sz="4"/>
            </w:tcBorders>
            <w:tcMar>
              <w:top w:type="dxa" w:w="60"/>
              <w:left w:type="dxa" w:w="100"/>
              <w:bottom w:type="dxa" w:w="60"/>
              <w:right w:type="dxa" w:w="100"/>
            </w:tcMar>
          </w:tcPr>
          <w:p>
            <w:pPr>
              <w:pStyle w:val="cell"/>
            </w:pPr>
            <w:r>
              <w:t xml:space="preserve">The brief explicitly rules out cashback-led growth</w:t>
            </w:r>
          </w:p>
        </w:tc>
      </w:tr>
      <w:tr>
        <w:trPr>
          <w:tblHeader w:val="false"/>
        </w:trPr>
        <w:tc>
          <w:tcPr>
            <w:tcW w:type="dxa" w:w="30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pStyle w:val="cell"/>
            </w:pPr>
            <w:r>
              <w:t xml:space="preserve">An idea any app could copy</w:t>
            </w:r>
          </w:p>
        </w:tc>
        <w:tc>
          <w:tcPr>
            <w:tcW w:type="dxa" w:w="30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pStyle w:val="cell"/>
            </w:pPr>
            <w:r>
              <w:t xml:space="preserve">Uses Paytm's parent-age user base and merchant network</w:t>
            </w:r>
          </w:p>
        </w:tc>
        <w:tc>
          <w:tcPr>
            <w:tcW w:type="dxa" w:w="3026"/>
            <w:tcBorders>
              <w:top w:val="single" w:color="BFC7D5" w:sz="4"/>
              <w:left w:val="single" w:color="BFC7D5" w:sz="4"/>
              <w:bottom w:val="single" w:color="BFC7D5" w:sz="4"/>
              <w:right w:val="single" w:color="BFC7D5" w:sz="4"/>
            </w:tcBorders>
            <w:tcMar>
              <w:top w:type="dxa" w:w="60"/>
              <w:left w:type="dxa" w:w="100"/>
              <w:bottom w:type="dxa" w:w="60"/>
              <w:right w:type="dxa" w:w="100"/>
            </w:tcMar>
          </w:tcPr>
          <w:p>
            <w:pPr>
              <w:pStyle w:val="cell"/>
            </w:pPr>
            <w:r>
              <w:t xml:space="preserve">Shows understanding of Paytm's real advantages</w:t>
            </w:r>
          </w:p>
        </w:tc>
      </w:tr>
      <w:tr>
        <w:trPr>
          <w:tblHeader w:val="false"/>
        </w:trPr>
        <w:tc>
          <w:tcPr>
            <w:tcW w:type="dxa" w:w="30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pStyle w:val="cell"/>
            </w:pPr>
            <w:r>
              <w:t xml:space="preserve">Copied NPCI headline numbers</w:t>
            </w:r>
          </w:p>
        </w:tc>
        <w:tc>
          <w:tcPr>
            <w:tcW w:type="dxa" w:w="30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pStyle w:val="cell"/>
            </w:pPr>
            <w:r>
              <w:t xml:space="preserve">Bottom-up sizing from our own data, formula shown</w:t>
            </w:r>
          </w:p>
        </w:tc>
        <w:tc>
          <w:tcPr>
            <w:tcW w:type="dxa" w:w="3026"/>
            <w:tcBorders>
              <w:top w:val="single" w:color="BFC7D5" w:sz="4"/>
              <w:left w:val="single" w:color="BFC7D5" w:sz="4"/>
              <w:bottom w:val="single" w:color="BFC7D5" w:sz="4"/>
              <w:right w:val="single" w:color="BFC7D5" w:sz="4"/>
            </w:tcBorders>
            <w:tcMar>
              <w:top w:type="dxa" w:w="60"/>
              <w:left w:type="dxa" w:w="100"/>
              <w:bottom w:type="dxa" w:w="60"/>
              <w:right w:type="dxa" w:w="100"/>
            </w:tcMar>
          </w:tcPr>
          <w:p>
            <w:pPr>
              <w:pStyle w:val="cell"/>
            </w:pPr>
            <w:r>
              <w:t xml:space="preserve">Numbers can be checked and are credible</w:t>
            </w:r>
          </w:p>
        </w:tc>
      </w:tr>
      <w:tr>
        <w:trPr>
          <w:tblHeader w:val="false"/>
        </w:trPr>
        <w:tc>
          <w:tcPr>
            <w:tcW w:type="dxa" w:w="30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pStyle w:val="cell"/>
            </w:pPr>
            <w:r>
              <w:t xml:space="preserve">No test plan</w:t>
            </w:r>
          </w:p>
        </w:tc>
        <w:tc>
          <w:tcPr>
            <w:tcW w:type="dxa" w:w="30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pStyle w:val="cell"/>
            </w:pPr>
            <w:r>
              <w:t xml:space="preserve">4-week pilot with metrics and a failure point</w:t>
            </w:r>
          </w:p>
        </w:tc>
        <w:tc>
          <w:tcPr>
            <w:tcW w:type="dxa" w:w="3026"/>
            <w:tcBorders>
              <w:top w:val="single" w:color="BFC7D5" w:sz="4"/>
              <w:left w:val="single" w:color="BFC7D5" w:sz="4"/>
              <w:bottom w:val="single" w:color="BFC7D5" w:sz="4"/>
              <w:right w:val="single" w:color="BFC7D5" w:sz="4"/>
            </w:tcBorders>
            <w:tcMar>
              <w:top w:type="dxa" w:w="60"/>
              <w:left w:type="dxa" w:w="100"/>
              <w:bottom w:type="dxa" w:w="60"/>
              <w:right w:type="dxa" w:w="100"/>
            </w:tcMar>
          </w:tcPr>
          <w:p>
            <w:pPr>
              <w:pStyle w:val="cell"/>
            </w:pPr>
            <w:r>
              <w:t xml:space="preserve">Reads like a PM wrote it</w:t>
            </w:r>
          </w:p>
        </w:tc>
      </w:tr>
      <w:tr>
        <w:trPr>
          <w:tblHeader w:val="false"/>
        </w:trPr>
        <w:tc>
          <w:tcPr>
            <w:tcW w:type="dxa" w:w="30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pStyle w:val="cell"/>
            </w:pPr>
            <w:r>
              <w:t xml:space="preserve">Polished AI-written verbatims</w:t>
            </w:r>
          </w:p>
        </w:tc>
        <w:tc>
          <w:tcPr>
            <w:tcW w:type="dxa" w:w="30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pStyle w:val="cell"/>
            </w:pPr>
            <w:r>
              <w:t xml:space="preserve">Messy, real, mixed-language quotes, anonymised</w:t>
            </w:r>
          </w:p>
        </w:tc>
        <w:tc>
          <w:tcPr>
            <w:tcW w:type="dxa" w:w="3026"/>
            <w:tcBorders>
              <w:top w:val="single" w:color="BFC7D5" w:sz="4"/>
              <w:left w:val="single" w:color="BFC7D5" w:sz="4"/>
              <w:bottom w:val="single" w:color="BFC7D5" w:sz="4"/>
              <w:right w:val="single" w:color="BFC7D5" w:sz="4"/>
            </w:tcBorders>
            <w:tcMar>
              <w:top w:type="dxa" w:w="60"/>
              <w:left w:type="dxa" w:w="100"/>
              <w:bottom w:type="dxa" w:w="60"/>
              <w:right w:type="dxa" w:w="100"/>
            </w:tcMar>
          </w:tcPr>
          <w:p>
            <w:pPr>
              <w:pStyle w:val="cell"/>
            </w:pPr>
            <w:r>
              <w:t xml:space="preserve">Credibility. Judges will spot fakes</w:t>
            </w:r>
          </w:p>
        </w:tc>
      </w:tr>
    </w:tbl>
    <w:p>
      <w:pPr>
        <w:pStyle w:val="Heading1"/>
      </w:pPr>
      <w:r>
        <w:t xml:space="preserve">11. The 2-page PDF: layout</w:t>
      </w:r>
    </w:p>
    <w:p>
      <w:pPr>
        <w:pStyle w:val="Heading2"/>
      </w:pPr>
      <w:r>
        <w:t xml:space="preserve">Page 1: Problem Understanding</w:t>
      </w:r>
    </w:p>
    <w:p>
      <w:pPr>
        <w:pStyle w:val="ListParagraph"/>
        <w:numPr>
          <w:ilvl w:val="0"/>
          <w:numId w:val="2"/>
        </w:numPr>
        <w:spacing w:after="60"/>
      </w:pPr>
      <w:r>
        <w:t xml:space="preserve">Headline insight (one sentence with a number from the data), e.g. 'Paytm processes X of 10 payments for students who use it, and almost none of those are daily small payments.'</w:t>
      </w:r>
    </w:p>
    <w:p>
      <w:pPr>
        <w:pStyle w:val="ListParagraph"/>
        <w:numPr>
          <w:ilvl w:val="0"/>
          <w:numId w:val="2"/>
        </w:numPr>
        <w:spacing w:after="60"/>
      </w:pPr>
      <w:r>
        <w:t xml:space="preserve">Target segment and occasions (2 lines).</w:t>
      </w:r>
    </w:p>
    <w:p>
      <w:pPr>
        <w:pStyle w:val="ListParagraph"/>
        <w:numPr>
          <w:ilvl w:val="0"/>
          <w:numId w:val="2"/>
        </w:numPr>
        <w:spacing w:after="60"/>
      </w:pPr>
      <w:r>
        <w:rPr>
          <w:b/>
          <w:bCs/>
        </w:rPr>
        <w:t xml:space="preserve">Chart 1:</w:t>
      </w:r>
      <w:r>
        <w:t xml:space="preserve"> Paytm share by occasion (from the occasion grid). </w:t>
      </w:r>
      <w:r>
        <w:rPr>
          <w:b/>
          <w:bCs/>
        </w:rPr>
        <w:t xml:space="preserve">Chart 2:</w:t>
      </w:r>
      <w:r>
        <w:t xml:space="preserve"> barrier codes by frequency.</w:t>
      </w:r>
    </w:p>
    <w:p>
      <w:pPr>
        <w:pStyle w:val="ListParagraph"/>
        <w:numPr>
          <w:ilvl w:val="0"/>
          <w:numId w:val="2"/>
        </w:numPr>
        <w:spacing w:after="60"/>
      </w:pPr>
      <w:r>
        <w:t xml:space="preserve">Why it matters to Paytm plus the sizing formula (4–5 lines).</w:t>
      </w:r>
    </w:p>
    <w:p>
      <w:pPr>
        <w:pStyle w:val="ListParagraph"/>
        <w:numPr>
          <w:ilvl w:val="0"/>
          <w:numId w:val="2"/>
        </w:numPr>
        <w:spacing w:after="60"/>
      </w:pPr>
      <w:r>
        <w:t xml:space="preserve">3 short verbatim quotes with anonymised profiles.</w:t>
      </w:r>
    </w:p>
    <w:p>
      <w:pPr>
        <w:pStyle w:val="Heading2"/>
      </w:pPr>
      <w:r>
        <w:t xml:space="preserve">Page 2: Proposed Solution</w:t>
      </w:r>
    </w:p>
    <w:p>
      <w:pPr>
        <w:pStyle w:val="ListParagraph"/>
        <w:numPr>
          <w:ilvl w:val="0"/>
          <w:numId w:val="2"/>
        </w:numPr>
        <w:spacing w:after="60"/>
      </w:pPr>
      <w:r>
        <w:t xml:space="preserve">Paytm Allowance in one line, plus a simple flow graphic: Parent sets limit → Student scans → Parent sees weekly summary.</w:t>
      </w:r>
    </w:p>
    <w:p>
      <w:pPr>
        <w:pStyle w:val="ListParagraph"/>
        <w:numPr>
          <w:ilvl w:val="0"/>
          <w:numId w:val="2"/>
        </w:numPr>
        <w:spacing w:after="60"/>
      </w:pPr>
      <w:r>
        <w:t xml:space="preserve">How each part answers a specific VOC finding (small table: finding → feature).</w:t>
      </w:r>
    </w:p>
    <w:p>
      <w:pPr>
        <w:pStyle w:val="ListParagraph"/>
        <w:numPr>
          <w:ilvl w:val="0"/>
          <w:numId w:val="2"/>
        </w:numPr>
        <w:spacing w:after="60"/>
      </w:pPr>
      <w:r>
        <w:t xml:space="preserve">Value proposition for student, parent and Paytm (3 rows).</w:t>
      </w:r>
    </w:p>
    <w:p>
      <w:pPr>
        <w:pStyle w:val="ListParagraph"/>
        <w:numPr>
          <w:ilvl w:val="0"/>
          <w:numId w:val="2"/>
        </w:numPr>
        <w:spacing w:after="60"/>
      </w:pPr>
      <w:r>
        <w:t xml:space="preserve">Why Paytm wins (its advantages) and why it isn't cashback.</w:t>
      </w:r>
    </w:p>
    <w:p>
      <w:pPr>
        <w:pStyle w:val="ListParagraph"/>
        <w:numPr>
          <w:ilvl w:val="0"/>
          <w:numId w:val="2"/>
        </w:numPr>
        <w:spacing w:after="60"/>
      </w:pPr>
      <w:r>
        <w:t xml:space="preserve">Pilot plan and metrics: MTU, frequency, GMV share, failure point.</w:t>
      </w:r>
    </w:p>
    <w:p>
      <w:pPr>
        <w:spacing w:after="100"/>
      </w:pPr>
      <w:r>
        <w:t xml:space="preserve">Files: </w:t>
      </w:r>
      <w:r>
        <w:rPr>
          <w:b/>
          <w:bCs/>
        </w:rPr>
        <w:t xml:space="preserve">TeamName_ExecSummary.pdf</w:t>
      </w:r>
      <w:r>
        <w:t xml:space="preserve"> and </w:t>
      </w:r>
      <w:r>
        <w:rPr>
          <w:b/>
          <w:bCs/>
        </w:rPr>
        <w:t xml:space="preserve">TeamName_VOC.xlsx</w:t>
      </w:r>
      <w:r>
        <w:t xml:space="preserve">. Submit through the CDC form link in the 9 Sep email.</w:t>
      </w:r>
    </w:p>
    <w:p>
      <w:pPr>
        <w:pStyle w:val="Heading1"/>
      </w:pPr>
      <w:r>
        <w:t xml:space="preserve">12. Timeline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BFC7D5" w:sz="4"/>
              <w:left w:val="single" w:color="BFC7D5" w:sz="4"/>
              <w:bottom w:val="single" w:color="BFC7D5" w:sz="4"/>
              <w:right w:val="single" w:color="BFC7D5" w:sz="4"/>
            </w:tcBorders>
            <w:shd w:fill="002E6E" w:color="auto" w:val="clear"/>
            <w:tcMar>
              <w:top w:type="dxa" w:w="60"/>
              <w:left w:type="dxa" w:w="100"/>
              <w:bottom w:type="dxa" w:w="60"/>
              <w:right w:type="dxa" w:w="100"/>
            </w:tcMar>
          </w:tcPr>
          <w:p>
            <w:pPr>
              <w:pStyle w:val="cell"/>
            </w:pPr>
            <w:r>
              <w:rPr>
                <w:b/>
                <w:bCs/>
                <w:color w:val="FFFFFF"/>
                <w:sz w:val="19"/>
                <w:szCs w:val="19"/>
              </w:rPr>
              <w:t xml:space="preserve">When</w:t>
            </w:r>
          </w:p>
        </w:tc>
        <w:tc>
          <w:tcPr>
            <w:tcW w:type="dxa" w:w="6726"/>
            <w:tcBorders>
              <w:top w:val="single" w:color="BFC7D5" w:sz="4"/>
              <w:left w:val="single" w:color="BFC7D5" w:sz="4"/>
              <w:bottom w:val="single" w:color="BFC7D5" w:sz="4"/>
              <w:right w:val="single" w:color="BFC7D5" w:sz="4"/>
            </w:tcBorders>
            <w:shd w:fill="002E6E" w:color="auto" w:val="clear"/>
            <w:tcMar>
              <w:top w:type="dxa" w:w="60"/>
              <w:left w:type="dxa" w:w="100"/>
              <w:bottom w:type="dxa" w:w="60"/>
              <w:right w:type="dxa" w:w="100"/>
            </w:tcMar>
          </w:tcPr>
          <w:p>
            <w:pPr>
              <w:pStyle w:val="cell"/>
            </w:pPr>
            <w:r>
              <w:rPr>
                <w:b/>
                <w:bCs/>
                <w:color w:val="FFFFFF"/>
                <w:sz w:val="19"/>
                <w:szCs w:val="19"/>
              </w:rPr>
              <w:t xml:space="preserve">Do this</w:t>
            </w:r>
          </w:p>
        </w:tc>
      </w:tr>
      <w:tr>
        <w:trPr>
          <w:tblHeader w:val="false"/>
        </w:trPr>
        <w:tc>
          <w:tcPr>
            <w:tcW w:type="dxa" w:w="23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pStyle w:val="cell"/>
            </w:pPr>
            <w:r>
              <w:t xml:space="preserve">19 Sep · now–11:00</w:t>
            </w:r>
          </w:p>
        </w:tc>
        <w:tc>
          <w:tcPr>
            <w:tcW w:type="dxa" w:w="6726"/>
            <w:tcBorders>
              <w:top w:val="single" w:color="BFC7D5" w:sz="4"/>
              <w:left w:val="single" w:color="BFC7D5" w:sz="4"/>
              <w:bottom w:val="single" w:color="BFC7D5" w:sz="4"/>
              <w:right w:val="single" w:color="BFC7D5" w:sz="4"/>
            </w:tcBorders>
            <w:tcMar>
              <w:top w:type="dxa" w:w="60"/>
              <w:left w:type="dxa" w:w="100"/>
              <w:bottom w:type="dxa" w:w="60"/>
              <w:right w:type="dxa" w:w="100"/>
            </w:tcMar>
          </w:tcPr>
          <w:p>
            <w:pPr>
              <w:pStyle w:val="cell"/>
            </w:pPr>
            <w:r>
              <w:t xml:space="preserve">Finalise the Google Form from Section 6. Test the Paytm UPI Circle flow in the app and take screenshots. Confirm team name.</w:t>
            </w:r>
          </w:p>
        </w:tc>
      </w:tr>
      <w:tr>
        <w:trPr>
          <w:tblHeader w:val="false"/>
        </w:trPr>
        <w:tc>
          <w:tcPr>
            <w:tcW w:type="dxa" w:w="23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pStyle w:val="cell"/>
            </w:pPr>
            <w:r>
              <w:t xml:space="preserve">19 Sep · 11:00–12:00</w:t>
            </w:r>
          </w:p>
        </w:tc>
        <w:tc>
          <w:tcPr>
            <w:tcW w:type="dxa" w:w="6726"/>
            <w:tcBorders>
              <w:top w:val="single" w:color="BFC7D5" w:sz="4"/>
              <w:left w:val="single" w:color="BFC7D5" w:sz="4"/>
              <w:bottom w:val="single" w:color="BFC7D5" w:sz="4"/>
              <w:right w:val="single" w:color="BFC7D5" w:sz="4"/>
            </w:tcBorders>
            <w:tcMar>
              <w:top w:type="dxa" w:w="60"/>
              <w:left w:type="dxa" w:w="100"/>
              <w:bottom w:type="dxa" w:w="60"/>
              <w:right w:type="dxa" w:w="100"/>
            </w:tcMar>
          </w:tcPr>
          <w:p>
            <w:pPr>
              <w:pStyle w:val="cell"/>
            </w:pPr>
            <w:r>
              <w:t xml:space="preserve">Send the form to 8–10 WhatsApp groups with a personal note. Line up 12 in-depth slots for the afternoon and evening.</w:t>
            </w:r>
          </w:p>
        </w:tc>
      </w:tr>
      <w:tr>
        <w:trPr>
          <w:tblHeader w:val="false"/>
        </w:trPr>
        <w:tc>
          <w:tcPr>
            <w:tcW w:type="dxa" w:w="23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pStyle w:val="cell"/>
            </w:pPr>
            <w:r>
              <w:t xml:space="preserve">19 Sep · 12:00–20:00</w:t>
            </w:r>
          </w:p>
        </w:tc>
        <w:tc>
          <w:tcPr>
            <w:tcW w:type="dxa" w:w="6726"/>
            <w:tcBorders>
              <w:top w:val="single" w:color="BFC7D5" w:sz="4"/>
              <w:left w:val="single" w:color="BFC7D5" w:sz="4"/>
              <w:bottom w:val="single" w:color="BFC7D5" w:sz="4"/>
              <w:right w:val="single" w:color="BFC7D5" w:sz="4"/>
            </w:tcBorders>
            <w:tcMar>
              <w:top w:type="dxa" w:w="60"/>
              <w:left w:type="dxa" w:w="100"/>
              <w:bottom w:type="dxa" w:w="60"/>
              <w:right w:type="dxa" w:w="100"/>
            </w:tcMar>
          </w:tcPr>
          <w:p>
            <w:pPr>
              <w:pStyle w:val="cell"/>
            </w:pPr>
            <w:r>
              <w:t xml:space="preserve">Run the in-depth interviews (calls or in person at the hostel or canteen). Send reminders in groups at 4 PM and 7 PM.</w:t>
            </w:r>
          </w:p>
        </w:tc>
      </w:tr>
      <w:tr>
        <w:trPr>
          <w:tblHeader w:val="false"/>
        </w:trPr>
        <w:tc>
          <w:tcPr>
            <w:tcW w:type="dxa" w:w="23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pStyle w:val="cell"/>
            </w:pPr>
            <w:r>
              <w:t xml:space="preserve">19 Sep · 20:00–00:00</w:t>
            </w:r>
          </w:p>
        </w:tc>
        <w:tc>
          <w:tcPr>
            <w:tcW w:type="dxa" w:w="6726"/>
            <w:tcBorders>
              <w:top w:val="single" w:color="BFC7D5" w:sz="4"/>
              <w:left w:val="single" w:color="BFC7D5" w:sz="4"/>
              <w:bottom w:val="single" w:color="BFC7D5" w:sz="4"/>
              <w:right w:val="single" w:color="BFC7D5" w:sz="4"/>
            </w:tcBorders>
            <w:tcMar>
              <w:top w:type="dxa" w:w="60"/>
              <w:left w:type="dxa" w:w="100"/>
              <w:bottom w:type="dxa" w:w="60"/>
              <w:right w:type="dxa" w:w="100"/>
            </w:tcMar>
          </w:tcPr>
          <w:p>
            <w:pPr>
              <w:pStyle w:val="cell"/>
            </w:pPr>
            <w:r>
              <w:t xml:space="preserve">Close the form. Screen out non-qualifiers. Move rows into the VOC template. Code the barriers. Build the Summary sheet.</w:t>
            </w:r>
          </w:p>
        </w:tc>
      </w:tr>
      <w:tr>
        <w:trPr>
          <w:tblHeader w:val="false"/>
        </w:trPr>
        <w:tc>
          <w:tcPr>
            <w:tcW w:type="dxa" w:w="23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pStyle w:val="cell"/>
            </w:pPr>
            <w:r>
              <w:t xml:space="preserve">20 Sep · 08:00–10:00</w:t>
            </w:r>
          </w:p>
        </w:tc>
        <w:tc>
          <w:tcPr>
            <w:tcW w:type="dxa" w:w="6726"/>
            <w:tcBorders>
              <w:top w:val="single" w:color="BFC7D5" w:sz="4"/>
              <w:left w:val="single" w:color="BFC7D5" w:sz="4"/>
              <w:bottom w:val="single" w:color="BFC7D5" w:sz="4"/>
              <w:right w:val="single" w:color="BFC7D5" w:sz="4"/>
            </w:tcBorders>
            <w:tcMar>
              <w:top w:type="dxa" w:w="60"/>
              <w:left w:type="dxa" w:w="100"/>
              <w:bottom w:type="dxa" w:w="60"/>
              <w:right w:type="dxa" w:w="100"/>
            </w:tcMar>
          </w:tcPr>
          <w:p>
            <w:pPr>
              <w:pStyle w:val="cell"/>
            </w:pPr>
            <w:r>
              <w:t xml:space="preserve">Record the H1–H5 verdicts and lock the main idea or the backup. Fill in the sizing numbers.</w:t>
            </w:r>
          </w:p>
        </w:tc>
      </w:tr>
      <w:tr>
        <w:trPr>
          <w:tblHeader w:val="false"/>
        </w:trPr>
        <w:tc>
          <w:tcPr>
            <w:tcW w:type="dxa" w:w="23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pStyle w:val="cell"/>
            </w:pPr>
            <w:r>
              <w:t xml:space="preserve">20 Sep · 10:00–15:00</w:t>
            </w:r>
          </w:p>
        </w:tc>
        <w:tc>
          <w:tcPr>
            <w:tcW w:type="dxa" w:w="6726"/>
            <w:tcBorders>
              <w:top w:val="single" w:color="BFC7D5" w:sz="4"/>
              <w:left w:val="single" w:color="BFC7D5" w:sz="4"/>
              <w:bottom w:val="single" w:color="BFC7D5" w:sz="4"/>
              <w:right w:val="single" w:color="BFC7D5" w:sz="4"/>
            </w:tcBorders>
            <w:tcMar>
              <w:top w:type="dxa" w:w="60"/>
              <w:left w:type="dxa" w:w="100"/>
              <w:bottom w:type="dxa" w:w="60"/>
              <w:right w:type="dxa" w:w="100"/>
            </w:tcMar>
          </w:tcPr>
          <w:p>
            <w:pPr>
              <w:pStyle w:val="cell"/>
            </w:pPr>
            <w:r>
              <w:t xml:space="preserve">Write the 2-page PDF. Make 2 charts. Check it's exactly 2 pages.</w:t>
            </w:r>
          </w:p>
        </w:tc>
      </w:tr>
      <w:tr>
        <w:trPr>
          <w:tblHeader w:val="false"/>
        </w:trPr>
        <w:tc>
          <w:tcPr>
            <w:tcW w:type="dxa" w:w="23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pStyle w:val="cell"/>
            </w:pPr>
            <w:r>
              <w:t xml:space="preserve">20 Sep · 15:00–17:00</w:t>
            </w:r>
          </w:p>
        </w:tc>
        <w:tc>
          <w:tcPr>
            <w:tcW w:type="dxa" w:w="6726"/>
            <w:tcBorders>
              <w:top w:val="single" w:color="BFC7D5" w:sz="4"/>
              <w:left w:val="single" w:color="BFC7D5" w:sz="4"/>
              <w:bottom w:val="single" w:color="BFC7D5" w:sz="4"/>
              <w:right w:val="single" w:color="BFC7D5" w:sz="4"/>
            </w:tcBorders>
            <w:tcMar>
              <w:top w:type="dxa" w:w="60"/>
              <w:left w:type="dxa" w:w="100"/>
              <w:bottom w:type="dxa" w:w="60"/>
              <w:right w:type="dxa" w:w="100"/>
            </w:tcMar>
          </w:tcPr>
          <w:p>
            <w:pPr>
              <w:pStyle w:val="cell"/>
            </w:pPr>
            <w:r>
              <w:t xml:space="preserve">Final review: file names, anonymisation, every claim traced to data. </w:t>
            </w:r>
            <w:r>
              <w:rPr>
                <w:b/>
                <w:bCs/>
              </w:rPr>
              <w:t xml:space="preserve">Submit early.</w:t>
            </w:r>
            <w:r>
              <w:t xml:space="preserve"> Don't wait for the last hour.</w:t>
            </w:r>
          </w:p>
        </w:tc>
      </w:tr>
    </w:tbl>
    <w:p>
      <w:pPr>
        <w:pStyle w:val="Heading1"/>
      </w:pPr>
      <w:r>
        <w:t xml:space="preserve">13. Risks and ground rules</w:t>
      </w:r>
    </w:p>
    <w:p>
      <w:pPr>
        <w:pStyle w:val="ListParagraph"/>
        <w:numPr>
          <w:ilvl w:val="0"/>
          <w:numId w:val="2"/>
        </w:numPr>
        <w:spacing w:after="60"/>
      </w:pPr>
      <w:r>
        <w:rPr>
          <w:b/>
          <w:bCs/>
        </w:rPr>
        <w:t xml:space="preserve">Real data only.</w:t>
      </w:r>
      <w:r>
        <w:t xml:space="preserve"> Every VOC must come from a real person. Fabricated rows risk disqualification and are easy for judges to spot.</w:t>
      </w:r>
    </w:p>
    <w:p>
      <w:pPr>
        <w:pStyle w:val="ListParagraph"/>
        <w:numPr>
          <w:ilvl w:val="0"/>
          <w:numId w:val="2"/>
        </w:numPr>
        <w:spacing w:after="60"/>
      </w:pPr>
      <w:r>
        <w:rPr>
          <w:b/>
          <w:bCs/>
        </w:rPr>
        <w:t xml:space="preserve">Consent and anonymisation:</w:t>
      </w:r>
      <w:r>
        <w:t xml:space="preserve"> tell respondents what it's for. No names or phone numbers in the submitted sheet.</w:t>
      </w:r>
    </w:p>
    <w:p>
      <w:pPr>
        <w:pStyle w:val="ListParagraph"/>
        <w:numPr>
          <w:ilvl w:val="0"/>
          <w:numId w:val="2"/>
        </w:numPr>
        <w:spacing w:after="60"/>
      </w:pPr>
      <w:r>
        <w:rPr>
          <w:b/>
          <w:bCs/>
        </w:rPr>
        <w:t xml:space="preserve">Not enough qualified responses:</w:t>
      </w:r>
      <w:r>
        <w:t xml:space="preserve"> if the screening pass rate is low, widen to friends at other colleges and ask each respondent to forward it to 2 people who qualify.</w:t>
      </w:r>
    </w:p>
    <w:p>
      <w:pPr>
        <w:pStyle w:val="ListParagraph"/>
        <w:numPr>
          <w:ilvl w:val="0"/>
          <w:numId w:val="2"/>
        </w:numPr>
        <w:spacing w:after="60"/>
      </w:pPr>
      <w:r>
        <w:rPr>
          <w:b/>
          <w:bCs/>
        </w:rPr>
        <w:t xml:space="preserve">Feature assumptions:</w:t>
      </w:r>
      <w:r>
        <w:t xml:space="preserve"> confirm UPI Circle behaviour in the Paytm app before putting any claim in the PDF.</w:t>
      </w:r>
    </w:p>
    <w:p>
      <w:pPr>
        <w:pStyle w:val="Heading1"/>
      </w:pPr>
      <w:r>
        <w:t xml:space="preserve">Sources</w:t>
      </w:r>
    </w:p>
    <w:p>
      <w:pPr>
        <w:pStyle w:val="ListParagraph"/>
        <w:numPr>
          <w:ilvl w:val="0"/>
          <w:numId w:val="2"/>
        </w:numPr>
      </w:pPr>
      <w:hyperlink w:history="1" r:id="rIdrrsubi_z3zqmlce0s0fuf">
        <w:r>
          <w:rPr>
            <w:rStyle w:val="Hyperlink"/>
          </w:rPr>
          <w:t xml:space="preserve">Paytm Blog — UPI Circle transaction limits</w:t>
        </w:r>
      </w:hyperlink>
    </w:p>
    <w:p>
      <w:pPr>
        <w:pStyle w:val="ListParagraph"/>
        <w:numPr>
          <w:ilvl w:val="0"/>
          <w:numId w:val="2"/>
        </w:numPr>
      </w:pPr>
      <w:hyperlink w:history="1" r:id="rIdrfqi1ckaylb13m7_iiwhp">
        <w:r>
          <w:rPr>
            <w:rStyle w:val="Hyperlink"/>
          </w:rPr>
          <w:t xml:space="preserve">Paytm FAQ — How to add a secondary user in UPI</w:t>
        </w:r>
      </w:hyperlink>
    </w:p>
    <w:p>
      <w:pPr>
        <w:pStyle w:val="ListParagraph"/>
        <w:numPr>
          <w:ilvl w:val="0"/>
          <w:numId w:val="2"/>
        </w:numPr>
      </w:pPr>
      <w:hyperlink w:history="1" r:id="rIdkxkdhxpxgsalv0ddtc0xl">
        <w:r>
          <w:rPr>
            <w:rStyle w:val="Hyperlink"/>
          </w:rPr>
          <w:t xml:space="preserve">AISHE 2023-24 — enrolment ~4.5 crore (summary)</w:t>
        </w:r>
      </w:hyperlink>
    </w:p>
    <w:p>
      <w:pPr>
        <w:pStyle w:val="ListParagraph"/>
        <w:numPr>
          <w:ilvl w:val="0"/>
          <w:numId w:val="2"/>
        </w:numPr>
      </w:pPr>
      <w:r>
        <w:t xml:space="preserve">Paytm UPI Growth Challenge brief and VOC template (provided by VIT CDC)</w:t>
      </w:r>
    </w:p>
    <w:sectPr>
      <w:footerReference w:type="default" r:id="rId7"/>
      <w:pgSz w:w="11906" w:h="16838"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88888"/>
        <w:sz w:val="16"/>
        <w:szCs w:val="16"/>
      </w:rPr>
      <w:t xml:space="preserve">Paytm UPI Growth Challenge · Execution Plan ·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lvl w:ilvl="1" w15:tentative="1">
      <w:start w:val="1"/>
      <w:numFmt w:val="bullet"/>
      <w:lvlText w:val="–"/>
      <w:lvlJc w:val="left"/>
      <w:pPr>
        <w:ind w:left="1000" w:hanging="300"/>
      </w:pPr>
    </w:lvl>
  </w:abstractNum>
  <w:abstractNum w:abstractNumId="3" w15:restartNumberingAfterBreak="0">
    <w:multiLevelType w:val="hybridMultilevel"/>
    <w:lvl w:ilvl="0" w15:tentative="1">
      <w:start w:val="1"/>
      <w:numFmt w:val="decimal"/>
      <w:lvlText w:val="%1."/>
      <w:lvlJc w:val="left"/>
      <w:pPr>
        <w:ind w:left="540" w:hanging="300"/>
      </w:pPr>
    </w:lvl>
    <w:lvl w:ilvl="1" w15:tentative="1">
      <w:start w:val="1"/>
      <w:numFmt w:val="bullet"/>
      <w:lvlText w:val="–"/>
      <w:lvlJc w:val="left"/>
      <w:pPr>
        <w:ind w:left="1000" w:hanging="300"/>
      </w:pPr>
    </w:lvl>
  </w:abstractNum>
  <w:abstractNum w:abstractNumId="4" w15:restartNumberingAfterBreak="0">
    <w:multiLevelType w:val="hybridMultilevel"/>
    <w:lvl w:ilvl="0" w15:tentative="1">
      <w:start w:val="1"/>
      <w:numFmt w:val="decimal"/>
      <w:lvlText w:val="%1."/>
      <w:lvlJc w:val="left"/>
      <w:pPr>
        <w:ind w:left="540" w:hanging="300"/>
      </w:pPr>
    </w:lvl>
    <w:lvl w:ilvl="1" w15:tentative="1">
      <w:start w:val="1"/>
      <w:numFmt w:val="bullet"/>
      <w:lvlText w:val="–"/>
      <w:lvlJc w:val="left"/>
      <w:pPr>
        <w:ind w:left="1000" w:hanging="300"/>
      </w:pPr>
    </w:lvl>
  </w:abstractNum>
  <w:abstractNum w:abstractNumId="5" w15:restartNumberingAfterBreak="0">
    <w:multiLevelType w:val="hybridMultilevel"/>
    <w:lvl w:ilvl="0" w15:tentative="1">
      <w:start w:val="1"/>
      <w:numFmt w:val="decimal"/>
      <w:lvlText w:val="%1."/>
      <w:lvlJc w:val="left"/>
      <w:pPr>
        <w:ind w:left="540" w:hanging="300"/>
      </w:pPr>
    </w:lvl>
    <w:lvl w:ilvl="1" w15:tentative="1">
      <w:start w:val="1"/>
      <w:numFmt w:val="bullet"/>
      <w:lvlText w:val="–"/>
      <w:lvlJc w:val="left"/>
      <w:pPr>
        <w:ind w:left="10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b/>
      <w:bCs/>
      <w:color w:val="002E6E"/>
      <w:sz w:val="28"/>
      <w:szCs w:val="28"/>
    </w:rPr>
  </w:style>
  <w:style w:type="paragraph" w:styleId="Heading2">
    <w:name w:val="Heading 2"/>
    <w:basedOn w:val="Normal"/>
    <w:next w:val="Normal"/>
    <w:qFormat/>
    <w:pPr>
      <w:spacing w:after="80" w:before="200"/>
      <w:outlineLvl w:val="1"/>
    </w:pPr>
    <w:rPr>
      <w:b/>
      <w:bCs/>
      <w:color w:val="0079A8"/>
      <w:sz w:val="23"/>
      <w:szCs w:val="23"/>
    </w:rPr>
  </w:style>
  <w:style w:type="paragraph" w:styleId="cell">
    <w:name w:val="cell"/>
    <w:basedOn w:val="Normal"/>
    <w:pPr>
      <w:spacing w:after="0"/>
    </w:pPr>
    <w:rPr>
      <w:sz w:val="19"/>
      <w:szCs w:val="19"/>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rrsubi_z3zqmlce0s0fuf" Type="http://schemas.openxmlformats.org/officeDocument/2006/relationships/hyperlink" Target="https://paytm.com/blog/payments/upi/what-is-upi-circle-transaction-limits/" TargetMode="External"/><Relationship Id="rIdrfqi1ckaylb13m7_iiwhp" Type="http://schemas.openxmlformats.org/officeDocument/2006/relationships/hyperlink" Target="https://paytm.com/faqs/upi/how-to-add-a-secondary-user-in-upi" TargetMode="External"/><Relationship Id="rIdkxkdhxpxgsalv0ddtc0xl" Type="http://schemas.openxmlformats.org/officeDocument/2006/relationships/hyperlink" Target="https://vajiramandravi.com/current-affairs/aishe-report-2023-24/"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2026-09-19T13:24:35.176Z</dcterms:created>
  <dcterms:modified xsi:type="dcterms:W3CDTF">2026-09-19T13:24:35.176Z</dcterms:modified>
</cp:coreProperties>
</file>

<file path=docProps/custom.xml><?xml version="1.0" encoding="utf-8"?>
<Properties xmlns="http://schemas.openxmlformats.org/officeDocument/2006/custom-properties" xmlns:vt="http://schemas.openxmlformats.org/officeDocument/2006/docPropsVTypes"/>
</file>