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</w:r>
      <w:r>
        <w:br w:type="textWrapping"/>
      </w:r>
      <w:r>
        <w:br w:type="textWrapping"/>
      </w:r>
      <w:r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</w:r>
      <w:r>
        <w:br w:type="textWrapping"/>
      </w:r>
      <w:r>
        <w:br w:type="textWrapping"/>
      </w:r>
      <w:r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</w:r>
      <w:r>
        <w:br w:type="textWrapping"/>
      </w:r>
      <w:r>
        <w:br w:type="textWrapping"/>
      </w:r>
      <w:r>
        <w:t>• Boyce-Codd Normal Form (BCNF): For every functional dependency X -&gt; Y, X is a superkey across all relations.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10.2: Presentation-II Query: Revenue &amp; Item Performance by Category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40085C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m.category AS dish_category,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COUNT(oi.id) AS total_orders_placed,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SUM(oi.quantity) AS total_portions_sold,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SUM(oi.quantity * oi.unit_price)) AS gross_revenue,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AVG(oi.unit_price)) AS avg_portion_price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menu_item m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INNER JOIN order_item oi ON m.id = oi.item_id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GROUP BY m.category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SUM(oi.quantity * oi.unit_price) DESC;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10009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dish_category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C2010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total_orders_placed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17B12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total_portions_sold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FFCF7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gross_revenue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3A1E4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avg_portion_price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E04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Course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FD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AE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2B8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₹18,900.00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A82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₹450.00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5E7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Indian Specialties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AD1F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CD81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0FA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₹16,240.00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26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₹280.00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FB8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Appetizers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987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45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02F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C1B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₹14,880.00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731E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654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Beverages &amp; Mocktails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BE27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6D9C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8334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₹11,440.00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8457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₹130.00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904D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Gourmet Desserts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ED6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16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4D7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₹7,200.00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89B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</w:tbl>
    <w:p w14:paraId="607AE500">
      <w:pPr>
        <w:spacing w:after="120"/>
      </w:pPr>
    </w:p>
    <w:p w14:paraId="209B8F1E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