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86000" cy="14822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8221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</w:p>
    <w:p w14:paraId="0E817E76"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  <w:br/>
        <w:t>Example of a Normalized 3NF Relation: ORDER_ITEM</w:t>
        <w:br/>
        <w:t>• Schema: ORDER_ITEM (id [PK], order_id [FK-&gt;CUSTOMER_ORDER.id], item_id [FK-&gt;MENU_ITEM.id], quantity, unit_price, special_requests, created_at, updated_at)</w:t>
        <w:br/>
        <w:t>• Candidate Key: {id}</w:t>
        <w:br/>
        <w:t>• Functional Dependencies:</w:t>
        <w:br/>
        <w:t xml:space="preserve">  - FD1: id -&gt; {order_id, item_id, quantity, unit_price, special_requests, created_at, updated_at}</w:t>
        <w:br/>
        <w:t>• 1NF Compliance: All attributes contain strictly atomic, single-valued entries without nested multi-value collections.</w:t>
        <w:br/>
        <w:t>• 2NF Compliance: The relation utilizes a single surrogate Primary Key (id). Because there is no composite candidate key, no partial functional dependencies exist.</w:t>
        <w:br/>
        <w:t>• 3NF Compliance (No Transitive Dependencies):</w:t>
        <w:br/>
        <w:t xml:space="preserve">  - In an unnormalized design, storing {item_name, category_name, catalog_price} in ORDER_ITEM introduces the transitive dependency: id -&gt; item_id -&gt; {item_name, category_name}.</w:t>
        <w:br/>
        <w:t xml:space="preserve">  - Under 3NF, descriptive item attributes are normalized into the MENU_ITEM relation. ORDER_ITEM only retains the foreign key (item_id) and the immutable point-of-sale transaction price (unit_price).</w:t>
        <w:br/>
        <w:t xml:space="preserve">  - Calculated values (line_total = quantity * unit_price) are omitted from physical storage and calculated dynamically in SQL views.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  <w:r/>
      <w:r>
        <w:drawing>
          <wp:inline xmlns:a="http://schemas.openxmlformats.org/drawingml/2006/main" xmlns:pic="http://schemas.openxmlformats.org/drawingml/2006/picture">
            <wp:extent cx="5943600" cy="9971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l_execution_outpu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71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10.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10.2: Presentation-II Query: Revenue &amp; Item Performance by Category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D40085C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m.category AS dish_category,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COUNT(oi.id) AS total_orders_placed,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SUM(oi.quantity) AS total_portions_sold,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SUM(oi.quantity * oi.unit_price)) AS gross_revenue,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PRINTF('₹%.2f', AVG(oi.unit_price)) AS avg_portion_price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menu_item m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INNER JOIN order_item oi ON m.id = oi.item_id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GROUP BY m.category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SUM(oi.quantity * oi.unit_price) DESC;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10009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dish_category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C2010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total_orders_placed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17B12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total_portions_sold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FFCF7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gross_revenue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3A1E43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avg_portion_price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E04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Course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FD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28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DAE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2B8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₹18,900.00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A82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₹450.00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5E7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Indian Specialties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AD1F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CD81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0FA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₹16,240.00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826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₹280.00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BFB8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Appetizers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7987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45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02F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C1B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₹14,880.00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8731E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9654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Beverages &amp; Mocktails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BE27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F6D9C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8334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₹11,440.00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38457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₹130.00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904D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Gourmet Desserts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ED6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F16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30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4D7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₹7,200.00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589B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₹240.00</w:t>
            </w:r>
          </w:p>
        </w:tc>
      </w:tr>
    </w:tbl>
    <w:p w14:paraId="607AE500">
      <w:pPr>
        <w:spacing w:after="120"/>
      </w:pPr>
      <w:r/>
      <w:r>
        <w:drawing>
          <wp:inline xmlns:a="http://schemas.openxmlformats.org/drawingml/2006/main" xmlns:pic="http://schemas.openxmlformats.org/drawingml/2006/picture">
            <wp:extent cx="5943600" cy="9751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l_output_1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12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drawing>
          <wp:inline xmlns:a="http://schemas.openxmlformats.org/drawingml/2006/main" xmlns:pic="http://schemas.openxmlformats.org/drawingml/2006/picture">
            <wp:extent cx="5943600" cy="21154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l_output_2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54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drawing>
          <wp:inline xmlns:a="http://schemas.openxmlformats.org/drawingml/2006/main" xmlns:pic="http://schemas.openxmlformats.org/drawingml/2006/picture">
            <wp:extent cx="5943600" cy="6616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ml_output_3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169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9B8F1E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16.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