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67ABE" w14:textId="77777777" w:rsidR="00493EBE" w:rsidRPr="00493EBE" w:rsidRDefault="00493EBE" w:rsidP="00493EBE">
      <w:pPr>
        <w:spacing w:after="0"/>
        <w:jc w:val="center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b/>
          <w:bCs/>
          <w:sz w:val="18"/>
          <w:szCs w:val="18"/>
        </w:rPr>
        <w:t>Case Study: Bank Telemarketing Campaign</w:t>
      </w:r>
    </w:p>
    <w:p w14:paraId="0910F9B3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</w:p>
    <w:p w14:paraId="46A85977" w14:textId="1D8B6E3E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The bank aims to enhance its revenue by conducting a cost-efficient telemarketing campaign for term deposits among existing customers. Term deposits, fixed investments with predetermined interest rates, serve to foster long-term customer relationships. The objective is to conduct an end-to-end Exploratory Data Analysis (EDA)</w:t>
      </w:r>
      <w:r w:rsidRPr="00493EBE">
        <w:rPr>
          <w:rFonts w:asciiTheme="majorHAnsi" w:hAnsiTheme="majorHAnsi" w:cstheme="majorHAnsi"/>
          <w:sz w:val="18"/>
          <w:szCs w:val="18"/>
        </w:rPr>
        <w:t xml:space="preserve"> </w:t>
      </w:r>
      <w:r w:rsidRPr="00493EBE">
        <w:rPr>
          <w:rFonts w:asciiTheme="majorHAnsi" w:hAnsiTheme="majorHAnsi" w:cstheme="majorHAnsi"/>
          <w:sz w:val="18"/>
          <w:szCs w:val="18"/>
        </w:rPr>
        <w:t>on the campaign dataset, identifying patterns and providing insights to improve the positive response rate. The analysis will involve examining customer demographics,</w:t>
      </w:r>
    </w:p>
    <w:p w14:paraId="437D0E1C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temporal trends, and other factors influencing the success of the campaign, ultimately offering recommendations for targeted improvements in the bank's marketing strategy.</w:t>
      </w:r>
    </w:p>
    <w:p w14:paraId="2F9326E2" w14:textId="71450DCF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61052891" w14:textId="2CCDE132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b/>
          <w:bCs/>
          <w:sz w:val="18"/>
          <w:szCs w:val="18"/>
        </w:rPr>
        <w:t>Software/Tools:</w:t>
      </w:r>
    </w:p>
    <w:p w14:paraId="39789AD7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 xml:space="preserve">● </w:t>
      </w:r>
      <w:proofErr w:type="spellStart"/>
      <w:r w:rsidRPr="00493EBE">
        <w:rPr>
          <w:rFonts w:asciiTheme="majorHAnsi" w:hAnsiTheme="majorHAnsi" w:cstheme="majorHAnsi"/>
          <w:sz w:val="18"/>
          <w:szCs w:val="18"/>
        </w:rPr>
        <w:t>Jupyter</w:t>
      </w:r>
      <w:proofErr w:type="spellEnd"/>
      <w:r w:rsidRPr="00493EBE">
        <w:rPr>
          <w:rFonts w:asciiTheme="majorHAnsi" w:hAnsiTheme="majorHAnsi" w:cstheme="majorHAnsi"/>
          <w:sz w:val="18"/>
          <w:szCs w:val="18"/>
        </w:rPr>
        <w:t xml:space="preserve"> </w:t>
      </w:r>
      <w:proofErr w:type="gramStart"/>
      <w:r w:rsidRPr="00493EBE">
        <w:rPr>
          <w:rFonts w:asciiTheme="majorHAnsi" w:hAnsiTheme="majorHAnsi" w:cstheme="majorHAnsi"/>
          <w:sz w:val="18"/>
          <w:szCs w:val="18"/>
        </w:rPr>
        <w:t>Notebook(</w:t>
      </w:r>
      <w:proofErr w:type="gramEnd"/>
      <w:r w:rsidRPr="00493EBE">
        <w:rPr>
          <w:rFonts w:asciiTheme="majorHAnsi" w:hAnsiTheme="majorHAnsi" w:cstheme="majorHAnsi"/>
          <w:sz w:val="18"/>
          <w:szCs w:val="18"/>
        </w:rPr>
        <w:t>Python)</w:t>
      </w:r>
    </w:p>
    <w:p w14:paraId="713ECBF1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2CA79494" w14:textId="5F63E877" w:rsidR="00493EBE" w:rsidRDefault="00493EBE" w:rsidP="00493EBE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  <w:r w:rsidRPr="00493EBE">
        <w:rPr>
          <w:rFonts w:asciiTheme="majorHAnsi" w:hAnsiTheme="majorHAnsi" w:cstheme="majorHAnsi"/>
          <w:b/>
          <w:bCs/>
          <w:sz w:val="18"/>
          <w:szCs w:val="18"/>
        </w:rPr>
        <w:t>Task Perform</w:t>
      </w:r>
      <w:r w:rsidRPr="00493EBE">
        <w:rPr>
          <w:rFonts w:asciiTheme="majorHAnsi" w:hAnsiTheme="majorHAnsi" w:cstheme="majorHAnsi"/>
          <w:b/>
          <w:bCs/>
          <w:sz w:val="18"/>
          <w:szCs w:val="18"/>
        </w:rPr>
        <w:t>ed</w:t>
      </w:r>
      <w:r w:rsidRPr="00493EBE">
        <w:rPr>
          <w:rFonts w:asciiTheme="majorHAnsi" w:hAnsiTheme="majorHAnsi" w:cstheme="majorHAnsi"/>
          <w:b/>
          <w:bCs/>
          <w:sz w:val="18"/>
          <w:szCs w:val="18"/>
        </w:rPr>
        <w:t>:</w:t>
      </w:r>
    </w:p>
    <w:p w14:paraId="3663A41B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5DE7092B" w14:textId="44C569BE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Conduct</w:t>
      </w:r>
      <w:r w:rsidRPr="00493EBE">
        <w:rPr>
          <w:rFonts w:asciiTheme="majorHAnsi" w:hAnsiTheme="majorHAnsi" w:cstheme="majorHAnsi"/>
          <w:sz w:val="18"/>
          <w:szCs w:val="18"/>
        </w:rPr>
        <w:t>ed</w:t>
      </w:r>
      <w:r w:rsidRPr="00493EBE">
        <w:rPr>
          <w:rFonts w:asciiTheme="majorHAnsi" w:hAnsiTheme="majorHAnsi" w:cstheme="majorHAnsi"/>
          <w:sz w:val="18"/>
          <w:szCs w:val="18"/>
        </w:rPr>
        <w:t xml:space="preserve"> a thorough Exploratory Data Analysis (EDA) on the dataset related to the bank's telemarketing campaign that should involve the following sequential steps:</w:t>
      </w:r>
    </w:p>
    <w:p w14:paraId="789EC8AE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0357A30C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1. Understanding the Dataset</w:t>
      </w:r>
    </w:p>
    <w:p w14:paraId="5416B077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a. Load and scrutinize the dataset to comprehend its structure, encompassing columns and data types.</w:t>
      </w:r>
    </w:p>
    <w:p w14:paraId="057CAC69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b. Inspect for any instances of missing values, outliers, or data inconsistencies.</w:t>
      </w:r>
    </w:p>
    <w:p w14:paraId="6945FC57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1AEEF032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2. Descriptive Statistics</w:t>
      </w:r>
    </w:p>
    <w:p w14:paraId="5B815C8B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a. Derive summary statistics (mean, median, standard deviation) for relevant columns.</w:t>
      </w:r>
    </w:p>
    <w:p w14:paraId="0CC82B0C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b. Examine the distribution of the target variable, indicating responses to the term deposit campaign.</w:t>
      </w:r>
    </w:p>
    <w:p w14:paraId="28073719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76282A12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3. Univariate Analysis</w:t>
      </w:r>
    </w:p>
    <w:p w14:paraId="7DE2F603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a. Examine the distribution of individual key features, such as age, balance, and call duration.</w:t>
      </w:r>
    </w:p>
    <w:p w14:paraId="0704CC80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b. Employ visual aids like histograms, box plots, and kernel density plots to discern patterns and outliers.</w:t>
      </w:r>
    </w:p>
    <w:p w14:paraId="2D46C1DC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5E260445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4. Bivariate Analysis</w:t>
      </w:r>
    </w:p>
    <w:p w14:paraId="737EA6A0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a. Evaluate the relationship between independent variables and the target variable.</w:t>
      </w:r>
    </w:p>
    <w:p w14:paraId="5CCB46FA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 xml:space="preserve">b. </w:t>
      </w:r>
      <w:proofErr w:type="spellStart"/>
      <w:r w:rsidRPr="00493EBE">
        <w:rPr>
          <w:rFonts w:asciiTheme="majorHAnsi" w:hAnsiTheme="majorHAnsi" w:cstheme="majorHAnsi"/>
          <w:sz w:val="18"/>
          <w:szCs w:val="18"/>
        </w:rPr>
        <w:t>Analyze</w:t>
      </w:r>
      <w:proofErr w:type="spellEnd"/>
      <w:r w:rsidRPr="00493EBE">
        <w:rPr>
          <w:rFonts w:asciiTheme="majorHAnsi" w:hAnsiTheme="majorHAnsi" w:cstheme="majorHAnsi"/>
          <w:sz w:val="18"/>
          <w:szCs w:val="18"/>
        </w:rPr>
        <w:t xml:space="preserve"> how features like age, job type, education, marital status, etc., associate with the success of the term deposit campaign, using visualizations like bar charts, stacked bar charts, and heat maps.</w:t>
      </w:r>
    </w:p>
    <w:p w14:paraId="10583B15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7D6ED296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5. Categorical Variables Analysis</w:t>
      </w:r>
    </w:p>
    <w:p w14:paraId="1F91C8AB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a. Investigate the distribution of categorical variables such as job type, education, and marital status.</w:t>
      </w:r>
    </w:p>
    <w:p w14:paraId="36CC0B7C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b. Assess the impact of these categorical variables on the campaign's success through visualizations like bar charts.</w:t>
      </w:r>
    </w:p>
    <w:p w14:paraId="5998455F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4CE152D6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6. Temporal Analysis</w:t>
      </w:r>
    </w:p>
    <w:p w14:paraId="7B33BDD2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a. Investigate temporal patterns in the success of the campaign over time.</w:t>
      </w:r>
    </w:p>
    <w:p w14:paraId="0B061894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 xml:space="preserve">b. </w:t>
      </w:r>
      <w:proofErr w:type="spellStart"/>
      <w:r w:rsidRPr="00493EBE">
        <w:rPr>
          <w:rFonts w:asciiTheme="majorHAnsi" w:hAnsiTheme="majorHAnsi" w:cstheme="majorHAnsi"/>
          <w:sz w:val="18"/>
          <w:szCs w:val="18"/>
        </w:rPr>
        <w:t>Analyze</w:t>
      </w:r>
      <w:proofErr w:type="spellEnd"/>
      <w:r w:rsidRPr="00493EBE">
        <w:rPr>
          <w:rFonts w:asciiTheme="majorHAnsi" w:hAnsiTheme="majorHAnsi" w:cstheme="majorHAnsi"/>
          <w:sz w:val="18"/>
          <w:szCs w:val="18"/>
        </w:rPr>
        <w:t xml:space="preserve"> if specific months or days exhibit superior campaign performance.</w:t>
      </w:r>
    </w:p>
    <w:p w14:paraId="3AFBD39B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03E99FD7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7. Feature Engineering</w:t>
      </w:r>
    </w:p>
    <w:p w14:paraId="34A5A5D1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a. Introduce new features that may enhance prediction, such as creating age groups or income categories.</w:t>
      </w:r>
    </w:p>
    <w:p w14:paraId="51D70AEE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b. Apply encoding techniques to transform categorical variables if necessary.</w:t>
      </w:r>
    </w:p>
    <w:p w14:paraId="7777CB90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41CB3BA8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8. Correlation Analysis</w:t>
      </w:r>
    </w:p>
    <w:p w14:paraId="2CBC64CA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a. Examine correlations between independent variables to identify multicollinearity.</w:t>
      </w:r>
    </w:p>
    <w:p w14:paraId="52735B2B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b. Evaluate how correlated features may influence the target variable.</w:t>
      </w:r>
    </w:p>
    <w:p w14:paraId="4A98CC15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p w14:paraId="2E7D6CE5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9. Outlier Detection and Handling</w:t>
      </w:r>
    </w:p>
    <w:p w14:paraId="1CC752BA" w14:textId="77777777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a. Identify and rectify outliers that could impact the analysis and predictions.</w:t>
      </w:r>
    </w:p>
    <w:p w14:paraId="725BAEC2" w14:textId="5289F30E" w:rsidR="00493EBE" w:rsidRDefault="00493EBE" w:rsidP="00493EBE">
      <w:pPr>
        <w:spacing w:after="0"/>
        <w:rPr>
          <w:rFonts w:asciiTheme="majorHAnsi" w:hAnsiTheme="majorHAnsi" w:cstheme="majorHAnsi"/>
          <w:b/>
          <w:bCs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br/>
      </w:r>
      <w:proofErr w:type="gramStart"/>
      <w:r>
        <w:rPr>
          <w:rFonts w:asciiTheme="majorHAnsi" w:hAnsiTheme="majorHAnsi" w:cstheme="majorHAnsi"/>
          <w:b/>
          <w:bCs/>
          <w:sz w:val="18"/>
          <w:szCs w:val="18"/>
        </w:rPr>
        <w:t>Target</w:t>
      </w:r>
      <w:r>
        <w:rPr>
          <w:rFonts w:asciiTheme="majorHAnsi" w:hAnsiTheme="majorHAnsi" w:cstheme="majorHAnsi"/>
          <w:b/>
          <w:bCs/>
          <w:sz w:val="18"/>
          <w:szCs w:val="18"/>
        </w:rPr>
        <w:t xml:space="preserve"> :</w:t>
      </w:r>
      <w:proofErr w:type="gramEnd"/>
    </w:p>
    <w:p w14:paraId="3FE8A119" w14:textId="05C1AECD" w:rsidR="00493EBE" w:rsidRPr="00493EBE" w:rsidRDefault="00493EBE" w:rsidP="00493EBE">
      <w:pPr>
        <w:spacing w:after="0"/>
        <w:rPr>
          <w:rFonts w:asciiTheme="majorHAnsi" w:hAnsiTheme="majorHAnsi" w:cstheme="majorHAnsi"/>
          <w:sz w:val="18"/>
          <w:szCs w:val="18"/>
        </w:rPr>
      </w:pPr>
      <w:r w:rsidRPr="00493EBE">
        <w:rPr>
          <w:rFonts w:asciiTheme="majorHAnsi" w:hAnsiTheme="majorHAnsi" w:cstheme="majorHAnsi"/>
          <w:sz w:val="18"/>
          <w:szCs w:val="18"/>
        </w:rPr>
        <w:t>Offer actionable insights based on the analysis, proposing areas where the bank can enhance its positive response rate. Consider factors such as customer demographics, campaign timing, and communication strategies.</w:t>
      </w:r>
    </w:p>
    <w:p w14:paraId="189AE5ED" w14:textId="77777777" w:rsidR="00F10B88" w:rsidRPr="00493EBE" w:rsidRDefault="00F10B88" w:rsidP="00493EBE">
      <w:pPr>
        <w:spacing w:after="0"/>
        <w:rPr>
          <w:rFonts w:asciiTheme="majorHAnsi" w:hAnsiTheme="majorHAnsi" w:cstheme="majorHAnsi"/>
          <w:sz w:val="18"/>
          <w:szCs w:val="18"/>
        </w:rPr>
      </w:pPr>
    </w:p>
    <w:sectPr w:rsidR="00F10B88" w:rsidRPr="00493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96960924">
    <w:abstractNumId w:val="0"/>
  </w:num>
  <w:num w:numId="2" w16cid:durableId="2043898868">
    <w:abstractNumId w:val="0"/>
  </w:num>
  <w:num w:numId="3" w16cid:durableId="933128692">
    <w:abstractNumId w:val="0"/>
  </w:num>
  <w:num w:numId="4" w16cid:durableId="1754467797">
    <w:abstractNumId w:val="0"/>
  </w:num>
  <w:num w:numId="5" w16cid:durableId="500699360">
    <w:abstractNumId w:val="0"/>
  </w:num>
  <w:num w:numId="6" w16cid:durableId="1202009495">
    <w:abstractNumId w:val="0"/>
  </w:num>
  <w:num w:numId="7" w16cid:durableId="970669693">
    <w:abstractNumId w:val="0"/>
  </w:num>
  <w:num w:numId="8" w16cid:durableId="520625658">
    <w:abstractNumId w:val="0"/>
  </w:num>
  <w:num w:numId="9" w16cid:durableId="406416521">
    <w:abstractNumId w:val="0"/>
  </w:num>
  <w:num w:numId="10" w16cid:durableId="181568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BE"/>
    <w:rsid w:val="00306021"/>
    <w:rsid w:val="00493EBE"/>
    <w:rsid w:val="00854C52"/>
    <w:rsid w:val="00F1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91F03"/>
  <w15:chartTrackingRefBased/>
  <w15:docId w15:val="{012C1AC3-4283-4876-ACBC-FDA1F494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EBE"/>
  </w:style>
  <w:style w:type="paragraph" w:styleId="Heading1">
    <w:name w:val="heading 1"/>
    <w:basedOn w:val="Normal"/>
    <w:next w:val="Normal"/>
    <w:link w:val="Heading1Char"/>
    <w:uiPriority w:val="9"/>
    <w:qFormat/>
    <w:rsid w:val="00493EB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EB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EB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EB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EB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EB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EB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EB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EB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EB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EB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EB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EB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EB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EB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E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EB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E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3EB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93E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EB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EB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93EB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3EB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93EBE"/>
    <w:rPr>
      <w:i/>
      <w:iCs/>
      <w:color w:val="auto"/>
    </w:rPr>
  </w:style>
  <w:style w:type="paragraph" w:styleId="NoSpacing">
    <w:name w:val="No Spacing"/>
    <w:uiPriority w:val="1"/>
    <w:qFormat/>
    <w:rsid w:val="00493E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3EB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93E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EB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EB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93E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3EB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3EB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3EB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3EB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3EB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2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725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57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3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30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623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1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0676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22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1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986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53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5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180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60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802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56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1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779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4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272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9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89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6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28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698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8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9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87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002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9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328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585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1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6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28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2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032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42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53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34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0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65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3763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1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566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4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43508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43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3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2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617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8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126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14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96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13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30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46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5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210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2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787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8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8961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1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193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426</Words>
  <Characters>2645</Characters>
  <Application>Microsoft Office Word</Application>
  <DocSecurity>0</DocSecurity>
  <Lines>57</Lines>
  <Paragraphs>40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SAHAJPREET SINGH</dc:creator>
  <cp:keywords/>
  <dc:description/>
  <cp:lastModifiedBy>SAHAJPREET SINGH</cp:lastModifiedBy>
  <cp:revision>2</cp:revision>
  <dcterms:created xsi:type="dcterms:W3CDTF">2024-09-07T12:12:00Z</dcterms:created>
  <dcterms:modified xsi:type="dcterms:W3CDTF">2024-09-07T12:12:00Z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ef3a1843-5b86-48df-93a0-9a1ad836267c</vt:lpwstr>
  </property>
</Properties>
</file>