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1B365D"/>
          <w:sz w:val="48"/>
        </w:rPr>
        <w:t>HR POLICY MANUAL</w:t>
      </w:r>
    </w:p>
    <w:p>
      <w:pPr>
        <w:spacing w:before="0" w:after="480"/>
        <w:jc w:val="center"/>
      </w:pPr>
      <w:r>
        <w:rPr>
          <w:rFonts w:ascii="Calibri" w:hAnsi="Calibri"/>
          <w:i/>
          <w:color w:val="4B6B94"/>
          <w:sz w:val="28"/>
        </w:rPr>
        <w:t>Policy 1: Comprehensive Leave Policy</w:t>
      </w: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36" w:space="0" w:color="1B365D"/>
              <w:bottom w:val="none"/>
              <w:right w:val="none"/>
            </w:tcBorders>
          </w:tcPr>
          <w:p>
            <w:pPr>
              <w:spacing w:before="160" w:after="160"/>
              <w:ind w:left="144" w:right="144"/>
            </w:pPr>
            <w:r>
              <w:rPr>
                <w:i/>
                <w:color w:val="333333"/>
                <w:sz w:val="21"/>
              </w:rPr>
              <w:t>Document Control: LP-2026-V1 | Effective Date: January 1, 2026 | Applicability: All Full-Time Employees</w:t>
            </w:r>
          </w:p>
        </w:tc>
      </w:tr>
    </w:tbl>
    <w:p>
      <w:pPr>
        <w:spacing w:before="0" w:after="120"/>
      </w:pPr>
    </w:p>
    <w:p>
      <w:pPr>
        <w:keepNext/>
        <w:spacing w:before="360" w:after="120"/>
      </w:pPr>
      <w:r>
        <w:rPr>
          <w:rFonts w:ascii="Calibri" w:hAnsi="Calibri"/>
          <w:b/>
          <w:color w:val="1B365D"/>
          <w:sz w:val="32"/>
        </w:rPr>
        <w:t>1. Purpose and Objective</w:t>
      </w:r>
    </w:p>
    <w:p>
      <w:r>
        <w:t>At our organization, we believe that maintaining a healthy work-life balance is essential for long-term productivity, creativity, and overall employee well-being. The Leave Policy is designed to provide structured guidelines for taking time off from work for rest, rejuvenation, medical needs, and personal emergencies while ensuring business continuity and operational excellence across all departments.</w:t>
      </w:r>
    </w:p>
    <w:p>
      <w:pPr>
        <w:keepNext/>
        <w:spacing w:before="360" w:after="120"/>
      </w:pPr>
      <w:r>
        <w:rPr>
          <w:rFonts w:ascii="Calibri" w:hAnsi="Calibri"/>
          <w:b/>
          <w:color w:val="1B365D"/>
          <w:sz w:val="32"/>
        </w:rPr>
        <w:t>2. Scope and Eligibility</w:t>
      </w:r>
    </w:p>
    <w:p>
      <w:r>
        <w:t>This policy applies to all permanent and probationary full-time employees across all branch offices and operational hubs. Interns, consultants, and part-time contractors are governed by the specific terms outlined in their respective agreements or service contracts. Leave accruals commence from the official date of joining, though utilization during the probation period is subject to managerial approval and specific leave category rules.</w:t>
      </w:r>
    </w:p>
    <w:p>
      <w:pPr>
        <w:keepNext/>
        <w:spacing w:before="360" w:after="120"/>
      </w:pPr>
      <w:r>
        <w:rPr>
          <w:rFonts w:ascii="Calibri" w:hAnsi="Calibri"/>
          <w:b/>
          <w:color w:val="1B365D"/>
          <w:sz w:val="32"/>
        </w:rPr>
        <w:t>3. Classification of Leaves</w:t>
      </w:r>
    </w:p>
    <w:p>
      <w:pPr>
        <w:keepNext/>
        <w:spacing w:before="240" w:after="80"/>
      </w:pPr>
      <w:r>
        <w:rPr>
          <w:rFonts w:ascii="Calibri" w:hAnsi="Calibri"/>
          <w:b/>
          <w:color w:val="4B6B94"/>
          <w:sz w:val="26"/>
        </w:rPr>
        <w:t>3.1 Casual Leave (CL)</w:t>
      </w:r>
    </w:p>
    <w:p>
      <w:r>
        <w:t>Casual Leave is granted to help employees manage urgent, unforeseen personal matters or short-term social obligations that cannot be attended to outside of working hours.</w:t>
      </w:r>
    </w:p>
    <w:p>
      <w:pPr>
        <w:pStyle w:val="ListBullet"/>
      </w:pPr>
      <w:r>
        <w:t>• Allocation: 12 days per calendar year, credited on a monthly pro-rata basis (1 day per month).</w:t>
      </w:r>
    </w:p>
    <w:p>
      <w:pPr>
        <w:pStyle w:val="ListBullet"/>
      </w:pPr>
      <w:r>
        <w:t>• Accumulation &amp; Encashment: Casual leaves cannot be carried forward to the next calendar year and are non-encashable. Unutilized CL lapses on December 31st.</w:t>
      </w:r>
    </w:p>
    <w:p>
      <w:pPr>
        <w:pStyle w:val="ListBullet"/>
      </w:pPr>
      <w:r>
        <w:t>• Clubbing Restrictions: CL cannot be clubbed with more than 3 consecutive days of Earned Leave without prior supervisory approval.</w:t>
      </w:r>
    </w:p>
    <w:p>
      <w:pPr>
        <w:keepNext/>
        <w:spacing w:before="240" w:after="80"/>
      </w:pPr>
      <w:r>
        <w:rPr>
          <w:rFonts w:ascii="Calibri" w:hAnsi="Calibri"/>
          <w:b/>
          <w:color w:val="4B6B94"/>
          <w:sz w:val="26"/>
        </w:rPr>
        <w:t>3.2 Earned / Privileged Leave (EL / PL)</w:t>
      </w:r>
    </w:p>
    <w:p>
      <w:r>
        <w:t>Earned Leave is designed to provide employees with extended periods of rest and vacation. Employees are encouraged to plan and utilize their EL annually.</w:t>
      </w:r>
    </w:p>
    <w:p>
      <w:pPr>
        <w:pStyle w:val="ListBullet"/>
      </w:pPr>
      <w:r>
        <w:t>• Allocation: 15 days per year, credited quarterly in advance (3.75 days per quarter).</w:t>
      </w:r>
    </w:p>
    <w:p>
      <w:pPr>
        <w:pStyle w:val="ListBullet"/>
      </w:pPr>
      <w:r>
        <w:t>• Maximum Accumulation: EL can be accumulated up to a maximum ceiling of 45 days. Any excess accumulation beyond 45 days will lapse unless encashed under approved corporate schemes.</w:t>
      </w:r>
    </w:p>
    <w:p>
      <w:pPr>
        <w:pStyle w:val="ListBullet"/>
      </w:pPr>
      <w:r>
        <w:t>• Encashment at Separation: Accumulated unutilized EL is eligible for encashment during Full and Final (F&amp;F) settlement upon separation, calculated based on the employee's basic salary.</w:t>
      </w:r>
    </w:p>
    <w:p>
      <w:pPr>
        <w:keepNext/>
        <w:spacing w:before="240" w:after="80"/>
      </w:pPr>
      <w:r>
        <w:rPr>
          <w:rFonts w:ascii="Calibri" w:hAnsi="Calibri"/>
          <w:b/>
          <w:color w:val="4B6B94"/>
          <w:sz w:val="26"/>
        </w:rPr>
        <w:t>3.3 Sick Leave (SL)</w:t>
      </w:r>
    </w:p>
    <w:p>
      <w:r>
        <w:t>Sick Leave is provided to support employees dealing with personal illness, medical appointments, or physical rehabilitation.</w:t>
      </w:r>
    </w:p>
    <w:p>
      <w:pPr>
        <w:pStyle w:val="ListBullet"/>
      </w:pPr>
      <w:r>
        <w:t>• Allocation: 10 days per calendar year, credited at the beginning of the year.</w:t>
      </w:r>
    </w:p>
    <w:p>
      <w:pPr>
        <w:pStyle w:val="ListBullet"/>
      </w:pPr>
      <w:r>
        <w:t>• Medical Documentation: For consecutive sick leave absences exceeding 3 working days, submission of a valid medical certificate from a registered medical practitioner is mandatory upon return.</w:t>
      </w:r>
    </w:p>
    <w:p>
      <w:pPr>
        <w:pStyle w:val="ListBullet"/>
      </w:pPr>
      <w:r>
        <w:t>• Carry Forward: Sick leaves cannot be carried forward or encashed upon separation.</w:t>
      </w:r>
    </w:p>
    <w:p>
      <w:pPr>
        <w:keepNext/>
        <w:spacing w:before="240" w:after="80"/>
      </w:pPr>
      <w:r>
        <w:rPr>
          <w:rFonts w:ascii="Calibri" w:hAnsi="Calibri"/>
          <w:b/>
          <w:color w:val="4B6B94"/>
          <w:sz w:val="26"/>
        </w:rPr>
        <w:t>3.4 Maternity, Paternity, and Parental Leaves</w:t>
      </w:r>
    </w:p>
    <w:p>
      <w:r>
        <w:t>In strict compliance with statutory legislation (including the Maternity Benefit Amendment Act), female employees are entitled to 26 weeks of paid maternity leave for up to two surviving children. Male employees are eligible for 5 to 10 consecutive working days of paternity leave around the time of child delivery or adoption. Additional adoption and bereavement leave provisions apply as per organizational guidelines.</w:t>
      </w:r>
    </w:p>
    <w:p>
      <w:pPr>
        <w:keepNext/>
        <w:spacing w:before="360" w:after="120"/>
      </w:pPr>
      <w:r>
        <w:rPr>
          <w:rFonts w:ascii="Calibri" w:hAnsi="Calibri"/>
          <w:b/>
          <w:color w:val="1B365D"/>
          <w:sz w:val="32"/>
        </w:rPr>
        <w:t>4. Leave Application and Approval Procedure</w:t>
      </w:r>
    </w:p>
    <w:p>
      <w:r>
        <w:t>All planned leaves (such as Earned Leave) must be submitted through the corporate HR portal at least 3 working days in advance for short durations, and at least 2 weeks in advance for durations exceeding 5 working days. Unplanned absences (such as Sick or Casual Leave) must be communicated to the reporting manager via phone or email within 2 hours of the standard shift commencement time. Failure to notify within the stipulated window may result in the absence being classified as unauthorized Leave Without Pay (LWP) and subject to disciplinary review.</w:t>
      </w:r>
    </w:p>
    <w:p>
      <w:r>
        <w:br w:type="page"/>
      </w:r>
    </w:p>
    <w:p>
      <w:pPr>
        <w:spacing w:before="240" w:after="80"/>
        <w:jc w:val="center"/>
      </w:pPr>
      <w:r>
        <w:rPr>
          <w:rFonts w:ascii="Calibri" w:hAnsi="Calibri"/>
          <w:b/>
          <w:color w:val="1B365D"/>
          <w:sz w:val="48"/>
        </w:rPr>
        <w:t>HR POLICY MANUAL</w:t>
      </w:r>
    </w:p>
    <w:p>
      <w:pPr>
        <w:spacing w:before="0" w:after="480"/>
        <w:jc w:val="center"/>
      </w:pPr>
      <w:r>
        <w:rPr>
          <w:rFonts w:ascii="Calibri" w:hAnsi="Calibri"/>
          <w:i/>
          <w:color w:val="4B6B94"/>
          <w:sz w:val="28"/>
        </w:rPr>
        <w:t>Policy 2: Payroll and Compensation Policy</w:t>
      </w: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36" w:space="0" w:color="1B365D"/>
              <w:bottom w:val="none"/>
              <w:right w:val="none"/>
            </w:tcBorders>
          </w:tcPr>
          <w:p>
            <w:pPr>
              <w:spacing w:before="160" w:after="160"/>
              <w:ind w:left="144" w:right="144"/>
            </w:pPr>
            <w:r>
              <w:rPr>
                <w:i/>
                <w:color w:val="333333"/>
                <w:sz w:val="21"/>
              </w:rPr>
              <w:t>Document Control: PP-2026-V1 | Effective Date: January 1, 2026 | Department: Finance &amp; Human Resources</w:t>
            </w:r>
          </w:p>
        </w:tc>
      </w:tr>
    </w:tbl>
    <w:p>
      <w:pPr>
        <w:spacing w:before="0" w:after="120"/>
      </w:pPr>
    </w:p>
    <w:p>
      <w:pPr>
        <w:keepNext/>
        <w:spacing w:before="360" w:after="120"/>
      </w:pPr>
      <w:r>
        <w:rPr>
          <w:rFonts w:ascii="Calibri" w:hAnsi="Calibri"/>
          <w:b/>
          <w:color w:val="1B365D"/>
          <w:sz w:val="32"/>
        </w:rPr>
        <w:t>1. Purpose and Philosophy</w:t>
      </w:r>
    </w:p>
    <w:p>
      <w:r>
        <w:t>The Payroll Policy establishes a transparent, equitable, and timely framework for the disbursement of employee compensation, benefits, statutory deductions, and expense reimbursements. Our compensation philosophy is built on market competitiveness, internal equity, and strict adherence to statutory labor laws and tax regulations.</w:t>
      </w:r>
    </w:p>
    <w:p>
      <w:pPr>
        <w:keepNext/>
        <w:spacing w:before="360" w:after="120"/>
      </w:pPr>
      <w:r>
        <w:rPr>
          <w:rFonts w:ascii="Calibri" w:hAnsi="Calibri"/>
          <w:b/>
          <w:color w:val="1B365D"/>
          <w:sz w:val="32"/>
        </w:rPr>
        <w:t>2. Pay Cycle and Salary Disbursement</w:t>
      </w:r>
    </w:p>
    <w:p>
      <w:r>
        <w:t>The standard payroll cycle runs on a calendar-month basis, commencing on the 1st and concluding on the final calendar day of the month. Salaries are processed and credited directly to the employee's designated salary bank account on or before the last working day of the active month. In instances where the last working day falls on a bank holiday or weekend, disbursement may be executed on the preceding working day.</w:t>
      </w:r>
    </w:p>
    <w:p>
      <w:pPr>
        <w:keepNext/>
        <w:spacing w:before="360" w:after="120"/>
      </w:pPr>
      <w:r>
        <w:rPr>
          <w:rFonts w:ascii="Calibri" w:hAnsi="Calibri"/>
          <w:b/>
          <w:color w:val="1B365D"/>
          <w:sz w:val="32"/>
        </w:rPr>
        <w:t>3. Salary Structure and Components</w:t>
      </w:r>
    </w:p>
    <w:p>
      <w:r>
        <w:t>The Cost to Company (CTC) structure is divided into fixed and variable components, designed to optimize tax efficiency while providing robust social security benefits:</w:t>
      </w:r>
    </w:p>
    <w:p>
      <w:pPr>
        <w:pStyle w:val="ListBullet"/>
      </w:pPr>
      <w:r>
        <w:t>• Basic Salary: Forms the core of the compensation package (typically 40-50% of CTC), serving as the benchmark for provident fund contributions, gratuity, and leave encashment calculations.</w:t>
      </w:r>
    </w:p>
    <w:p>
      <w:pPr>
        <w:pStyle w:val="ListBullet"/>
      </w:pPr>
      <w:r>
        <w:t>• House Rent Allowance (HRA): Provided to assist employees with rental accommodation expenses, eligible for tax exemption under Income Tax regulations subject to rent receipt submissions.</w:t>
      </w:r>
    </w:p>
    <w:p>
      <w:pPr>
        <w:pStyle w:val="ListBullet"/>
      </w:pPr>
      <w:r>
        <w:t>• Special Allowance / Flexible Pay: Discretionary component balancing out the taxable structure.</w:t>
      </w:r>
    </w:p>
    <w:p>
      <w:pPr>
        <w:pStyle w:val="ListBullet"/>
      </w:pPr>
      <w:r>
        <w:t>• Retirement &amp; Statutory Benefits: Mandatory contributions toward Employee Provident Fund (EPF), Employee State Insurance (ESI where applicable), and Gratuity as per statutory mandates.</w:t>
      </w:r>
    </w:p>
    <w:p>
      <w:pPr>
        <w:keepNext/>
        <w:spacing w:before="360" w:after="120"/>
      </w:pPr>
      <w:r>
        <w:rPr>
          <w:rFonts w:ascii="Calibri" w:hAnsi="Calibri"/>
          <w:b/>
          <w:color w:val="1B365D"/>
          <w:sz w:val="32"/>
        </w:rPr>
        <w:t>4. Taxation and Deductions (TDS)</w:t>
      </w:r>
    </w:p>
    <w:p>
      <w:r>
        <w:t>Income Tax Deducted at Source (TDS) is calculated annually based on the prevailing tax slabs and projected taxable income of each employee. Employees are required to submit valid investment declarations and proofs (such as life/health insurance premiums, tuition fees, home loan certificates, and PPF deposits) during the designated tax-proof windows announced by the finance department. Failure to submit verified proofs within the stipulated timeline will result in higher tax deductions automatically computed and withheld from monthly payroll.</w:t>
      </w:r>
    </w:p>
    <w:p>
      <w:pPr>
        <w:keepNext/>
        <w:spacing w:before="360" w:after="120"/>
      </w:pPr>
      <w:r>
        <w:rPr>
          <w:rFonts w:ascii="Calibri" w:hAnsi="Calibri"/>
          <w:b/>
          <w:color w:val="1B365D"/>
          <w:sz w:val="32"/>
        </w:rPr>
        <w:t>5. Attendance, Overtime, and Salary Adjustments</w:t>
      </w:r>
    </w:p>
    <w:p>
      <w:r>
        <w:t>Payroll processing is strictly tied to biometric or digital attendance logs. Any discrepancies in attendance records must be regularized and approved by the reporting manager through the HR portal before the payroll freeze date (typically the 25th of each month). Unauthorized absences, unpaid leaves, or late logins exceeding permitted grace periods will result in proportionate salary deductions (Loss of Pay - LOP) for that cycle.</w:t>
      </w:r>
    </w:p>
    <w:p>
      <w:pPr>
        <w:keepNext/>
        <w:spacing w:before="360" w:after="120"/>
      </w:pPr>
      <w:r>
        <w:rPr>
          <w:rFonts w:ascii="Calibri" w:hAnsi="Calibri"/>
          <w:b/>
          <w:color w:val="1B365D"/>
          <w:sz w:val="32"/>
        </w:rPr>
        <w:t>6. Full and Final (F&amp;F) Settlement</w:t>
      </w:r>
    </w:p>
    <w:p>
      <w:r>
        <w:t>Upon resignation, retirement, or separation, a full and final settlement is initiated. The final payout—incorporating earned salary, prorated bonuses, encashable accumulated leave, and statutory dues minus outstanding corporate advances—is processed within 30 to 45 days from the official last working day, subject to the successful completion of the clearance and handover process.</w:t>
      </w:r>
    </w:p>
    <w:p>
      <w:r>
        <w:br w:type="page"/>
      </w:r>
    </w:p>
    <w:p>
      <w:pPr>
        <w:spacing w:before="240" w:after="80"/>
        <w:jc w:val="center"/>
      </w:pPr>
      <w:r>
        <w:rPr>
          <w:rFonts w:ascii="Calibri" w:hAnsi="Calibri"/>
          <w:b/>
          <w:color w:val="1B365D"/>
          <w:sz w:val="48"/>
        </w:rPr>
        <w:t>HR POLICY MANUAL</w:t>
      </w:r>
    </w:p>
    <w:p>
      <w:pPr>
        <w:spacing w:before="0" w:after="480"/>
        <w:jc w:val="center"/>
      </w:pPr>
      <w:r>
        <w:rPr>
          <w:rFonts w:ascii="Calibri" w:hAnsi="Calibri"/>
          <w:i/>
          <w:color w:val="4B6B94"/>
          <w:sz w:val="28"/>
        </w:rPr>
        <w:t>Policy 3: Leave Travel Allowance (LTA) Policy</w:t>
      </w: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36" w:space="0" w:color="1B365D"/>
              <w:bottom w:val="none"/>
              <w:right w:val="none"/>
            </w:tcBorders>
          </w:tcPr>
          <w:p>
            <w:pPr>
              <w:spacing w:before="160" w:after="160"/>
              <w:ind w:left="144" w:right="144"/>
            </w:pPr>
            <w:r>
              <w:rPr>
                <w:i/>
                <w:color w:val="333333"/>
                <w:sz w:val="21"/>
              </w:rPr>
              <w:t>Document Control: LTA-2026-V1 | Effective Date: January 1, 2026 | Eligibility: Salaried Employees with LTA Component</w:t>
            </w:r>
          </w:p>
        </w:tc>
      </w:tr>
    </w:tbl>
    <w:p>
      <w:pPr>
        <w:spacing w:before="0" w:after="120"/>
      </w:pPr>
    </w:p>
    <w:p>
      <w:pPr>
        <w:keepNext/>
        <w:spacing w:before="360" w:after="120"/>
      </w:pPr>
      <w:r>
        <w:rPr>
          <w:rFonts w:ascii="Calibri" w:hAnsi="Calibri"/>
          <w:b/>
          <w:color w:val="1B365D"/>
          <w:sz w:val="32"/>
        </w:rPr>
        <w:t>1. Objective and Overview</w:t>
      </w:r>
    </w:p>
    <w:p>
      <w:r>
        <w:t>The Leave Travel Allowance (LTA) policy is designed to provide financial assistance to employees for travel expenses incurred during leave journeys undertaken within India. This policy outlines the eligibility criteria, block periods, qualifying expenses, and mandatory documentation required to claim tax exemptions under the prevailing income tax laws.</w:t>
      </w:r>
    </w:p>
    <w:p>
      <w:pPr>
        <w:keepNext/>
        <w:spacing w:before="360" w:after="120"/>
      </w:pPr>
      <w:r>
        <w:rPr>
          <w:rFonts w:ascii="Calibri" w:hAnsi="Calibri"/>
          <w:b/>
          <w:color w:val="1B365D"/>
          <w:sz w:val="32"/>
        </w:rPr>
        <w:t>2. Eligibility and Block Periods</w:t>
      </w:r>
    </w:p>
    <w:p>
      <w:r>
        <w:t>Employees whose compensation structure explicitly includes LTA as a designated component are eligible to claim tax exemptions under this policy. LTA exemptions operate within defined 4-year block periods established by tax authorities (e.g., current block period: 2026–2029). Within each 4-year block, an employee is permitted to claim tax exemption for a maximum of two journeys.</w:t>
      </w:r>
    </w:p>
    <w:p>
      <w:pPr>
        <w:keepNext/>
        <w:spacing w:before="360" w:after="120"/>
      </w:pPr>
      <w:r>
        <w:rPr>
          <w:rFonts w:ascii="Calibri" w:hAnsi="Calibri"/>
          <w:b/>
          <w:color w:val="1B365D"/>
          <w:sz w:val="32"/>
        </w:rPr>
        <w:t>3. Qualifying Expenses and Limitations</w:t>
      </w:r>
    </w:p>
    <w:p>
      <w:r>
        <w:t>It is crucial to understand that LTA tax exemption covers only the actual travel fare incurred for the employee and their immediate family members. The following guidelines govern qualifying expenses:</w:t>
      </w:r>
    </w:p>
    <w:p>
      <w:pPr>
        <w:pStyle w:val="ListBullet"/>
      </w:pPr>
      <w:r>
        <w:t>• Immediate Family Definition: Includes the employee's spouse, children (maximum of two surviving children born after October 1, 1998, though multiple births during the second child are exempted), and dependent parents, brothers, or sisters.</w:t>
      </w:r>
    </w:p>
    <w:p>
      <w:pPr>
        <w:pStyle w:val="ListBullet"/>
      </w:pPr>
      <w:r>
        <w:t>• Mode of Travel Limits: Exemption is restricted to economy airfare via national carrier, AC first-class rail tickets, or recognized public bus transport fares operating on recognized routes.</w:t>
      </w:r>
    </w:p>
    <w:p>
      <w:pPr>
        <w:pStyle w:val="ListBullet"/>
      </w:pPr>
      <w:r>
        <w:t>• Exclusions: Local conveyance, hotel accommodation, food, sightseeing, porterage, and incidental expenses are strictly ineligible for LTA exemption.</w:t>
      </w:r>
    </w:p>
    <w:p>
      <w:pPr>
        <w:keepNext/>
        <w:spacing w:before="360" w:after="120"/>
      </w:pPr>
      <w:r>
        <w:rPr>
          <w:rFonts w:ascii="Calibri" w:hAnsi="Calibri"/>
          <w:b/>
          <w:color w:val="1B365D"/>
          <w:sz w:val="32"/>
        </w:rPr>
        <w:t>4. Claim Submission and Verification Process</w:t>
      </w:r>
    </w:p>
    <w:p>
      <w:r>
        <w:t>To claim LTA exemption, employees must submit physical or digital copies of original travel documents, including boarding passes, railway tickets, travel agent invoices, and proof of leave utilization during the travel period. Claims must be submitted during the annual tax-proof submission window or at least 30 days prior to the closure of the financial year. The finance department reviews and audits all submissions for compliance before approving tax exemptions.</w:t>
      </w:r>
    </w:p>
    <w:p>
      <w:pPr>
        <w:keepNext/>
        <w:spacing w:before="360" w:after="120"/>
      </w:pPr>
      <w:r>
        <w:rPr>
          <w:rFonts w:ascii="Calibri" w:hAnsi="Calibri"/>
          <w:b/>
          <w:color w:val="1B365D"/>
          <w:sz w:val="32"/>
        </w:rPr>
        <w:t>5. Carry Forward and Unclaimed LTA</w:t>
      </w:r>
    </w:p>
    <w:p>
      <w:r>
        <w:t>If an employee does not claim LTA for one of the two permitted journeys within a specific 4-year block, that unclaimed journey can be carried forward to the very first calendar year of the immediately succeeding block (known as the carry-over journey). Failure to claim LTA within the designated financial year results in the allowance being treated as fully taxable as part of the employee's regular monthly or annual taxable income.</w:t>
      </w:r>
    </w:p>
    <w:p>
      <w:r>
        <w:br w:type="page"/>
      </w:r>
    </w:p>
    <w:p>
      <w:pPr>
        <w:spacing w:before="240" w:after="80"/>
        <w:jc w:val="center"/>
      </w:pPr>
      <w:r>
        <w:rPr>
          <w:rFonts w:ascii="Calibri" w:hAnsi="Calibri"/>
          <w:b/>
          <w:color w:val="1B365D"/>
          <w:sz w:val="48"/>
        </w:rPr>
        <w:t>HR POLICY MANUAL</w:t>
      </w:r>
    </w:p>
    <w:p>
      <w:pPr>
        <w:spacing w:before="0" w:after="480"/>
        <w:jc w:val="center"/>
      </w:pPr>
      <w:r>
        <w:rPr>
          <w:rFonts w:ascii="Calibri" w:hAnsi="Calibri"/>
          <w:i/>
          <w:color w:val="4B6B94"/>
          <w:sz w:val="28"/>
        </w:rPr>
        <w:t>Policy 4: Ethics and Compliance Policy</w:t>
      </w: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36" w:space="0" w:color="1B365D"/>
              <w:bottom w:val="none"/>
              <w:right w:val="none"/>
            </w:tcBorders>
          </w:tcPr>
          <w:p>
            <w:pPr>
              <w:spacing w:before="160" w:after="160"/>
              <w:ind w:left="144" w:right="144"/>
            </w:pPr>
            <w:r>
              <w:rPr>
                <w:i/>
                <w:color w:val="333333"/>
                <w:sz w:val="21"/>
              </w:rPr>
              <w:t>Document Control: EC-2026-V1 | Effective Date: January 1, 2026 | Applicability: Global Workforce &amp; Leadership</w:t>
            </w:r>
          </w:p>
        </w:tc>
      </w:tr>
    </w:tbl>
    <w:p>
      <w:pPr>
        <w:spacing w:before="0" w:after="120"/>
      </w:pPr>
    </w:p>
    <w:p>
      <w:pPr>
        <w:keepNext/>
        <w:spacing w:before="360" w:after="120"/>
      </w:pPr>
      <w:r>
        <w:rPr>
          <w:rFonts w:ascii="Calibri" w:hAnsi="Calibri"/>
          <w:b/>
          <w:color w:val="1B365D"/>
          <w:sz w:val="32"/>
        </w:rPr>
        <w:t>1. Commitment to Ethical Standards</w:t>
      </w:r>
    </w:p>
    <w:p>
      <w:r>
        <w:t>Our organization is fundamentally committed to conducting business with uncompromising integrity, transparency, and adherence to legal and regulatory standards. Our reputation for honesty and fairness is one of our most valuable corporate assets. This Ethics and Compliance Policy establishes the baseline standards of professional behavior expected from every employee, contractor, officer, and director across all tiers of the organization.</w:t>
      </w:r>
    </w:p>
    <w:p>
      <w:pPr>
        <w:keepNext/>
        <w:spacing w:before="360" w:after="120"/>
      </w:pPr>
      <w:r>
        <w:rPr>
          <w:rFonts w:ascii="Calibri" w:hAnsi="Calibri"/>
          <w:b/>
          <w:color w:val="1B365D"/>
          <w:sz w:val="32"/>
        </w:rPr>
        <w:t>2. Core Code of Conduct</w:t>
      </w:r>
    </w:p>
    <w:p>
      <w:r>
        <w:t>All employees are expected to uphold ethical conduct in every professional interaction:</w:t>
      </w:r>
    </w:p>
    <w:p>
      <w:pPr>
        <w:pStyle w:val="ListBullet"/>
      </w:pPr>
      <w:r>
        <w:t>• Conflict of Interest: Employees must avoid any financial, commercial, or personal relationships that could compromise their independent business judgment. Secondary employment, consulting, or moonlighting without prior written executive authorization is strictly prohibited.</w:t>
      </w:r>
    </w:p>
    <w:p>
      <w:pPr>
        <w:pStyle w:val="ListBullet"/>
      </w:pPr>
      <w:r>
        <w:t>• Anti-Bribery and Corruption: The organization enforces a zero-tolerance policy toward bribery, kickbacks, and corrupt practices. Offering, giving, soliciting, or receiving anything of value to improperly influence business decisions is a severe violation.</w:t>
      </w:r>
    </w:p>
    <w:p>
      <w:pPr>
        <w:pStyle w:val="ListBullet"/>
      </w:pPr>
      <w:r>
        <w:t>• Fair Competition: Business dealings with clients, vendors, and competitors must be conducted fairly, avoiding antitrust violations, deceptive marketing, or illicit acquisition of proprietary competitor information.</w:t>
      </w:r>
    </w:p>
    <w:p>
      <w:pPr>
        <w:keepNext/>
        <w:spacing w:before="360" w:after="120"/>
      </w:pPr>
      <w:r>
        <w:rPr>
          <w:rFonts w:ascii="Calibri" w:hAnsi="Calibri"/>
          <w:b/>
          <w:color w:val="1B365D"/>
          <w:sz w:val="32"/>
        </w:rPr>
        <w:t>3. Data Privacy and Confidentiality</w:t>
      </w:r>
    </w:p>
    <w:p>
      <w:r>
        <w:t>Safeguarding confidential information, proprietary technology, financial reports, and personal data of clients and colleagues is a mandatory legal and ethical duty. Employees must not disclose sensitive corporate data to unauthorized third parties either during their tenure or after separation. Compliance with global data privacy frameworks (such as GDPR and local data protection laws) is strictly enforced across all digital infrastructure.</w:t>
      </w:r>
    </w:p>
    <w:p>
      <w:pPr>
        <w:keepNext/>
        <w:spacing w:before="360" w:after="120"/>
      </w:pPr>
      <w:r>
        <w:rPr>
          <w:rFonts w:ascii="Calibri" w:hAnsi="Calibri"/>
          <w:b/>
          <w:color w:val="1B365D"/>
          <w:sz w:val="32"/>
        </w:rPr>
        <w:t>4. Whistleblower Protection and Reporting</w:t>
      </w:r>
    </w:p>
    <w:p>
      <w:r>
        <w:t>To foster an open culture of accountability, employees are encouraged to report suspected unethical behavior, financial fraud, regulatory breaches, or discrimination. Reports can be submitted confidentially through the dedicated Whistleblower Hotline or directly to the Ethics Committee. The organization maintains a stringent anti-retaliation policy, ensuring absolute protection for any employee who reports suspected misconduct in good faith.</w:t>
      </w:r>
    </w:p>
    <w:p>
      <w:pPr>
        <w:keepNext/>
        <w:spacing w:before="360" w:after="120"/>
      </w:pPr>
      <w:r>
        <w:rPr>
          <w:rFonts w:ascii="Calibri" w:hAnsi="Calibri"/>
          <w:b/>
          <w:color w:val="1B365D"/>
          <w:sz w:val="32"/>
        </w:rPr>
        <w:t>5. Disciplinary Consequences</w:t>
      </w:r>
    </w:p>
    <w:p>
      <w:r>
        <w:t>Any breach of this Ethics and Compliance Policy will trigger an independent internal investigation. Proven violations will result in strict disciplinary action ranging from formal written reprimands, mandatory compliance re-training, salary withholding, and demotion, up to immediate termination of employment without notice and potential legal prosecution.</w:t>
      </w:r>
    </w:p>
    <w:p>
      <w:r>
        <w:br w:type="page"/>
      </w:r>
    </w:p>
    <w:p>
      <w:pPr>
        <w:spacing w:before="240" w:after="80"/>
        <w:jc w:val="center"/>
      </w:pPr>
      <w:r>
        <w:rPr>
          <w:rFonts w:ascii="Calibri" w:hAnsi="Calibri"/>
          <w:b/>
          <w:color w:val="1B365D"/>
          <w:sz w:val="48"/>
        </w:rPr>
        <w:t>HR POLICY MANUAL</w:t>
      </w:r>
    </w:p>
    <w:p>
      <w:pPr>
        <w:spacing w:before="0" w:after="480"/>
        <w:jc w:val="center"/>
      </w:pPr>
      <w:r>
        <w:rPr>
          <w:rFonts w:ascii="Calibri" w:hAnsi="Calibri"/>
          <w:i/>
          <w:color w:val="4B6B94"/>
          <w:sz w:val="28"/>
        </w:rPr>
        <w:t>Policy 5: Prevention of Sexual Harassment (POSH) Policy</w:t>
      </w:r>
    </w:p>
    <w:tbl>
      <w:tblPr>
        <w:tblW w:type="auto" w:w="0"/>
        <w:jc w:val="center"/>
        <w:tblLayout w:type="fixed"/>
        <w:tblLook w:firstColumn="1" w:firstRow="1" w:lastColumn="0" w:lastRow="0" w:noHBand="0" w:noVBand="1" w:val="04A0"/>
      </w:tblPr>
      <w:tblGrid>
        <w:gridCol w:w="9360"/>
      </w:tblGrid>
      <w:tr>
        <w:tc>
          <w:tcPr>
            <w:tcW w:type="dxa" w:w="9360"/>
            <w:shd w:fill="F4F6F9"/>
            <w:tcBorders>
              <w:top w:val="none"/>
              <w:left w:val="single" w:sz="36" w:space="0" w:color="1B365D"/>
              <w:bottom w:val="none"/>
              <w:right w:val="none"/>
            </w:tcBorders>
          </w:tcPr>
          <w:p>
            <w:pPr>
              <w:spacing w:before="160" w:after="160"/>
              <w:ind w:left="144" w:right="144"/>
            </w:pPr>
            <w:r>
              <w:rPr>
                <w:i/>
                <w:color w:val="333333"/>
                <w:sz w:val="21"/>
              </w:rPr>
              <w:t>Document Control: POSH-2026-V1 | Effective Date: January 1, 2026 | Statutory Compliance: POSH Act</w:t>
            </w:r>
          </w:p>
        </w:tc>
      </w:tr>
    </w:tbl>
    <w:p>
      <w:pPr>
        <w:spacing w:before="0" w:after="120"/>
      </w:pPr>
    </w:p>
    <w:p>
      <w:pPr>
        <w:keepNext/>
        <w:spacing w:before="360" w:after="120"/>
      </w:pPr>
      <w:r>
        <w:rPr>
          <w:rFonts w:ascii="Calibri" w:hAnsi="Calibri"/>
          <w:b/>
          <w:color w:val="1B365D"/>
          <w:sz w:val="32"/>
        </w:rPr>
        <w:t>1. Policy Statement and Zero Tolerance</w:t>
      </w:r>
    </w:p>
    <w:p>
      <w:r>
        <w:t>Our organization is steadfastly committed to providing a safe, welcoming, and harassment-free working environment for all employees, regardless of gender identity, sexual orientation, hierarchy, or employment status. In strict compliance with the Sexual Harassment of Women at Workplace (Prevention, Prohibition and Redressal) Act (POSH Act), we maintain a strict zero-tolerance policy toward any form of sexual harassment within the workplace, client locations, and corporate events.</w:t>
      </w:r>
    </w:p>
    <w:p>
      <w:pPr>
        <w:keepNext/>
        <w:spacing w:before="360" w:after="120"/>
      </w:pPr>
      <w:r>
        <w:rPr>
          <w:rFonts w:ascii="Calibri" w:hAnsi="Calibri"/>
          <w:b/>
          <w:color w:val="1B365D"/>
          <w:sz w:val="32"/>
        </w:rPr>
        <w:t>2. Scope and Definition of Workplace</w:t>
      </w:r>
    </w:p>
    <w:p>
      <w:r>
        <w:t>This policy applies universally to all permanent employees, probationary staff, contractual workers, interns, trainees, consultants, visitors, and third-party vendors. The 'workplace' extends far beyond physical office premises to include client sites, business travel, transit vehicles, corporate guest houses, work-related social functions, and remote work communication channels (such as virtual meetings, email, and instant messaging).</w:t>
      </w:r>
    </w:p>
    <w:p>
      <w:pPr>
        <w:keepNext/>
        <w:spacing w:before="360" w:after="120"/>
      </w:pPr>
      <w:r>
        <w:rPr>
          <w:rFonts w:ascii="Calibri" w:hAnsi="Calibri"/>
          <w:b/>
          <w:color w:val="1B365D"/>
          <w:sz w:val="32"/>
        </w:rPr>
        <w:t>3. Definition and Forms of Sexual Harassment</w:t>
      </w:r>
    </w:p>
    <w:p>
      <w:r>
        <w:t>Sexual harassment includes any unwelcome sexually determined behavior, physical, verbal, or non-verbal conduct, such as:</w:t>
      </w:r>
    </w:p>
    <w:p>
      <w:pPr>
        <w:pStyle w:val="ListBullet"/>
      </w:pPr>
      <w:r>
        <w:t>• Physical contact, advances, or unwelcome touching.</w:t>
      </w:r>
    </w:p>
    <w:p>
      <w:pPr>
        <w:pStyle w:val="ListBullet"/>
      </w:pPr>
      <w:r>
        <w:t>• A demand or request for sexual favors or sexualized bargains.</w:t>
      </w:r>
    </w:p>
    <w:p>
      <w:pPr>
        <w:pStyle w:val="ListBullet"/>
      </w:pPr>
      <w:r>
        <w:t>• Sexually colored remarks, jokes, innuendos, or unwelcome compliments regarding appearance.</w:t>
      </w:r>
    </w:p>
    <w:p>
      <w:pPr>
        <w:pStyle w:val="ListBullet"/>
      </w:pPr>
      <w:r>
        <w:t>• Showing or circulating pornography, vulgar images, cartoons, or explicit digital media.</w:t>
      </w:r>
    </w:p>
    <w:p>
      <w:pPr>
        <w:pStyle w:val="ListBullet"/>
      </w:pPr>
      <w:r>
        <w:t>• Any other unwelcome physical, verbal, or non-verbal conduct of a sexual nature.</w:t>
      </w:r>
    </w:p>
    <w:p>
      <w:pPr>
        <w:keepNext/>
        <w:spacing w:before="360" w:after="120"/>
      </w:pPr>
      <w:r>
        <w:rPr>
          <w:rFonts w:ascii="Calibri" w:hAnsi="Calibri"/>
          <w:b/>
          <w:color w:val="1B365D"/>
          <w:sz w:val="32"/>
        </w:rPr>
        <w:t>4. Internal Complaints Committee (ICC)</w:t>
      </w:r>
    </w:p>
    <w:p>
      <w:r>
        <w:t>To investigate complaints impartially and rigorously, the organization has constituted an Internal Complaints Committee (ICC) at every operational branch. The ICC is composed of:</w:t>
      </w:r>
    </w:p>
    <w:p>
      <w:pPr>
        <w:pStyle w:val="ListBullet"/>
      </w:pPr>
      <w:r>
        <w:t>• A Presiding Officer who is a senior woman employee committed to gender equality.</w:t>
      </w:r>
    </w:p>
    <w:p>
      <w:pPr>
        <w:pStyle w:val="ListBullet"/>
      </w:pPr>
      <w:r>
        <w:t>• Internal members with extensive experience in legal, HR, or social work fields.</w:t>
      </w:r>
    </w:p>
    <w:p>
      <w:pPr>
        <w:pStyle w:val="ListBullet"/>
      </w:pPr>
      <w:r>
        <w:t>• An external member drawn from a non-governmental organization (NGO) or legal practice specializing in women's rights.</w:t>
      </w:r>
    </w:p>
    <w:p>
      <w:pPr>
        <w:keepNext/>
        <w:spacing w:before="360" w:after="120"/>
      </w:pPr>
      <w:r>
        <w:rPr>
          <w:rFonts w:ascii="Calibri" w:hAnsi="Calibri"/>
          <w:b/>
          <w:color w:val="1B365D"/>
          <w:sz w:val="32"/>
        </w:rPr>
        <w:t>5. Complaint Redressal Procedure</w:t>
      </w:r>
    </w:p>
    <w:p>
      <w:r>
        <w:t>An aggrieved employee may submit a formal written complaint to the ICC within 3 months from the date of the incident (extendable by another 3 months under exceptional circumstances). The ICC maintains strict confidentiality throughout the inquiry process. Upon concluding the inquiry, the ICC submits its findings and recommendations for disciplinary action to executive management within 10 days. Proven offenders face severe penalties, including immediate termination and reporting to statutory authorities.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