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FloodAdapt-ABM × DYNAMO-M Coupling</w:t>
      </w:r>
    </w:p>
    <w:p>
      <w:r>
        <w:t>Phase 4b-full — Binding the Real honeybees SLRModel (Model Documentation)</w:t>
      </w:r>
    </w:p>
    <w:p>
      <w:r>
        <w:t>Pre-flight (4b-pre) delivered · 4b-full steps 2–6 pending execution</w:t>
      </w:r>
    </w:p>
    <w:p>
      <w:r>
        <w:t xml:space="preserve">Date: 2026-07-09 · Status: </w:t>
      </w:r>
      <w:r>
        <w:rPr>
          <w:b/>
        </w:rPr>
        <w:t>4b-pre complete (this doc); 4b-full NOT started</w:t>
      </w:r>
      <w:r>
        <w:t xml:space="preserve"> · Follows: </w:t>
      </w:r>
      <w:r>
        <w:rPr>
          <w:rFonts w:ascii="Consolas" w:hAnsi="Consolas"/>
          <w:color w:val="A03030"/>
          <w:sz w:val="18"/>
        </w:rPr>
        <w:t>20260708_phase_4b_model_documentaiton_phase.docx</w:t>
      </w:r>
      <w:r>
        <w:t xml:space="preserve"> (4b-scaffold)</w:t>
      </w:r>
    </w:p>
    <w:p>
      <w:pPr>
        <w:pStyle w:val="Heading2"/>
      </w:pPr>
      <w:r>
        <w:t>1. Executive Summary</w:t>
      </w:r>
    </w:p>
    <w:p>
      <w:r>
        <w:t xml:space="preserve">Phase 4b-full binds the </w:t>
      </w:r>
      <w:r>
        <w:rPr>
          <w:b/>
        </w:rPr>
        <w:t>real honeybees `SLRModel`</w:t>
      </w:r>
      <w:r>
        <w:t xml:space="preserve"> so the native DYNAMO-M Mesa ecosystem drives the coupling: native </w:t>
      </w:r>
      <w:r>
        <w:rPr>
          <w:rFonts w:ascii="Consolas" w:hAnsi="Consolas"/>
          <w:color w:val="A03030"/>
          <w:sz w:val="18"/>
        </w:rPr>
        <w:t>model.step()</w:t>
      </w:r>
      <w:r>
        <w:t xml:space="preserve"> ticks advance native </w:t>
      </w:r>
      <w:r>
        <w:rPr>
          <w:rFonts w:ascii="Consolas" w:hAnsi="Consolas"/>
          <w:color w:val="A03030"/>
          <w:sz w:val="18"/>
        </w:rPr>
        <w:t>CoastalNode</w:t>
      </w:r>
      <w:r>
        <w:t xml:space="preserve"> populations whose damage arrays are populated </w:t>
      </w:r>
      <w:r>
        <w:rPr>
          <w:b/>
        </w:rPr>
        <w:t>from the FloodAdapt lookup table</w:t>
      </w:r>
      <w:r>
        <w:t>, and whose adaptation decisions flow back. The 4b-scaffold (2026-07-08) already proved time-ownership inversion is non-breaking; 4b-full is therefore an *environment* migration, not a re-architecture.</w:t>
      </w:r>
    </w:p>
    <w:p>
      <w:r>
        <w:t xml:space="preserve">This document records the </w:t>
      </w:r>
      <w:r>
        <w:rPr>
          <w:b/>
        </w:rPr>
        <w:t>4b-pre</w:t>
      </w:r>
      <w:r>
        <w:t xml:space="preserve"> stage (2026-07-09): the de-risking work that must precede the environment lift, per the review-driven roadmap (</w:t>
      </w:r>
      <w:r>
        <w:rPr>
          <w:rFonts w:ascii="Consolas" w:hAnsi="Consolas"/>
          <w:color w:val="A03030"/>
          <w:sz w:val="18"/>
        </w:rPr>
        <w:t>20260709_proposed_development_architecture_steps.md</w:t>
      </w:r>
      <w:r>
        <w:t xml:space="preserve"> §7.1). Delivered:</w:t>
      </w:r>
    </w:p>
    <w:p>
      <w:pPr>
        <w:pStyle w:val="ListBullet"/>
      </w:pPr>
      <w:r>
        <w:rPr>
          <w:b/>
        </w:rPr>
        <w:t>The lookup-table → CoastalNode adapter is prototyped and contract-tested</w:t>
      </w:r>
      <w:r>
        <w:t xml:space="preserve"> (PRE.4) — the single genuinely new modelling artefact of 4b-full, validated standalone so the eventual 4b-full ≡ 4b-scaffold gate isolates the environment swap alone.</w:t>
      </w:r>
    </w:p>
    <w:p>
      <w:pPr>
        <w:pStyle w:val="ListBullet"/>
      </w:pPr>
      <w:r>
        <w:rPr>
          <w:b/>
        </w:rPr>
        <w:t>The shared-engine state hazard is closed</w:t>
      </w:r>
      <w:r>
        <w:t xml:space="preserve"> (PRE.3) — a staleness guard prevents a stale model from silently mutating another model's state, a pattern 4b-full would otherwise have copied.</w:t>
      </w:r>
    </w:p>
    <w:p>
      <w:pPr>
        <w:pStyle w:val="ListBullet"/>
      </w:pPr>
      <w:r>
        <w:rPr>
          <w:b/>
        </w:rPr>
        <w:t>The environment risks are instrumented</w:t>
      </w:r>
      <w:r>
        <w:t xml:space="preserve"> (PRE.1, PRE.2) — a pin-after-verify import kit for honeybees/mesa and a real-Charleston-table gate runner with per-tick profiling, both self-reporting.</w:t>
      </w:r>
    </w:p>
    <w:p>
      <w:pPr>
        <w:pStyle w:val="Heading2"/>
      </w:pPr>
      <w:r>
        <w:t>2. Where 4b-full stands in the phase sequence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owner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Agent population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Decision kernel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3 / 4a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A03030"/>
                <w:sz w:val="18"/>
              </w:rPr>
              <w:t>SimulationEngine.run()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A03030"/>
                <w:sz w:val="18"/>
              </w:rPr>
              <w:t>AgentState</w:t>
            </w:r>
            <w:r>
              <w:t xml:space="preserve"> from lookup table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A03030"/>
                <w:sz w:val="18"/>
              </w:rPr>
              <w:t>SEURule</w:t>
            </w:r>
            <w:r>
              <w:t xml:space="preserve"> / </w:t>
            </w:r>
            <w:r>
              <w:rPr>
                <w:rFonts w:ascii="Consolas" w:hAnsi="Consolas"/>
                <w:color w:val="A03030"/>
                <w:sz w:val="18"/>
              </w:rPr>
              <w:t>DynamoLiveRule</w:t>
            </w:r>
          </w:p>
        </w:tc>
        <w:tc>
          <w:tcPr>
            <w:tcW w:type="dxa" w:w="1728"/>
          </w:tcPr>
          <w:p>
            <w:r>
              <w:t>Done, gated</w:t>
            </w:r>
          </w:p>
        </w:tc>
      </w:tr>
      <w:tr>
        <w:tc>
          <w:tcPr>
            <w:tcW w:type="dxa" w:w="1728"/>
          </w:tcPr>
          <w:p>
            <w:r>
              <w:t>4b-scaffold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A03030"/>
                <w:sz w:val="18"/>
              </w:rPr>
              <w:t>FloodAdaptSLRModel.step()</w:t>
            </w:r>
            <w:r>
              <w:t xml:space="preserve"> (mirror)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A03030"/>
                <w:sz w:val="18"/>
              </w:rPr>
              <w:t>AgentState</w:t>
            </w:r>
            <w:r>
              <w:t xml:space="preserve"> (shared kernel)</w:t>
            </w:r>
          </w:p>
        </w:tc>
        <w:tc>
          <w:tcPr>
            <w:tcW w:type="dxa" w:w="1728"/>
          </w:tcPr>
          <w:p>
            <w:r>
              <w:t>unchanged</w:t>
            </w:r>
          </w:p>
        </w:tc>
        <w:tc>
          <w:tcPr>
            <w:tcW w:type="dxa" w:w="1728"/>
          </w:tcPr>
          <w:p>
            <w:r>
              <w:t>Done, gated (bit-parity)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4b-pre</w:t>
            </w:r>
          </w:p>
        </w:tc>
        <w:tc>
          <w:tcPr>
            <w:tcW w:type="dxa" w:w="1728"/>
          </w:tcPr>
          <w:p>
            <w:r>
              <w:t>— (de-risking)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unchanged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Done (this doc)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4b-full</w:t>
            </w:r>
          </w:p>
        </w:tc>
        <w:tc>
          <w:tcPr>
            <w:tcW w:type="dxa" w:w="1728"/>
          </w:tcPr>
          <w:p>
            <w:r>
              <w:t xml:space="preserve">native honeybees </w:t>
            </w:r>
            <w:r>
              <w:rPr>
                <w:rFonts w:ascii="Consolas" w:hAnsi="Consolas"/>
                <w:color w:val="A03030"/>
                <w:sz w:val="18"/>
              </w:rPr>
              <w:t>SLRModel.step()</w:t>
            </w:r>
          </w:p>
        </w:tc>
        <w:tc>
          <w:tcPr>
            <w:tcW w:type="dxa" w:w="1728"/>
          </w:tcPr>
          <w:p>
            <w:r>
              <w:t xml:space="preserve">native </w:t>
            </w:r>
            <w:r>
              <w:rPr>
                <w:rFonts w:ascii="Consolas" w:hAnsi="Consolas"/>
                <w:color w:val="A03030"/>
                <w:sz w:val="18"/>
              </w:rPr>
              <w:t>CoastalNode</w:t>
            </w:r>
            <w:r>
              <w:t xml:space="preserve"> arrays ← lookup table</w:t>
            </w:r>
          </w:p>
        </w:tc>
        <w:tc>
          <w:tcPr>
            <w:tcW w:type="dxa" w:w="1728"/>
          </w:tcPr>
          <w:p>
            <w:r>
              <w:t>unchanged (</w:t>
            </w:r>
            <w:r>
              <w:rPr>
                <w:rFonts w:ascii="Consolas" w:hAnsi="Consolas"/>
                <w:color w:val="A03030"/>
                <w:sz w:val="18"/>
              </w:rPr>
              <w:t>DynamoLiveRule</w:t>
            </w:r>
            <w:r>
              <w:t xml:space="preserve"> seam)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started</w:t>
            </w:r>
          </w:p>
        </w:tc>
      </w:tr>
    </w:tbl>
    <w:p/>
    <w:p>
      <w:r>
        <w:t xml:space="preserve">The </w:t>
      </w:r>
      <w:r>
        <w:rPr>
          <w:rFonts w:ascii="Consolas" w:hAnsi="Consolas"/>
          <w:color w:val="A03030"/>
          <w:sz w:val="18"/>
        </w:rPr>
        <w:t>DecisionRule.should_adapt(...)</w:t>
      </w:r>
      <w:r>
        <w:t xml:space="preserve"> contract is frozen across every row — that invariance is what makes each migration attributable and non-breaking.</w:t>
      </w:r>
    </w:p>
    <w:p>
      <w:pPr>
        <w:pStyle w:val="Heading2"/>
      </w:pPr>
      <w:r>
        <w:t>3. The adapter (PRE.4) — design as implemented</w:t>
      </w:r>
    </w:p>
    <w:p>
      <w:r>
        <w:t xml:space="preserve">Module: </w:t>
      </w:r>
      <w:r>
        <w:rPr>
          <w:rFonts w:ascii="Consolas" w:hAnsi="Consolas"/>
          <w:color w:val="A03030"/>
          <w:sz w:val="18"/>
        </w:rPr>
        <w:t>floodadapt_abm/coastal_node_adapter.py</w:t>
      </w:r>
      <w:r>
        <w:t xml:space="preserve"> · Tests: </w:t>
      </w:r>
      <w:r>
        <w:rPr>
          <w:rFonts w:ascii="Consolas" w:hAnsi="Consolas"/>
          <w:color w:val="A03030"/>
          <w:sz w:val="18"/>
        </w:rPr>
        <w:t>tests/test_coastal_node_adapter.py</w:t>
      </w:r>
      <w:r>
        <w:t xml:space="preserve"> (10)</w:t>
      </w:r>
    </w:p>
    <w:p>
      <w:pPr>
        <w:pStyle w:val="Heading3"/>
      </w:pPr>
      <w:r>
        <w:t>3.1 CoastalNodeArrays — the native array mirror</w:t>
      </w:r>
    </w:p>
    <w:p>
      <w:r>
        <w:t xml:space="preserve">Dependency-free dataclass mirroring the </w:t>
      </w:r>
      <w:r>
        <w:rPr>
          <w:rFonts w:ascii="Consolas" w:hAnsi="Consolas"/>
          <w:color w:val="A03030"/>
          <w:sz w:val="18"/>
        </w:rPr>
        <w:t>CoastalNode</w:t>
      </w:r>
      <w:r>
        <w:t xml:space="preserve"> fields consumed by </w:t>
      </w:r>
      <w:r>
        <w:rPr>
          <w:rFonts w:ascii="Consolas" w:hAnsi="Consolas"/>
          <w:color w:val="A03030"/>
          <w:sz w:val="18"/>
        </w:rPr>
        <w:t>calcEU_do_nothing</w:t>
      </w:r>
      <w:r>
        <w:t xml:space="preserve"> / </w:t>
      </w:r>
      <w:r>
        <w:rPr>
          <w:rFonts w:ascii="Consolas" w:hAnsi="Consolas"/>
          <w:color w:val="A03030"/>
          <w:sz w:val="18"/>
        </w:rPr>
        <w:t>calcEU_adapt</w:t>
      </w:r>
      <w:r>
        <w:t xml:space="preserve"> and the adaptation bookkeeping in </w:t>
      </w:r>
      <w:r>
        <w:rPr>
          <w:rFonts w:ascii="Consolas" w:hAnsi="Consolas"/>
          <w:color w:val="A03030"/>
          <w:sz w:val="18"/>
        </w:rPr>
        <w:t>coastal_nodes.py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Native counterpart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Convention enforced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geom_id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node.geom_id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'_flood_plain'</w:t>
            </w:r>
            <w:r>
              <w:t xml:space="preserve"> suffix (native node filtering)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node.n</w:t>
            </w:r>
          </w:p>
        </w:tc>
        <w:tc>
          <w:tcPr>
            <w:tcW w:type="dxa" w:w="2880"/>
          </w:tcPr>
          <w:p>
            <w:r>
              <w:t>residential household count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property_value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node.property_value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max_pot_dmg</w:t>
            </w:r>
            <w:r>
              <w:t>, float64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damages_coastal_cells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node.damages_coastal_cells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events-first</w:t>
            </w:r>
            <w:r>
              <w:t xml:space="preserve"> </w:t>
            </w:r>
            <w:r>
              <w:rPr>
                <w:rFonts w:ascii="Consolas" w:hAnsi="Consolas"/>
                <w:color w:val="A03030"/>
                <w:sz w:val="18"/>
              </w:rPr>
              <w:t>(n_events, n)</w:t>
            </w:r>
            <w:r>
              <w:t xml:space="preserve"> no-measures damages @ SLR_t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damages_coastal_cells_adapt</w:t>
            </w:r>
          </w:p>
        </w:tc>
        <w:tc>
          <w:tcPr>
            <w:tcW w:type="dxa" w:w="2880"/>
          </w:tcPr>
          <w:p>
            <w:r>
              <w:t>(floodproof strategy)</w:t>
            </w:r>
          </w:p>
        </w:tc>
        <w:tc>
          <w:tcPr>
            <w:tcW w:type="dxa" w:w="2880"/>
          </w:tcPr>
          <w:p>
            <w:r>
              <w:t xml:space="preserve">events-first </w:t>
            </w:r>
            <w:r>
              <w:rPr>
                <w:rFonts w:ascii="Consolas" w:hAnsi="Consolas"/>
                <w:color w:val="A03030"/>
                <w:sz w:val="18"/>
              </w:rPr>
              <w:t>(n_events, 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p_floods</w:t>
            </w:r>
          </w:p>
        </w:tc>
        <w:tc>
          <w:tcPr>
            <w:tcW w:type="dxa" w:w="2880"/>
          </w:tcPr>
          <w:p>
            <w:r>
              <w:t>exceedance probabilities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= freq = 1/RP</w:t>
            </w:r>
            <w:r>
              <w:t>, ascending-sortable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adapt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time_adapt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node.adapt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node.time_adapt</w:t>
            </w:r>
          </w:p>
        </w:tc>
        <w:tc>
          <w:tcPr>
            <w:tcW w:type="dxa" w:w="2880"/>
          </w:tcPr>
          <w:p>
            <w:r>
              <w:t>int8 / int32 (native stores ints)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object_ids</w:t>
            </w:r>
          </w:p>
        </w:tc>
        <w:tc>
          <w:tcPr>
            <w:tcW w:type="dxa" w:w="2880"/>
          </w:tcPr>
          <w:p>
            <w:r>
              <w:t>— (join key)</w:t>
            </w:r>
          </w:p>
        </w:tc>
        <w:tc>
          <w:tcPr>
            <w:tcW w:type="dxa" w:w="2880"/>
          </w:tcPr>
          <w:p>
            <w:r>
              <w:t>preserves lookup-table ↔ state row order</w:t>
            </w:r>
          </w:p>
        </w:tc>
      </w:tr>
    </w:tbl>
    <w:p/>
    <w:p>
      <w:pPr>
        <w:pStyle w:val="Heading3"/>
      </w:pPr>
      <w:r>
        <w:t>3.2 Forward and reverse mapping</w:t>
      </w:r>
    </w:p>
    <w:p>
      <w:r>
        <w:rPr>
          <w:rFonts w:ascii="Consolas" w:hAnsi="Consolas"/>
          <w:sz w:val="18"/>
        </w:rPr>
        <w:t>LookupTableAdapter(engine)</w:t>
        <w:br/>
        <w:t xml:space="preserve">  .populate(slr_value)   FloodAdapt -&gt; node : engine.prepare_damages(SLR_t)</w:t>
        <w:br/>
        <w:t xml:space="preserve">                         via the validated interpolation kernel, transposed</w:t>
        <w:br/>
        <w:t xml:space="preserve">                         to the native events-first layout; economics and</w:t>
        <w:br/>
        <w:t xml:space="preserve">                         current adapt/time_adapt read from live AgentState</w:t>
        <w:br/>
        <w:t xml:space="preserve">  .write_back(node)      node -&gt; FloodAdapt : node.adapt / node.time_adapt</w:t>
        <w:br/>
        <w:t xml:space="preserve">                         routed into AgentState, guarded by size and</w:t>
        <w:br/>
        <w:t xml:space="preserve">                         object_id-order checks (raises on misalignment)</w:t>
      </w:r>
    </w:p>
    <w:p>
      <w:r>
        <w:t xml:space="preserve">This pair is the </w:t>
      </w:r>
      <w:r>
        <w:rPr>
          <w:b/>
        </w:rPr>
        <w:t>reverse-coupling heartbeat</w:t>
      </w:r>
      <w:r>
        <w:t xml:space="preserve">: damages flow FloodAdapt → DYNAMO-M, decisions flow back. In 4b-full, </w:t>
      </w:r>
      <w:r>
        <w:rPr>
          <w:rFonts w:ascii="Consolas" w:hAnsi="Consolas"/>
          <w:color w:val="A03030"/>
          <w:sz w:val="18"/>
        </w:rPr>
        <w:t>populate()</w:t>
      </w:r>
      <w:r>
        <w:t xml:space="preserve">'s logic moves inside the native per-tick data path and </w:t>
      </w:r>
      <w:r>
        <w:rPr>
          <w:rFonts w:ascii="Consolas" w:hAnsi="Consolas"/>
          <w:color w:val="A03030"/>
          <w:sz w:val="18"/>
        </w:rPr>
        <w:t>write_back()</w:t>
      </w:r>
      <w:r>
        <w:t xml:space="preserve">'s logic becomes the node-state update after </w:t>
      </w:r>
      <w:r>
        <w:rPr>
          <w:rFonts w:ascii="Consolas" w:hAnsi="Consolas"/>
          <w:color w:val="A03030"/>
          <w:sz w:val="18"/>
        </w:rPr>
        <w:t>DynamoLiveRule.should_adapt</w:t>
      </w:r>
      <w:r>
        <w:t>.</w:t>
      </w:r>
    </w:p>
    <w:p>
      <w:pPr>
        <w:pStyle w:val="Heading3"/>
      </w:pPr>
      <w:r>
        <w:t>3.3 The executable contract (PRE.4 gate)</w:t>
      </w:r>
    </w:p>
    <w:p>
      <w:r>
        <w:rPr>
          <w:rFonts w:ascii="Consolas" w:hAnsi="Consolas"/>
          <w:color w:val="A03030"/>
          <w:sz w:val="18"/>
        </w:rPr>
        <w:t>round_trip_check(engine, slr)</w:t>
      </w:r>
      <w:r>
        <w:t xml:space="preserve"> asserts, on the frozen synthetic population:</w:t>
      </w:r>
    </w:p>
    <w:p>
      <w:pPr>
        <w:pStyle w:val="ListBullet"/>
      </w:pPr>
      <w:r>
        <w:t xml:space="preserve">every forward-mapped array is </w:t>
      </w:r>
      <w:r>
        <w:rPr>
          <w:b/>
        </w:rPr>
        <w:t>bit-identical</w:t>
      </w:r>
      <w:r>
        <w:t xml:space="preserve"> to its engine source (damages via transpose round-trip, </w:t>
      </w:r>
      <w:r>
        <w:rPr>
          <w:rFonts w:ascii="Consolas" w:hAnsi="Consolas"/>
          <w:color w:val="A03030"/>
          <w:sz w:val="18"/>
        </w:rPr>
        <w:t>property_value</w:t>
      </w:r>
      <w:r>
        <w:t xml:space="preserve">, </w:t>
      </w:r>
      <w:r>
        <w:rPr>
          <w:rFonts w:ascii="Consolas" w:hAnsi="Consolas"/>
          <w:color w:val="A03030"/>
          <w:sz w:val="18"/>
        </w:rPr>
        <w:t>p_floods</w:t>
      </w:r>
      <w:r>
        <w:t xml:space="preserve">, </w:t>
      </w:r>
      <w:r>
        <w:rPr>
          <w:rFonts w:ascii="Consolas" w:hAnsi="Consolas"/>
          <w:color w:val="A03030"/>
          <w:sz w:val="18"/>
        </w:rPr>
        <w:t>object_ids</w:t>
      </w:r>
      <w:r>
        <w:t xml:space="preserve">, </w:t>
      </w:r>
      <w:r>
        <w:rPr>
          <w:rFonts w:ascii="Consolas" w:hAnsi="Consolas"/>
          <w:color w:val="A03030"/>
          <w:sz w:val="18"/>
        </w:rPr>
        <w:t>adapt</w:t>
      </w:r>
      <w:r>
        <w:t>);</w:t>
      </w:r>
    </w:p>
    <w:p>
      <w:pPr>
        <w:pStyle w:val="ListBullet"/>
      </w:pPr>
      <w:r>
        <w:rPr>
          <w:rFonts w:ascii="Consolas" w:hAnsi="Consolas"/>
          <w:color w:val="A03030"/>
          <w:sz w:val="18"/>
        </w:rPr>
        <w:t>write_back</w:t>
      </w:r>
      <w:r>
        <w:t xml:space="preserve"> restores a mutated adaptation state </w:t>
      </w:r>
      <w:r>
        <w:rPr>
          <w:b/>
        </w:rPr>
        <w:t>exactly</w:t>
      </w:r>
      <w:r>
        <w:t>;</w:t>
      </w:r>
    </w:p>
    <w:p>
      <w:pPr>
        <w:pStyle w:val="ListBullet"/>
      </w:pPr>
      <w:r>
        <w:t xml:space="preserve">all populated arrays are </w:t>
      </w:r>
      <w:r>
        <w:rPr>
          <w:b/>
        </w:rPr>
        <w:t>copies</w:t>
      </w:r>
      <w:r>
        <w:t xml:space="preserve"> (mutating the node never touches engine data);</w:t>
      </w:r>
    </w:p>
    <w:p>
      <w:pPr>
        <w:pStyle w:val="ListBullet"/>
      </w:pPr>
      <w:r>
        <w:t xml:space="preserve">end-to-end: interleaving </w:t>
      </w:r>
      <w:r>
        <w:rPr>
          <w:rFonts w:ascii="Consolas" w:hAnsi="Consolas"/>
          <w:color w:val="A03030"/>
          <w:sz w:val="18"/>
        </w:rPr>
        <w:t>populate → write_back</w:t>
      </w:r>
      <w:r>
        <w:t xml:space="preserve"> before every </w:t>
      </w:r>
      <w:r>
        <w:rPr>
          <w:rFonts w:ascii="Consolas" w:hAnsi="Consolas"/>
          <w:color w:val="A03030"/>
          <w:sz w:val="18"/>
        </w:rPr>
        <w:t>engine.step()</w:t>
      </w:r>
      <w:r>
        <w:t xml:space="preserve"> over a 5-year run leaves </w:t>
      </w:r>
      <w:r>
        <w:rPr>
          <w:rFonts w:ascii="Consolas" w:hAnsi="Consolas"/>
          <w:color w:val="A03030"/>
          <w:sz w:val="18"/>
        </w:rPr>
        <w:t>is_adapted</w:t>
      </w:r>
      <w:r>
        <w:t xml:space="preserve"> / </w:t>
      </w:r>
      <w:r>
        <w:rPr>
          <w:rFonts w:ascii="Consolas" w:hAnsi="Consolas"/>
          <w:color w:val="A03030"/>
          <w:sz w:val="18"/>
        </w:rPr>
        <w:t>time_adapted</w:t>
      </w:r>
      <w:r>
        <w:t xml:space="preserve"> / </w:t>
      </w:r>
      <w:r>
        <w:rPr>
          <w:rFonts w:ascii="Consolas" w:hAnsi="Consolas"/>
          <w:color w:val="A03030"/>
          <w:sz w:val="18"/>
        </w:rPr>
        <w:t>risk_perception</w:t>
      </w:r>
      <w:r>
        <w:t xml:space="preserve"> bit-identical to a direct run — the adapter is pure plumbing.</w:t>
      </w:r>
    </w:p>
    <w:p>
      <w:r>
        <w:rPr>
          <w:b/>
        </w:rPr>
        <w:t>Gate status: implemented + tests authored; pytest execution pending on the dev machine / CI</w:t>
      </w:r>
      <w:r>
        <w:t xml:space="preserve"> (this workstation has no Python interpreter).</w:t>
      </w:r>
    </w:p>
    <w:p>
      <w:pPr>
        <w:pStyle w:val="Heading2"/>
      </w:pPr>
      <w:r>
        <w:t>4. The staleness guard (PRE.3)</w:t>
      </w:r>
    </w:p>
    <w:p>
      <w:r>
        <w:rPr>
          <w:rFonts w:ascii="Consolas" w:hAnsi="Consolas"/>
          <w:color w:val="A03030"/>
          <w:sz w:val="18"/>
        </w:rPr>
        <w:t>SimulationEngine</w:t>
      </w:r>
      <w:r>
        <w:t xml:space="preserve"> gains a monotonic </w:t>
      </w:r>
      <w:r>
        <w:rPr>
          <w:rFonts w:ascii="Consolas" w:hAnsi="Consolas"/>
          <w:color w:val="A03030"/>
          <w:sz w:val="18"/>
        </w:rPr>
        <w:t>state_epoch</w:t>
      </w:r>
      <w:r>
        <w:t xml:space="preserve">, bumped by every </w:t>
      </w:r>
      <w:r>
        <w:rPr>
          <w:rFonts w:ascii="Consolas" w:hAnsi="Consolas"/>
          <w:color w:val="A03030"/>
          <w:sz w:val="18"/>
        </w:rPr>
        <w:t>reset_state()</w:t>
      </w:r>
      <w:r>
        <w:t xml:space="preserve">. </w:t>
      </w:r>
      <w:r>
        <w:rPr>
          <w:rFonts w:ascii="Consolas" w:hAnsi="Consolas"/>
          <w:color w:val="A03030"/>
          <w:sz w:val="18"/>
        </w:rPr>
        <w:t>FloodAdaptSLRModel</w:t>
      </w:r>
      <w:r>
        <w:t xml:space="preserve"> records the epoch it claims at construction; </w:t>
      </w:r>
      <w:r>
        <w:rPr>
          <w:rFonts w:ascii="Consolas" w:hAnsi="Consolas"/>
          <w:color w:val="A03030"/>
          <w:sz w:val="18"/>
        </w:rPr>
        <w:t>CoastalNodePopulation.step()</w:t>
      </w:r>
      <w:r>
        <w:t xml:space="preserve"> verifies it and raises </w:t>
      </w:r>
      <w:r>
        <w:rPr>
          <w:rFonts w:ascii="Consolas" w:hAnsi="Consolas"/>
          <w:color w:val="A03030"/>
          <w:sz w:val="18"/>
        </w:rPr>
        <w:t>RuntimeError</w:t>
      </w:r>
      <w:r>
        <w:t xml:space="preserve"> when stale (a newer model, or </w:t>
      </w:r>
      <w:r>
        <w:rPr>
          <w:rFonts w:ascii="Consolas" w:hAnsi="Consolas"/>
          <w:color w:val="A03030"/>
          <w:sz w:val="18"/>
        </w:rPr>
        <w:t>engine.run()</w:t>
      </w:r>
      <w:r>
        <w:t xml:space="preserve">, has replaced the shared </w:t>
      </w:r>
      <w:r>
        <w:rPr>
          <w:rFonts w:ascii="Consolas" w:hAnsi="Consolas"/>
          <w:color w:val="A03030"/>
          <w:sz w:val="18"/>
        </w:rPr>
        <w:t>AgentState</w:t>
      </w:r>
      <w:r>
        <w:t xml:space="preserve">). Rationale: 4b-full will instantiate model objects around a shared engine repeatedly during wiring — without the guard, a stale driver silently corrupts the new owner's state, producing exactly the unattributable numerical drift the bit-parity methodology exists to prevent. </w:t>
      </w:r>
      <w:r>
        <w:rPr>
          <w:rFonts w:ascii="Consolas" w:hAnsi="Consolas"/>
          <w:color w:val="A03030"/>
          <w:sz w:val="18"/>
        </w:rPr>
        <w:t>run_mesa_native()</w:t>
      </w:r>
      <w:r>
        <w:t xml:space="preserve"> is unaffected (sequential models), so the 4b gate semantics are unchanged.</w:t>
      </w:r>
    </w:p>
    <w:p>
      <w:pPr>
        <w:pStyle w:val="Heading2"/>
      </w:pPr>
      <w:r>
        <w:t>5. Environment instrumentation (PRE.1, PRE.2)</w:t>
      </w:r>
    </w:p>
    <w:p>
      <w:r>
        <w:rPr>
          <w:b/>
        </w:rPr>
        <w:t>PRE.1 — `verification/preflight_4b_full/`.</w:t>
      </w:r>
      <w:r>
        <w:t xml:space="preserve"> Throwaway conda env (deliberately unpinned; </w:t>
      </w:r>
      <w:r>
        <w:rPr>
          <w:b/>
        </w:rPr>
        <w:t>pin-after-verify</w:t>
      </w:r>
      <w:r>
        <w:t xml:space="preserve">) plus </w:t>
      </w:r>
      <w:r>
        <w:rPr>
          <w:rFonts w:ascii="Consolas" w:hAnsi="Consolas"/>
          <w:color w:val="A03030"/>
          <w:sz w:val="18"/>
        </w:rPr>
        <w:t>step1_import_test.py</w:t>
      </w:r>
      <w:r>
        <w:t xml:space="preserve">, which checks: </w:t>
      </w:r>
      <w:r>
        <w:rPr>
          <w:rFonts w:ascii="Consolas" w:hAnsi="Consolas"/>
          <w:color w:val="A03030"/>
          <w:sz w:val="18"/>
        </w:rPr>
        <w:t>mesa</w:t>
      </w:r>
      <w:r>
        <w:t xml:space="preserve"> import, </w:t>
      </w:r>
      <w:r>
        <w:rPr>
          <w:rFonts w:ascii="Consolas" w:hAnsi="Consolas"/>
          <w:color w:val="A03030"/>
          <w:sz w:val="18"/>
        </w:rPr>
        <w:t>honeybees</w:t>
      </w:r>
      <w:r>
        <w:t xml:space="preserve"> import + </w:t>
      </w:r>
      <w:r>
        <w:rPr>
          <w:rFonts w:ascii="Consolas" w:hAnsi="Consolas"/>
          <w:color w:val="A03030"/>
          <w:sz w:val="18"/>
        </w:rPr>
        <w:t>honeybees.model.Model</w:t>
      </w:r>
      <w:r>
        <w:t xml:space="preserve"> subclassability, DYNAMO-M </w:t>
      </w:r>
      <w:r>
        <w:rPr>
          <w:rFonts w:ascii="Consolas" w:hAnsi="Consolas"/>
          <w:color w:val="A03030"/>
          <w:sz w:val="18"/>
        </w:rPr>
        <w:t>decision_module</w:t>
      </w:r>
      <w:r>
        <w:t xml:space="preserve"> import via </w:t>
      </w:r>
      <w:r>
        <w:rPr>
          <w:rFonts w:ascii="Consolas" w:hAnsi="Consolas"/>
          <w:color w:val="A03030"/>
          <w:sz w:val="18"/>
        </w:rPr>
        <w:t>DYNAMO_M_PATH</w:t>
      </w:r>
      <w:r>
        <w:t xml:space="preserve">, the Phase-4a stub </w:t>
      </w:r>
      <w:r>
        <w:rPr>
          <w:rFonts w:ascii="Consolas" w:hAnsi="Consolas"/>
          <w:color w:val="A03030"/>
          <w:sz w:val="18"/>
        </w:rPr>
        <w:t>DecisionModule(agents=None, model=&lt;stub&gt;)</w:t>
      </w:r>
      <w:r>
        <w:t xml:space="preserve"> instantiation re-proven in the new env, and </w:t>
      </w:r>
      <w:r>
        <w:rPr>
          <w:rFonts w:ascii="Consolas" w:hAnsi="Consolas"/>
          <w:color w:val="A03030"/>
          <w:sz w:val="18"/>
        </w:rPr>
        <w:t>model.py</w:t>
      </w:r>
      <w:r>
        <w:t xml:space="preserve"> importability. Writes </w:t>
      </w:r>
      <w:r>
        <w:rPr>
          <w:rFonts w:ascii="Consolas" w:hAnsi="Consolas"/>
          <w:color w:val="A03030"/>
          <w:sz w:val="18"/>
        </w:rPr>
        <w:t>step1_report.md</w:t>
      </w:r>
      <w:r>
        <w:t xml:space="preserve"> / </w:t>
      </w:r>
      <w:r>
        <w:rPr>
          <w:rFonts w:ascii="Consolas" w:hAnsi="Consolas"/>
          <w:color w:val="A03030"/>
          <w:sz w:val="18"/>
        </w:rPr>
        <w:t>step1_versions.json</w:t>
      </w:r>
      <w:r>
        <w:t xml:space="preserve">; exit code = gate. </w:t>
      </w:r>
      <w:r>
        <w:rPr>
          <w:b/>
        </w:rPr>
        <w:t>Run this before 4b-full step 2; pin the recorded versions.</w:t>
      </w:r>
    </w:p>
    <w:p>
      <w:r>
        <w:rPr>
          <w:b/>
        </w:rPr>
        <w:t>PRE.2 — `verification/real_table_gate/`.</w:t>
      </w:r>
      <w:r>
        <w:t xml:space="preserve"> Runs </w:t>
      </w:r>
      <w:r>
        <w:rPr>
          <w:rFonts w:ascii="Consolas" w:hAnsi="Consolas"/>
          <w:color w:val="A03030"/>
          <w:sz w:val="18"/>
        </w:rPr>
        <w:t>engine.run</w:t>
      </w:r>
      <w:r>
        <w:t xml:space="preserve"> vs </w:t>
      </w:r>
      <w:r>
        <w:rPr>
          <w:rFonts w:ascii="Consolas" w:hAnsi="Consolas"/>
          <w:color w:val="A03030"/>
          <w:sz w:val="18"/>
        </w:rPr>
        <w:t>run_mesa_native</w:t>
      </w:r>
      <w:r>
        <w:t xml:space="preserve"> </w:t>
      </w:r>
      <w:r>
        <w:rPr>
          <w:b/>
        </w:rPr>
        <w:t>bit-parity at real scale</w:t>
      </w:r>
      <w:r>
        <w:t xml:space="preserve"> (61,858 objects × 207 events) with wall-time and tracemalloc peak per run, a per-tick </w:t>
      </w:r>
      <w:r>
        <w:rPr>
          <w:rFonts w:ascii="Consolas" w:hAnsi="Consolas"/>
          <w:color w:val="A03030"/>
          <w:sz w:val="18"/>
        </w:rPr>
        <w:t>engine.step()</w:t>
      </w:r>
      <w:r>
        <w:t xml:space="preserve"> profile (the hot path 4b-full inherits), and an optional </w:t>
      </w:r>
      <w:r>
        <w:rPr>
          <w:rFonts w:ascii="Consolas" w:hAnsi="Consolas"/>
          <w:color w:val="A03030"/>
          <w:sz w:val="18"/>
        </w:rPr>
        <w:t>DynamoLiveRule</w:t>
      </w:r>
      <w:r>
        <w:t xml:space="preserve"> parity spot-check when DYNAMO-M is importable. Configuration via </w:t>
      </w:r>
      <w:r>
        <w:rPr>
          <w:rFonts w:ascii="Consolas" w:hAnsi="Consolas"/>
          <w:color w:val="A03030"/>
          <w:sz w:val="18"/>
        </w:rPr>
        <w:t>FA_ABM_REAL_TABLE_PATH</w:t>
      </w:r>
      <w:r>
        <w:t xml:space="preserve">, </w:t>
      </w:r>
      <w:r>
        <w:rPr>
          <w:rFonts w:ascii="Consolas" w:hAnsi="Consolas"/>
          <w:color w:val="A03030"/>
          <w:sz w:val="18"/>
        </w:rPr>
        <w:t>FA_ABM_GATE_NO_SEQ</w:t>
      </w:r>
      <w:r>
        <w:t xml:space="preserve">, </w:t>
      </w:r>
      <w:r>
        <w:rPr>
          <w:rFonts w:ascii="Consolas" w:hAnsi="Consolas"/>
          <w:color w:val="A03030"/>
          <w:sz w:val="18"/>
        </w:rPr>
        <w:t>FA_ABM_GATE_YEARS</w:t>
      </w:r>
      <w:r>
        <w:t xml:space="preserve">. If per-tick time is dominated by </w:t>
      </w:r>
      <w:r>
        <w:rPr>
          <w:rFonts w:ascii="Consolas" w:hAnsi="Consolas"/>
          <w:color w:val="A03030"/>
          <w:sz w:val="18"/>
        </w:rPr>
        <w:t>prepare_damages</w:t>
      </w:r>
      <w:r>
        <w:t xml:space="preserve"> interpolation, cache interpolated matrices per unique SLR value </w:t>
      </w:r>
      <w:r>
        <w:rPr>
          <w:b/>
        </w:rPr>
        <w:t>before</w:t>
      </w:r>
      <w:r>
        <w:t xml:space="preserve"> 4b-full.</w:t>
      </w:r>
    </w:p>
    <w:p>
      <w:r>
        <w:t xml:space="preserve">Both kits are </w:t>
      </w:r>
      <w:r>
        <w:rPr>
          <w:b/>
        </w:rPr>
        <w:t>prepared, not executed</w:t>
      </w:r>
      <w:r>
        <w:t xml:space="preserve"> on this workstation (no Python, no DYNAMO-M checkout, no real </w:t>
      </w:r>
      <w:r>
        <w:rPr>
          <w:rFonts w:ascii="Consolas" w:hAnsi="Consolas"/>
          <w:color w:val="A03030"/>
          <w:sz w:val="18"/>
        </w:rPr>
        <w:t>.nc</w:t>
      </w:r>
      <w:r>
        <w:t>); their READMEs state this and give exact commands.</w:t>
      </w:r>
    </w:p>
    <w:p>
      <w:pPr>
        <w:pStyle w:val="Heading2"/>
      </w:pPr>
      <w:r>
        <w:t>6. 4b-full execution plan (steps 2–6, entered only after 4b-pre gates close)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Builds 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 xml:space="preserve">Populate </w:t>
            </w:r>
            <w:r>
              <w:rPr>
                <w:rFonts w:ascii="Consolas" w:hAnsi="Consolas"/>
                <w:color w:val="A03030"/>
                <w:sz w:val="18"/>
              </w:rPr>
              <w:t>SLRModel</w:t>
            </w:r>
            <w:r>
              <w:t xml:space="preserve">: </w:t>
            </w:r>
            <w:r>
              <w:rPr>
                <w:rFonts w:ascii="Consolas" w:hAnsi="Consolas"/>
                <w:color w:val="A03030"/>
                <w:sz w:val="18"/>
              </w:rPr>
              <w:t>config_path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settings_path</w:t>
            </w:r>
            <w:r>
              <w:t xml:space="preserve">, geojson </w:t>
            </w:r>
            <w:r>
              <w:rPr>
                <w:rFonts w:ascii="Consolas" w:hAnsi="Consolas"/>
                <w:color w:val="A03030"/>
                <w:sz w:val="18"/>
              </w:rPr>
              <w:t>study_area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args</w:t>
            </w:r>
            <w:r>
              <w:t xml:space="preserve">; instantiate </w:t>
            </w:r>
            <w:r>
              <w:rPr>
                <w:rFonts w:ascii="Consolas" w:hAnsi="Consolas"/>
                <w:color w:val="A03030"/>
                <w:sz w:val="18"/>
              </w:rPr>
              <w:t>Data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FloodRisk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CoastalAmenities</w:t>
            </w:r>
          </w:p>
        </w:tc>
        <w:tc>
          <w:tcPr>
            <w:tcW w:type="dxa" w:w="2160"/>
          </w:tcPr>
          <w:p>
            <w:r>
              <w:t>PRE.1 (pinned env)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SLRModel()</w:t>
            </w:r>
            <w:r>
              <w:t xml:space="preserve"> succeeds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 xml:space="preserve">Port </w:t>
            </w:r>
            <w:r>
              <w:rPr>
                <w:rFonts w:ascii="Consolas" w:hAnsi="Consolas"/>
                <w:color w:val="A03030"/>
                <w:sz w:val="18"/>
              </w:rPr>
              <w:t>LookupTableAdapter.populate()</w:t>
            </w:r>
            <w:r>
              <w:t xml:space="preserve"> into the native per-tick data path (</w:t>
            </w:r>
            <w:r>
              <w:rPr>
                <w:rFonts w:ascii="Consolas" w:hAnsi="Consolas"/>
                <w:color w:val="A03030"/>
                <w:sz w:val="18"/>
              </w:rPr>
              <w:t>object_id ↔ CoastalNode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property_value ↔ node.wealth</w:t>
            </w:r>
            <w:r>
              <w:t>, per-event damages → node arrays)</w:t>
            </w:r>
          </w:p>
        </w:tc>
        <w:tc>
          <w:tcPr>
            <w:tcW w:type="dxa" w:w="2160"/>
          </w:tcPr>
          <w:p>
            <w:r>
              <w:t>PRE.4 (contract-tested prototype)</w:t>
            </w:r>
          </w:p>
        </w:tc>
        <w:tc>
          <w:tcPr>
            <w:tcW w:type="dxa" w:w="2160"/>
          </w:tcPr>
          <w:p>
            <w:r>
              <w:t>node arrays reproduce the prototype bit-for-bit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 xml:space="preserve">Route decisions: </w:t>
            </w:r>
            <w:r>
              <w:rPr>
                <w:rFonts w:ascii="Consolas" w:hAnsi="Consolas"/>
                <w:color w:val="A03030"/>
                <w:sz w:val="18"/>
              </w:rPr>
              <w:t>CoastalNode.step()</w:t>
            </w:r>
            <w:r>
              <w:t xml:space="preserve"> → </w:t>
            </w:r>
            <w:r>
              <w:rPr>
                <w:rFonts w:ascii="Consolas" w:hAnsi="Consolas"/>
                <w:color w:val="A03030"/>
                <w:sz w:val="18"/>
              </w:rPr>
              <w:t>DynamoLiveRule.should_adapt</w:t>
            </w:r>
            <w:r>
              <w:t xml:space="preserve"> → node state (</w:t>
            </w:r>
            <w:r>
              <w:rPr>
                <w:rFonts w:ascii="Consolas" w:hAnsi="Consolas"/>
                <w:color w:val="A03030"/>
                <w:sz w:val="18"/>
              </w:rPr>
              <w:t>write_back</w:t>
            </w:r>
            <w:r>
              <w:t xml:space="preserve"> semantics)</w:t>
            </w:r>
          </w:p>
        </w:tc>
        <w:tc>
          <w:tcPr>
            <w:tcW w:type="dxa" w:w="2160"/>
          </w:tcPr>
          <w:p>
            <w:r>
              <w:t>PRE.4, Phase 4a</w:t>
            </w:r>
          </w:p>
        </w:tc>
        <w:tc>
          <w:tcPr>
            <w:tcW w:type="dxa" w:w="2160"/>
          </w:tcPr>
          <w:p>
            <w:r>
              <w:t>decisions recorded in native arrays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 xml:space="preserve">Integrate sub-systems: gravity CWD, </w:t>
            </w:r>
            <w:r>
              <w:rPr>
                <w:rFonts w:ascii="Consolas" w:hAnsi="Consolas"/>
                <w:color w:val="A03030"/>
                <w:sz w:val="18"/>
              </w:rPr>
              <w:t>spin_up_flag</w:t>
            </w:r>
            <w:r>
              <w:t xml:space="preserve">, low-memory </w:t>
            </w:r>
            <w:r>
              <w:rPr>
                <w:rFonts w:ascii="Consolas" w:hAnsi="Consolas"/>
                <w:color w:val="A03030"/>
                <w:sz w:val="18"/>
              </w:rPr>
              <w:t>.npz</w:t>
            </w:r>
            <w:r>
              <w:t xml:space="preserve"> paging, </w:t>
            </w:r>
            <w:r>
              <w:rPr>
                <w:rFonts w:ascii="Consolas" w:hAnsi="Consolas"/>
                <w:color w:val="A03030"/>
                <w:sz w:val="18"/>
              </w:rPr>
              <w:t>geom_id '_flood_plain'</w:t>
            </w:r>
            <w:r>
              <w:t xml:space="preserve"> filtering, reporter</w:t>
            </w:r>
          </w:p>
        </w:tc>
        <w:tc>
          <w:tcPr>
            <w:tcW w:type="dxa" w:w="2160"/>
          </w:tcPr>
          <w:p>
            <w:r>
              <w:t>PRE.2 (scale profile)</w:t>
            </w:r>
          </w:p>
        </w:tc>
        <w:tc>
          <w:tcPr>
            <w:tcW w:type="dxa" w:w="2160"/>
          </w:tcPr>
          <w:p>
            <w:r>
              <w:t>all sub-step logic runs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4b-full gate:</w:t>
            </w:r>
            <w:r>
              <w:t xml:space="preserve"> 4b-full ≡ 4b-scaffold bit-for-bit on a deterministic node population</w:t>
            </w:r>
          </w:p>
        </w:tc>
        <w:tc>
          <w:tcPr>
            <w:tcW w:type="dxa" w:w="2160"/>
          </w:tcPr>
          <w:p>
            <w:r>
              <w:t>everything above</w:t>
            </w:r>
          </w:p>
        </w:tc>
        <w:tc>
          <w:tcPr>
            <w:tcW w:type="dxa" w:w="2160"/>
          </w:tcPr>
          <w:p>
            <w:r>
              <w:t>bit-parity PASS</w:t>
            </w:r>
          </w:p>
        </w:tc>
      </w:tr>
    </w:tbl>
    <w:p/>
    <w:p>
      <w:r>
        <w:t>Estimated 20–40 h of infrastructure wiring; no new science. Every headline risk (version drift, scale, adapter correctness, shared-state corruption) is retired or instrumented by 4b-pre.</w:t>
      </w:r>
    </w:p>
    <w:p>
      <w:pPr>
        <w:pStyle w:val="Heading2"/>
      </w:pPr>
      <w:r>
        <w:t>7. Verification &amp; traceability</w:t>
      </w:r>
    </w:p>
    <w:p>
      <w:pPr>
        <w:pStyle w:val="ListBullet"/>
      </w:pPr>
      <w:r>
        <w:t xml:space="preserve">One git commit per task: PRE.3 </w:t>
      </w:r>
      <w:r>
        <w:rPr>
          <w:rFonts w:ascii="Consolas" w:hAnsi="Consolas"/>
          <w:color w:val="A03030"/>
          <w:sz w:val="18"/>
        </w:rPr>
        <w:t>7ceb144</w:t>
      </w:r>
      <w:r>
        <w:t xml:space="preserve">, PRE.4 </w:t>
      </w:r>
      <w:r>
        <w:rPr>
          <w:rFonts w:ascii="Consolas" w:hAnsi="Consolas"/>
          <w:color w:val="A03030"/>
          <w:sz w:val="18"/>
        </w:rPr>
        <w:t>1cb7862</w:t>
      </w:r>
      <w:r>
        <w:t xml:space="preserve">, PRE.1+2 </w:t>
      </w:r>
      <w:r>
        <w:rPr>
          <w:rFonts w:ascii="Consolas" w:hAnsi="Consolas"/>
          <w:color w:val="A03030"/>
          <w:sz w:val="18"/>
        </w:rPr>
        <w:t>fdaf257</w:t>
      </w:r>
      <w:r>
        <w:t xml:space="preserve"> (plus HYG commits — see </w:t>
      </w:r>
      <w:r>
        <w:rPr>
          <w:rFonts w:ascii="Consolas" w:hAnsi="Consolas"/>
          <w:color w:val="A03030"/>
          <w:sz w:val="18"/>
        </w:rPr>
        <w:t>20260709_performed_tasks.md</w:t>
      </w:r>
      <w:r>
        <w:t xml:space="preserve"> §2).</w:t>
      </w:r>
    </w:p>
    <w:p>
      <w:pPr>
        <w:pStyle w:val="ListBullet"/>
      </w:pPr>
      <w:r>
        <w:t>New tests authored: 4 (staleness guard) + 10 (adapter) = 14, alongside the 104 existing; CI (</w:t>
      </w:r>
      <w:r>
        <w:rPr>
          <w:rFonts w:ascii="Consolas" w:hAnsi="Consolas"/>
          <w:color w:val="A03030"/>
          <w:sz w:val="18"/>
        </w:rPr>
        <w:t>.github/workflows/ci.yml</w:t>
      </w:r>
      <w:r>
        <w:t>) executes the full suite + the Phase-4b harness on every push.</w:t>
      </w:r>
    </w:p>
    <w:p>
      <w:pPr>
        <w:pStyle w:val="ListBullet"/>
      </w:pPr>
      <w:r>
        <w:t xml:space="preserve">Open item </w:t>
      </w:r>
      <w:r>
        <w:rPr>
          <w:b/>
        </w:rPr>
        <w:t>VER.1</w:t>
      </w:r>
      <w:r>
        <w:t xml:space="preserve">: re-run the V1–V6 battery on </w:t>
      </w:r>
      <w:r>
        <w:rPr>
          <w:rFonts w:ascii="Consolas" w:hAnsi="Consolas"/>
          <w:color w:val="A03030"/>
          <w:sz w:val="18"/>
        </w:rPr>
        <w:t>SimulationEngine</w:t>
      </w:r>
      <w:r>
        <w:t xml:space="preserve"> + </w:t>
      </w:r>
      <w:r>
        <w:rPr>
          <w:rFonts w:ascii="Consolas" w:hAnsi="Consolas"/>
          <w:color w:val="A03030"/>
          <w:sz w:val="18"/>
        </w:rPr>
        <w:t>SEURule</w:t>
      </w:r>
      <w:r>
        <w:t xml:space="preserve"> (the vendored Phase-1 battery validated the original bridge path; its V5 "GAP" verdict predates the Phase-3 lifespan fix).</w:t>
      </w:r>
    </w:p>
    <w:p>
      <w:pPr>
        <w:pStyle w:val="Heading2"/>
      </w:pPr>
      <w:r>
        <w:t>8. Key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A03030"/>
                <w:sz w:val="18"/>
              </w:rPr>
              <w:t>floodadapt_abm/coastal_node_adapter.py</w:t>
            </w:r>
          </w:p>
        </w:tc>
        <w:tc>
          <w:tcPr>
            <w:tcW w:type="dxa" w:w="4320"/>
          </w:tcPr>
          <w:p>
            <w:r>
              <w:t>PRE.4 adapter prototype (</w:t>
            </w:r>
            <w:r>
              <w:rPr>
                <w:rFonts w:ascii="Consolas" w:hAnsi="Consolas"/>
                <w:color w:val="A03030"/>
                <w:sz w:val="18"/>
              </w:rPr>
              <w:t>CoastalNodeArrays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LookupTableAdapter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round_trip_check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A03030"/>
                <w:sz w:val="18"/>
              </w:rPr>
              <w:t>tests/test_coastal_node_adapter.py</w:t>
            </w:r>
          </w:p>
        </w:tc>
        <w:tc>
          <w:tcPr>
            <w:tcW w:type="dxa" w:w="4320"/>
          </w:tcPr>
          <w:p>
            <w:r>
              <w:t>10 adapter contract tests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A03030"/>
                <w:sz w:val="18"/>
              </w:rPr>
              <w:t>floodadapt_abm/simulation_engine.py</w:t>
            </w:r>
            <w:r>
              <w:t xml:space="preserve"> / </w:t>
            </w:r>
            <w:r>
              <w:rPr>
                <w:rFonts w:ascii="Consolas" w:hAnsi="Consolas"/>
                <w:color w:val="A03030"/>
                <w:sz w:val="18"/>
              </w:rPr>
              <w:t>mesa_native.py</w:t>
            </w:r>
          </w:p>
        </w:tc>
        <w:tc>
          <w:tcPr>
            <w:tcW w:type="dxa" w:w="4320"/>
          </w:tcPr>
          <w:p>
            <w:r>
              <w:t xml:space="preserve">PRE.3 </w:t>
            </w:r>
            <w:r>
              <w:rPr>
                <w:rFonts w:ascii="Consolas" w:hAnsi="Consolas"/>
                <w:color w:val="A03030"/>
                <w:sz w:val="18"/>
              </w:rPr>
              <w:t>state_epoch</w:t>
            </w:r>
            <w:r>
              <w:t xml:space="preserve"> + </w:t>
            </w:r>
            <w:r>
              <w:rPr>
                <w:rFonts w:ascii="Consolas" w:hAnsi="Consolas"/>
                <w:color w:val="A03030"/>
                <w:sz w:val="18"/>
              </w:rPr>
              <w:t>_check_not_stale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A03030"/>
                <w:sz w:val="18"/>
              </w:rPr>
              <w:t>tests/test_mesa_native.py::TestSharedEngineStalenessGuard</w:t>
            </w:r>
          </w:p>
        </w:tc>
        <w:tc>
          <w:tcPr>
            <w:tcW w:type="dxa" w:w="4320"/>
          </w:tcPr>
          <w:p>
            <w:r>
              <w:t>4 guard tests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A03030"/>
                <w:sz w:val="18"/>
              </w:rPr>
              <w:t>verification/preflight_4b_full/</w:t>
            </w:r>
          </w:p>
        </w:tc>
        <w:tc>
          <w:tcPr>
            <w:tcW w:type="dxa" w:w="4320"/>
          </w:tcPr>
          <w:p>
            <w:r>
              <w:t>PRE.1 pin/import kit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A03030"/>
                <w:sz w:val="18"/>
              </w:rPr>
              <w:t>verification/real_table_gate/</w:t>
            </w:r>
          </w:p>
        </w:tc>
        <w:tc>
          <w:tcPr>
            <w:tcW w:type="dxa" w:w="4320"/>
          </w:tcPr>
          <w:p>
            <w:r>
              <w:t>PRE.2 real-table gate + profiler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A03030"/>
                <w:sz w:val="18"/>
              </w:rPr>
              <w:t>docs/20260709_proposed_development_architecture_steps.md</w:t>
            </w:r>
          </w:p>
        </w:tc>
        <w:tc>
          <w:tcPr>
            <w:tcW w:type="dxa" w:w="4320"/>
          </w:tcPr>
          <w:p>
            <w:r>
              <w:t>Task definitions, backlog, phase gates</w:t>
            </w:r>
          </w:p>
        </w:tc>
      </w:tr>
    </w:tbl>
    <w:p/>
    <w:p>
      <w:r>
        <w:t>— End of Phase-4b-full (pre-flight) model documentation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