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FloodAdapt-ABM × DYNAMO-M coupling — Proposed Development Architecture &amp; Steps</w:t>
      </w:r>
    </w:p>
    <w:p>
      <w:r>
        <w:rPr>
          <w:b/>
        </w:rPr>
        <w:t>Date:</w:t>
      </w:r>
      <w:r>
        <w:t xml:space="preserve"> 2026-07-09</w:t>
      </w:r>
    </w:p>
    <w:p>
      <w:r>
        <w:rPr>
          <w:b/>
        </w:rPr>
        <w:t>Status:</w:t>
      </w:r>
      <w:r>
        <w:t xml:space="preserve"> updated proposal — post-Phase-4b review | </w:t>
      </w:r>
      <w:r>
        <w:rPr>
          <w:b/>
        </w:rPr>
        <w:t>Scope:</w:t>
      </w:r>
      <w:r>
        <w:t xml:space="preserve"> 4b-full pre-flight (de-risking) + repo/verification hygiene + 4b-full roadmap</w:t>
      </w:r>
    </w:p>
    <w:p>
      <w:r>
        <w:rPr>
          <w:b/>
        </w:rPr>
        <w:t>Supersedes:</w:t>
      </w:r>
      <w:r>
        <w:t xml:space="preserve"> </w:t>
      </w:r>
      <w:r>
        <w:rPr>
          <w:rFonts w:ascii="Consolas" w:hAnsi="Consolas"/>
          <w:color w:val="A03030"/>
          <w:sz w:val="18"/>
        </w:rPr>
        <w:t>20260708_proposed_development_architecture_steps.docx</w:t>
      </w:r>
      <w:r>
        <w:t xml:space="preserve"> (kept for the historical record)</w:t>
      </w:r>
    </w:p>
    <w:p>
      <w:r>
        <w:t>________________________________________</w:t>
      </w:r>
    </w:p>
    <w:p>
      <w:pPr>
        <w:pStyle w:val="Heading2"/>
      </w:pPr>
      <w:r>
        <w:t>1. Project purpose &amp; repositories (validated recap)</w:t>
      </w:r>
    </w:p>
    <w:p>
      <w:r>
        <w:t>Unchanged from the 20260708 document. Two repositories collaborate to answer one research question: *how do policy incentives and lived flood experience shape household-level adaptation, and hence long-term coastal flood risk, under sea-level rise (SLR)?*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FloodAdapt-ABM</w:t>
            </w:r>
          </w:p>
        </w:tc>
        <w:tc>
          <w:tcPr>
            <w:tcW w:type="dxa" w:w="4320"/>
          </w:tcPr>
          <w:p>
            <w:r>
              <w:t>Lightweight Monte-Carlo simulation engine. Turns a precomputed FloodAdapt (SFINCS+FIAT) impact lookup table into building-level damage time series and adaptation decisions under an SLR scenario.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DYNAMO-M</w:t>
            </w:r>
          </w:p>
        </w:tc>
        <w:tc>
          <w:tcPr>
            <w:tcW w:type="dxa" w:w="4320"/>
          </w:tcPr>
          <w:p>
            <w:r>
              <w:t>Global honeybees/Mesa-style ABM of coastal household migration &amp; adaptation. Supplies the Subjective Expected Utility (SEU) decision science that replaces FloodAdapt-ABM's naive rule.</w:t>
            </w:r>
          </w:p>
        </w:tc>
      </w:tr>
    </w:tbl>
    <w:p/>
    <w:p>
      <w:r>
        <w:t xml:space="preserve">The two stages of FloodAdapt-ABM share exactly one interface: the NetCDF lookup table (dims </w:t>
      </w:r>
      <w:r>
        <w:rPr>
          <w:rFonts w:ascii="Consolas" w:hAnsi="Consolas"/>
          <w:color w:val="A03030"/>
          <w:sz w:val="18"/>
        </w:rPr>
        <w:t>object_id × slr × strategy × event</w:t>
      </w:r>
      <w:r>
        <w:t xml:space="preserve">; vars </w:t>
      </w:r>
      <w:r>
        <w:rPr>
          <w:rFonts w:ascii="Consolas" w:hAnsi="Consolas"/>
          <w:color w:val="A03030"/>
          <w:sz w:val="18"/>
        </w:rPr>
        <w:t>total_damage</w:t>
      </w:r>
      <w:r>
        <w:t xml:space="preserve">, </w:t>
      </w:r>
      <w:r>
        <w:rPr>
          <w:rFonts w:ascii="Consolas" w:hAnsi="Consolas"/>
          <w:color w:val="A03030"/>
          <w:sz w:val="18"/>
        </w:rPr>
        <w:t>inun_depth</w:t>
      </w:r>
      <w:r>
        <w:t xml:space="preserve">; attrs </w:t>
      </w:r>
      <w:r>
        <w:rPr>
          <w:rFonts w:ascii="Consolas" w:hAnsi="Consolas"/>
          <w:color w:val="A03030"/>
          <w:sz w:val="18"/>
        </w:rPr>
        <w:t>max_pot_dmg</w:t>
      </w:r>
      <w:r>
        <w:t xml:space="preserve">, </w:t>
      </w:r>
      <w:r>
        <w:rPr>
          <w:rFonts w:ascii="Consolas" w:hAnsi="Consolas"/>
          <w:color w:val="A03030"/>
          <w:sz w:val="18"/>
        </w:rPr>
        <w:t>freq</w:t>
      </w:r>
      <w:r>
        <w:t xml:space="preserve">, </w:t>
      </w:r>
      <w:r>
        <w:rPr>
          <w:rFonts w:ascii="Consolas" w:hAnsi="Consolas"/>
          <w:color w:val="A03030"/>
          <w:sz w:val="18"/>
        </w:rPr>
        <w:t>primary_object_type</w:t>
      </w:r>
      <w:r>
        <w:t>). This seam remains the backbone of the coupling and must stay stable.</w:t>
      </w:r>
    </w:p>
    <w:p>
      <w:pPr>
        <w:pStyle w:val="Heading2"/>
      </w:pPr>
      <w:r>
        <w:t>2. Objective &amp; MVP scope (recap)</w:t>
      </w:r>
    </w:p>
    <w:p>
      <w:r>
        <w:t xml:space="preserve">Unchanged: replace the reactive 0.3-threshold rule with DYNAMO-M's SEU household decision framework, keeping FloodAdapt-ABM's elevation assumption (adapted households read damages from </w:t>
      </w:r>
      <w:r>
        <w:rPr>
          <w:rFonts w:ascii="Consolas" w:hAnsi="Consolas"/>
          <w:color w:val="A03030"/>
          <w:sz w:val="18"/>
        </w:rPr>
        <w:t>floodproof_all_0</w:t>
      </w:r>
      <w:r>
        <w:t>). IN: residential households, dry-proofing vs do-nothing, SEU with CRRA utility, exceedance-curve integration, risk-perception decay, affordability cap, loan amortisation, 75-year adaptation lifespan. OUT (Phase 5+): insurance, migration + gravity, government/dike CBA. BYPASSED: DYNAMO-M's internal hazard physics.</w:t>
      </w:r>
    </w:p>
    <w:p>
      <w:pPr>
        <w:pStyle w:val="Heading2"/>
      </w:pPr>
      <w:r>
        <w:t>3. Current state assessment (2026-07-09)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Stage-1 lookup table (</w:t>
            </w:r>
            <w:r>
              <w:rPr>
                <w:rFonts w:ascii="Consolas" w:hAnsi="Consolas"/>
                <w:color w:val="A03030"/>
                <w:sz w:val="18"/>
              </w:rPr>
              <w:t>setup_lookup_table.py</w:t>
            </w:r>
            <w:r>
              <w:t>)</w:t>
            </w:r>
          </w:p>
        </w:tc>
        <w:tc>
          <w:tcPr>
            <w:tcW w:type="dxa" w:w="2880"/>
          </w:tcPr>
          <w:p>
            <w:r>
              <w:t>Done / stable</w:t>
            </w:r>
          </w:p>
        </w:tc>
        <w:tc>
          <w:tcPr>
            <w:tcW w:type="dxa" w:w="2880"/>
          </w:tcPr>
          <w:p>
            <w:r>
              <w:t>Unchanged by the coupling. EventSet must be RP-based.</w:t>
            </w:r>
          </w:p>
        </w:tc>
      </w:tr>
      <w:tr>
        <w:tc>
          <w:tcPr>
            <w:tcW w:type="dxa" w:w="2880"/>
          </w:tcPr>
          <w:p>
            <w:r>
              <w:t xml:space="preserve">Unified </w:t>
            </w:r>
            <w:r>
              <w:rPr>
                <w:rFonts w:ascii="Consolas" w:hAnsi="Consolas"/>
                <w:color w:val="A03030"/>
                <w:sz w:val="18"/>
              </w:rPr>
              <w:t>SimulationEngine</w:t>
            </w:r>
            <w:r>
              <w:t xml:space="preserve"> + </w:t>
            </w:r>
            <w:r>
              <w:rPr>
                <w:rFonts w:ascii="Consolas" w:hAnsi="Consolas"/>
                <w:color w:val="A03030"/>
                <w:sz w:val="18"/>
              </w:rPr>
              <w:t>DecisionRule</w:t>
            </w:r>
            <w:r>
              <w:t xml:space="preserve"> (Phases 2+3)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Done, gated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ThresholdRule</w:t>
            </w:r>
            <w:r>
              <w:t xml:space="preserve"> reproduces legacy output bit-for-bit; </w:t>
            </w:r>
            <w:r>
              <w:rPr>
                <w:rFonts w:ascii="Consolas" w:hAnsi="Consolas"/>
                <w:color w:val="A03030"/>
                <w:sz w:val="18"/>
              </w:rPr>
              <w:t>SEURule</w:t>
            </w:r>
            <w:r>
              <w:t xml:space="preserve"> matches the Phase-1 battery; lifespan-dryproof reset implemented and unit-tested (</w:t>
            </w:r>
            <w:r>
              <w:rPr>
                <w:rFonts w:ascii="Consolas" w:hAnsi="Consolas"/>
                <w:color w:val="A03030"/>
                <w:sz w:val="18"/>
              </w:rPr>
              <w:t>lifespan_dryproof=75</w:t>
            </w:r>
            <w:r>
              <w:t xml:space="preserve"> in </w:t>
            </w:r>
            <w:r>
              <w:rPr>
                <w:rFonts w:ascii="Consolas" w:hAnsi="Consolas"/>
                <w:color w:val="A03030"/>
                <w:sz w:val="18"/>
              </w:rPr>
              <w:t>DecisionConfig</w:t>
            </w:r>
            <w:r>
              <w:t xml:space="preserve">; turnover test in </w:t>
            </w:r>
            <w:r>
              <w:rPr>
                <w:rFonts w:ascii="Consolas" w:hAnsi="Consolas"/>
                <w:color w:val="A03030"/>
                <w:sz w:val="18"/>
              </w:rPr>
              <w:t>tests/test_simulation_engine.py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>
              <w:t xml:space="preserve">Phase 4a — </w:t>
            </w:r>
            <w:r>
              <w:rPr>
                <w:rFonts w:ascii="Consolas" w:hAnsi="Consolas"/>
                <w:color w:val="A03030"/>
                <w:sz w:val="18"/>
              </w:rPr>
              <w:t>DynamoLiveRule</w:t>
            </w:r>
            <w:r>
              <w:t xml:space="preserve"> parity oracle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Done, gated</w:t>
            </w:r>
          </w:p>
        </w:tc>
        <w:tc>
          <w:tcPr>
            <w:tcW w:type="dxa" w:w="2880"/>
          </w:tcPr>
          <w:p>
            <w:r>
              <w:t>Gate PASS: decisions identical across 5 configs; worst EU abs diff 1.9e-6, rel 4.8e-7 (tol abs ≤1e-3, rel ≤1e-4).</w:t>
            </w:r>
          </w:p>
        </w:tc>
      </w:tr>
      <w:tr>
        <w:tc>
          <w:tcPr>
            <w:tcW w:type="dxa" w:w="2880"/>
          </w:tcPr>
          <w:p>
            <w:r>
              <w:t>Phase 4b — Mesa-native driving (scaffold)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Done, gated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run_mesa_native == engine.run</w:t>
            </w:r>
            <w:r>
              <w:t xml:space="preserve"> bit-for-bit across 5 cases (SEURule ×3, ThresholdRule ×2). 104/104 tests pass. Examples 01–06 run (exit 0).</w:t>
            </w:r>
          </w:p>
        </w:tc>
      </w:tr>
      <w:tr>
        <w:tc>
          <w:tcPr>
            <w:tcW w:type="dxa" w:w="2880"/>
          </w:tcPr>
          <w:p>
            <w:r>
              <w:t xml:space="preserve">Phase 4b-full — bind real honeybees </w:t>
            </w:r>
            <w:r>
              <w:rPr>
                <w:rFonts w:ascii="Consolas" w:hAnsi="Consolas"/>
                <w:color w:val="A03030"/>
                <w:sz w:val="18"/>
              </w:rPr>
              <w:t>SLRModel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 started</w:t>
            </w:r>
          </w:p>
        </w:tc>
        <w:tc>
          <w:tcPr>
            <w:tcW w:type="dxa" w:w="2880"/>
          </w:tcPr>
          <w:p>
            <w:r>
              <w:t>6-step roadmap (§7.2), est. 20–40 hrs. Pre-flight de-risking tasks added in §7.1.</w:t>
            </w:r>
          </w:p>
        </w:tc>
      </w:tr>
      <w:tr>
        <w:tc>
          <w:tcPr>
            <w:tcW w:type="dxa" w:w="2880"/>
          </w:tcPr>
          <w:p>
            <w:r>
              <w:t>Verification bundle (</w:t>
            </w:r>
            <w:r>
              <w:rPr>
                <w:rFonts w:ascii="Consolas" w:hAnsi="Consolas"/>
                <w:color w:val="A03030"/>
                <w:sz w:val="18"/>
              </w:rPr>
              <w:t>verification_tests/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Valid but incomplete</w:t>
            </w:r>
          </w:p>
        </w:tc>
        <w:tc>
          <w:tcPr>
            <w:tcW w:type="dxa" w:w="2880"/>
          </w:tcPr>
          <w:p>
            <w:r>
              <w:t xml:space="preserve">Reports/JSON/CSVs internally consistent and genuinely computed (reviewed 2026-07-09). Gaps: V1–V6 battery ran on the *old bridge* API, not the current engine; V5 verdict "GAP" is stale (fix has since shipped); </w:t>
            </w:r>
            <w:r>
              <w:rPr>
                <w:rFonts w:ascii="Consolas" w:hAnsi="Consolas"/>
                <w:color w:val="A03030"/>
                <w:sz w:val="18"/>
              </w:rPr>
              <w:t>figures/</w:t>
            </w:r>
            <w:r>
              <w:t xml:space="preserve"> missing; hardcoded developer paths. See §6.</w:t>
            </w:r>
          </w:p>
        </w:tc>
      </w:tr>
      <w:tr>
        <w:tc>
          <w:tcPr>
            <w:tcW w:type="dxa" w:w="2880"/>
          </w:tcPr>
          <w:p>
            <w:r>
              <w:t xml:space="preserve">Root </w:t>
            </w:r>
            <w:r>
              <w:rPr>
                <w:rFonts w:ascii="Consolas" w:hAnsi="Consolas"/>
                <w:color w:val="A03030"/>
                <w:sz w:val="18"/>
              </w:rPr>
              <w:t>README.md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Stale</w:t>
            </w:r>
          </w:p>
        </w:tc>
        <w:tc>
          <w:tcPr>
            <w:tcW w:type="dxa" w:w="2880"/>
          </w:tcPr>
          <w:p>
            <w:r>
              <w:t xml:space="preserve">Points at deleted </w:t>
            </w:r>
            <w:r>
              <w:rPr>
                <w:rFonts w:ascii="Consolas" w:hAnsi="Consolas"/>
                <w:color w:val="A03030"/>
                <w:sz w:val="18"/>
              </w:rPr>
              <w:t>example/</w:t>
            </w:r>
            <w:r>
              <w:t xml:space="preserve"> scripts; lists files that don't exist; omits Phase 3/4a/4b modules. See §6.</w:t>
            </w:r>
          </w:p>
        </w:tc>
      </w:tr>
      <w:tr>
        <w:tc>
          <w:tcPr>
            <w:tcW w:type="dxa" w:w="2880"/>
          </w:tcPr>
          <w:p>
            <w:r>
              <w:t>CI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Absent</w:t>
            </w:r>
          </w:p>
        </w:tc>
        <w:tc>
          <w:tcPr>
            <w:tcW w:type="dxa" w:w="2880"/>
          </w:tcPr>
          <w:p>
            <w:r>
              <w:t>104 tests and CI-runnable gates exist, but nothing executes them automatically.</w:t>
            </w:r>
          </w:p>
        </w:tc>
      </w:tr>
      <w:tr>
        <w:tc>
          <w:tcPr>
            <w:tcW w:type="dxa" w:w="2880"/>
          </w:tcPr>
          <w:p>
            <w:r>
              <w:t>Notebook 2 (</w:t>
            </w:r>
            <w:r>
              <w:rPr>
                <w:rFonts w:ascii="Consolas" w:hAnsi="Consolas"/>
                <w:color w:val="A03030"/>
                <w:sz w:val="18"/>
              </w:rPr>
              <w:t>2_simulate_adaptation.ipynb</w:t>
            </w:r>
            <w:r>
              <w:t>)</w:t>
            </w:r>
          </w:p>
        </w:tc>
        <w:tc>
          <w:tcPr>
            <w:tcW w:type="dxa" w:w="2880"/>
          </w:tcPr>
          <w:p>
            <w:r>
              <w:t>Legacy path</w:t>
            </w:r>
          </w:p>
        </w:tc>
        <w:tc>
          <w:tcPr>
            <w:tcW w:type="dxa" w:w="2880"/>
          </w:tcPr>
          <w:p>
            <w:r>
              <w:t xml:space="preserve">Still uses </w:t>
            </w:r>
            <w:r>
              <w:rPr>
                <w:rFonts w:ascii="Consolas" w:hAnsi="Consolas"/>
                <w:color w:val="A03030"/>
                <w:sz w:val="18"/>
              </w:rPr>
              <w:t>ABMSimulator</w:t>
            </w:r>
            <w:r>
              <w:t xml:space="preserve">; does not exercise the recommended </w:t>
            </w:r>
            <w:r>
              <w:rPr>
                <w:rFonts w:ascii="Consolas" w:hAnsi="Consolas"/>
                <w:color w:val="A03030"/>
                <w:sz w:val="18"/>
              </w:rPr>
              <w:t>SimulationEngine</w:t>
            </w:r>
            <w:r>
              <w:t>.</w:t>
            </w:r>
          </w:p>
        </w:tc>
      </w:tr>
    </w:tbl>
    <w:p/>
    <w:p>
      <w:pPr>
        <w:pStyle w:val="Heading2"/>
      </w:pPr>
      <w:r>
        <w:t>4. Target architecture (delivered — recap)</w:t>
      </w:r>
    </w:p>
    <w:p>
      <w:r>
        <w:t>The Strategy-Pattern architecture proposed on 20260707/20260708 is now delivered and frozen:</w:t>
      </w:r>
    </w:p>
    <w:p>
      <w:r>
        <w:rPr>
          <w:rFonts w:ascii="Consolas" w:hAnsi="Consolas"/>
          <w:sz w:val="18"/>
        </w:rPr>
        <w:t>SimulationEngine (owns time + data)          FloodAdaptSLRModel (Phase 4b: owns time via ticks)</w:t>
        <w:br/>
        <w:t xml:space="preserve">  ├── NetCDF loading / interpolation           ├── engine: SimulationEngine (shared kernel)</w:t>
        <w:br/>
        <w:t xml:space="preserve">  │     ├── strategy cube materialized once</w:t>
        <w:br/>
        <w:t xml:space="preserve">  │     └── per-(SLR, method) interp cache</w:t>
        <w:br/>
        <w:t xml:space="preserve">  ├── Stochastic event draw (Bernoulli + cap)  └── agents → CoastalNodePopulation → step()</w:t>
        <w:br/>
        <w:t xml:space="preserve">  ├── AgentState (wealth, income, risk_perception,</w:t>
        <w:br/>
        <w:t xml:space="preserve">  │              flood_timer, is_adapted, time_adapted)</w:t>
        <w:br/>
        <w:t xml:space="preserve">  ├── run(no_seq, n_jobs) — parallel Monte-Carlo sequences (bit-identical)</w:t>
        <w:br/>
        <w:t xml:space="preserve">  └── decision_rule: DecisionRule  ← pluggable</w:t>
        <w:br/>
        <w:t xml:space="preserve">        ├── ThresholdRule   (legacy 0.3 rule)</w:t>
        <w:br/>
        <w:t xml:space="preserve">        ├── SEURule         (ported DYNAMO-M SEU — MVP default)</w:t>
        <w:br/>
        <w:t xml:space="preserve">        ├── DynamoLiveRule  (native DYNAMO-M — parity oracle, 4a)</w:t>
        <w:br/>
        <w:t xml:space="preserve">        └── &lt;custom&gt;        (Open/Closed: new science = new rule)</w:t>
      </w:r>
    </w:p>
    <w:p>
      <w:r>
        <w:t xml:space="preserve">The </w:t>
      </w:r>
      <w:r>
        <w:rPr>
          <w:rFonts w:ascii="Consolas" w:hAnsi="Consolas"/>
          <w:color w:val="A03030"/>
          <w:sz w:val="18"/>
        </w:rPr>
        <w:t>DecisionRule.should_adapt(...)</w:t>
      </w:r>
      <w:r>
        <w:t xml:space="preserve"> seam is the stable coupling contract across 4a → 4b-scaffold → 4b-full.</w:t>
      </w:r>
    </w:p>
    <w:p>
      <w:pPr>
        <w:pStyle w:val="Heading2"/>
      </w:pPr>
      <w:r>
        <w:t>5. Review findings driving this update (2026-07-09)</w:t>
      </w:r>
    </w:p>
    <w:p>
      <w:r>
        <w:t xml:space="preserve">An external review of the repo, examples, docs and the </w:t>
      </w:r>
      <w:r>
        <w:rPr>
          <w:rFonts w:ascii="Consolas" w:hAnsi="Consolas"/>
          <w:color w:val="A03030"/>
          <w:sz w:val="18"/>
        </w:rPr>
        <w:t>verification_tests/</w:t>
      </w:r>
      <w:r>
        <w:t xml:space="preserve"> bundle confirmed the engineering discipline (frozen seams, one-variable-at-a-time gates, bit-parity proofs) and the validity of the verification results (verdicts genuinely computed; reports match raw CSV/JSON numbers). It also found that </w:t>
      </w:r>
      <w:r>
        <w:rPr>
          <w:b/>
        </w:rPr>
        <w:t>the entry-point documentation and reproducibility artefacts have not kept pace with the phase work, and the whole validation story rests on synthetic data</w:t>
      </w:r>
      <w:r>
        <w:t>. The findings become the task list in §7.1 and §8.</w:t>
      </w:r>
    </w:p>
    <w:p>
      <w:pPr>
        <w:pStyle w:val="Heading2"/>
      </w:pPr>
      <w:r>
        <w:t>6. Issues found (updated 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Sev.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 (task ID)</w:t>
            </w:r>
          </w:p>
        </w:tc>
      </w:tr>
      <w:tr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FloodAdaptSLRModel.__init__</w:t>
            </w:r>
            <w:r>
              <w:t xml:space="preserve"> calls </w:t>
            </w:r>
            <w:r>
              <w:rPr>
                <w:rFonts w:ascii="Consolas" w:hAnsi="Consolas"/>
                <w:color w:val="A03030"/>
                <w:sz w:val="18"/>
              </w:rPr>
              <w:t>engine.reset_state()</w:t>
            </w:r>
            <w:r>
              <w:t xml:space="preserve"> on a </w:t>
            </w:r>
            <w:r>
              <w:rPr>
                <w:b/>
              </w:rPr>
              <w:t>shared</w:t>
            </w:r>
            <w:r>
              <w:t xml:space="preserve"> engine; constructing a second model silently invalidates the first model's live </w:t>
            </w:r>
            <w:r>
              <w:rPr>
                <w:rFonts w:ascii="Consolas" w:hAnsi="Consolas"/>
                <w:color w:val="A03030"/>
                <w:sz w:val="18"/>
              </w:rPr>
              <w:t>agents.regions.state</w:t>
            </w:r>
            <w:r>
              <w:t xml:space="preserve"> view. Safe inside </w:t>
            </w:r>
            <w:r>
              <w:rPr>
                <w:rFonts w:ascii="Consolas" w:hAnsi="Consolas"/>
                <w:color w:val="A03030"/>
                <w:sz w:val="18"/>
              </w:rPr>
              <w:t>run_mesa_native</w:t>
            </w:r>
            <w:r>
              <w:t>'s sequential loop, but a footgun for manual tick-driving (as example 06 teaches). 4b-full would copy this pattern.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mesa_native.py:174</w:t>
            </w:r>
          </w:p>
        </w:tc>
        <w:tc>
          <w:tcPr>
            <w:tcW w:type="dxa" w:w="2160"/>
          </w:tcPr>
          <w:p>
            <w:r>
              <w:t>PRE.3</w:t>
            </w:r>
          </w:p>
        </w:tc>
      </w:tr>
      <w:tr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Every gate so far ran on the synthetic table (≤250 objects); real Charleston table (61,858 × 207) never exercised through the engine/4b path. Performance/memory unknown at scale.</w:t>
            </w:r>
          </w:p>
        </w:tc>
        <w:tc>
          <w:tcPr>
            <w:tcW w:type="dxa" w:w="2160"/>
          </w:tcPr>
          <w:p>
            <w:r>
              <w:t xml:space="preserve">examples 05/06, </w:t>
            </w:r>
            <w:r>
              <w:rPr>
                <w:rFonts w:ascii="Consolas" w:hAnsi="Consolas"/>
                <w:color w:val="A03030"/>
                <w:sz w:val="18"/>
              </w:rPr>
              <w:t>simulation_engine.py</w:t>
            </w:r>
          </w:p>
        </w:tc>
        <w:tc>
          <w:tcPr>
            <w:tcW w:type="dxa" w:w="2160"/>
          </w:tcPr>
          <w:p>
            <w:r>
              <w:t xml:space="preserve">PRE.2 — </w:t>
            </w:r>
            <w:r>
              <w:rPr>
                <w:b/>
              </w:rPr>
              <w:t>CLOSED</w:t>
            </w:r>
            <w:r>
              <w:t xml:space="preserve">: executed, </w:t>
            </w:r>
            <w:r>
              <w:rPr>
                <w:rFonts w:ascii="Consolas" w:hAnsi="Consolas"/>
                <w:color w:val="A03030"/>
                <w:sz w:val="18"/>
              </w:rPr>
              <w:t>gate_pass: True</w:t>
            </w:r>
            <w:r>
              <w:t xml:space="preserve">; fixed a full-scale interpolation bottleneck (cube materialize-once + per-SLR cache + parallel </w:t>
            </w:r>
            <w:r>
              <w:rPr>
                <w:rFonts w:ascii="Consolas" w:hAnsi="Consolas"/>
                <w:color w:val="A03030"/>
                <w:sz w:val="18"/>
              </w:rPr>
              <w:t>n_jobs</w:t>
            </w:r>
            <w:r>
              <w:t xml:space="preserve">, commit </w:t>
            </w:r>
            <w:r>
              <w:rPr>
                <w:rFonts w:ascii="Consolas" w:hAnsi="Consolas"/>
                <w:color w:val="A03030"/>
                <w:sz w:val="18"/>
              </w:rPr>
              <w:t>6f45d6f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 xml:space="preserve">Phase-1 V1–V6 battery was executed against the </w:t>
            </w:r>
            <w:r>
              <w:rPr>
                <w:b/>
              </w:rPr>
              <w:t>old</w:t>
            </w:r>
            <w:r>
              <w:t xml:space="preserve"> </w:t>
            </w:r>
            <w:r>
              <w:rPr>
                <w:rFonts w:ascii="Consolas" w:hAnsi="Consolas"/>
                <w:color w:val="A03030"/>
                <w:sz w:val="18"/>
              </w:rPr>
              <w:t>DynamoDecisionBridge</w:t>
            </w:r>
            <w:r>
              <w:t xml:space="preserve"> API, not the current </w:t>
            </w:r>
            <w:r>
              <w:rPr>
                <w:rFonts w:ascii="Consolas" w:hAnsi="Consolas"/>
                <w:color w:val="A03030"/>
                <w:sz w:val="18"/>
              </w:rPr>
              <w:t>SimulationEngine + SEURule</w:t>
            </w:r>
            <w:r>
              <w:t>; the roadmap's own Gate 2 ("re-run the full battery on the new engine") has no artifact.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verification_tests/run_seu_validation.py</w:t>
            </w:r>
          </w:p>
        </w:tc>
        <w:tc>
          <w:tcPr>
            <w:tcW w:type="dxa" w:w="2160"/>
          </w:tcPr>
          <w:p>
            <w:r>
              <w:t>VER.1</w:t>
            </w:r>
          </w:p>
        </w:tc>
      </w:tr>
      <w:tr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V5 lifespan report still says "GAP (documented)" although the lifespan reset has since been implemented and unit-tested — the bundle's headline summary contradicts the shipped code.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verification_tests/05_lifespan.md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00_SUMMARY.md</w:t>
            </w:r>
          </w:p>
        </w:tc>
        <w:tc>
          <w:tcPr>
            <w:tcW w:type="dxa" w:w="2160"/>
          </w:tcPr>
          <w:p>
            <w:r>
              <w:t>VER.1</w:t>
            </w:r>
          </w:p>
        </w:tc>
      </w:tr>
      <w:tr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 xml:space="preserve">Root </w:t>
            </w:r>
            <w:r>
              <w:rPr>
                <w:rFonts w:ascii="Consolas" w:hAnsi="Consolas"/>
                <w:color w:val="A03030"/>
                <w:sz w:val="18"/>
              </w:rPr>
              <w:t>README.md</w:t>
            </w:r>
            <w:r>
              <w:t xml:space="preserve"> stale: references deleted </w:t>
            </w:r>
            <w:r>
              <w:rPr>
                <w:rFonts w:ascii="Consolas" w:hAnsi="Consolas"/>
                <w:color w:val="A03030"/>
                <w:sz w:val="18"/>
              </w:rPr>
              <w:t>example/</w:t>
            </w:r>
            <w:r>
              <w:t xml:space="preserve"> folder, nonexistent </w:t>
            </w:r>
            <w:r>
              <w:rPr>
                <w:rFonts w:ascii="Consolas" w:hAnsi="Consolas"/>
                <w:color w:val="A03030"/>
                <w:sz w:val="18"/>
              </w:rPr>
              <w:t>run_coupled_example_engine.py</w:t>
            </w:r>
            <w:r>
              <w:t xml:space="preserve">, wrong folder layout; omits </w:t>
            </w:r>
            <w:r>
              <w:rPr>
                <w:rFonts w:ascii="Consolas" w:hAnsi="Consolas"/>
                <w:color w:val="A03030"/>
                <w:sz w:val="18"/>
              </w:rPr>
              <w:t>mesa_native.py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dynamo_live_rule.py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decision_rule.py</w:t>
            </w:r>
            <w:r>
              <w:t>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README.md</w:t>
            </w:r>
          </w:p>
        </w:tc>
        <w:tc>
          <w:tcPr>
            <w:tcW w:type="dxa" w:w="2160"/>
          </w:tcPr>
          <w:p>
            <w:r>
              <w:t>HYG.1</w:t>
            </w:r>
          </w:p>
        </w:tc>
      </w:tr>
      <w:tr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No CI despite CI-runnable gates and 104 tests.</w:t>
            </w:r>
          </w:p>
        </w:tc>
        <w:tc>
          <w:tcPr>
            <w:tcW w:type="dxa" w:w="2160"/>
          </w:tcPr>
          <w:p>
            <w:r>
              <w:t>repo root</w:t>
            </w:r>
          </w:p>
        </w:tc>
        <w:tc>
          <w:tcPr>
            <w:tcW w:type="dxa" w:w="2160"/>
          </w:tcPr>
          <w:p>
            <w:r>
              <w:t>HYG.3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AGENTS.md</w:t>
            </w:r>
            <w:r>
              <w:t xml:space="preserve"> and verification scripts contain machine-specific absolute paths (</w:t>
            </w:r>
            <w:r>
              <w:rPr>
                <w:rFonts w:ascii="Consolas" w:hAnsi="Consolas"/>
                <w:color w:val="A03030"/>
                <w:sz w:val="18"/>
              </w:rPr>
              <w:t>c:\repos\DYNAMO-M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C:\Users\asgarpou\OneDrive...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.copilot\session-state\...</w:t>
            </w:r>
            <w:r>
              <w:t>); referenced "reproduction bundles" (</w:t>
            </w:r>
            <w:r>
              <w:rPr>
                <w:rFonts w:ascii="Consolas" w:hAnsi="Consolas"/>
                <w:color w:val="A03030"/>
                <w:sz w:val="18"/>
              </w:rPr>
              <w:t>progress_todos/...</w:t>
            </w:r>
            <w:r>
              <w:t>) are not in the repo.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AGENTS.md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verification_tests/*.py</w:t>
            </w:r>
          </w:p>
        </w:tc>
        <w:tc>
          <w:tcPr>
            <w:tcW w:type="dxa" w:w="2160"/>
          </w:tcPr>
          <w:p>
            <w:r>
              <w:t>HYG.2, VER.2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 xml:space="preserve">Verification bundle missing </w:t>
            </w:r>
            <w:r>
              <w:rPr>
                <w:rFonts w:ascii="Consolas" w:hAnsi="Consolas"/>
                <w:color w:val="A03030"/>
                <w:sz w:val="18"/>
              </w:rPr>
              <w:t>figures/</w:t>
            </w:r>
            <w:r>
              <w:t xml:space="preserve"> (all embedded image links broken); CSVs at folder root instead of the </w:t>
            </w:r>
            <w:r>
              <w:rPr>
                <w:rFonts w:ascii="Consolas" w:hAnsi="Consolas"/>
                <w:color w:val="A03030"/>
                <w:sz w:val="18"/>
              </w:rPr>
              <w:t>data/</w:t>
            </w:r>
            <w:r>
              <w:t xml:space="preserve"> layout the reports reference; </w:t>
            </w:r>
            <w:r>
              <w:rPr>
                <w:rFonts w:ascii="Consolas" w:hAnsi="Consolas"/>
                <w:color w:val="A03030"/>
                <w:sz w:val="18"/>
              </w:rPr>
              <w:t>README.md</w:t>
            </w:r>
            <w:r>
              <w:t>/</w:t>
            </w:r>
            <w:r>
              <w:rPr>
                <w:rFonts w:ascii="Consolas" w:hAnsi="Consolas"/>
                <w:color w:val="A03030"/>
                <w:sz w:val="18"/>
              </w:rPr>
              <w:t>README_1.md</w:t>
            </w:r>
            <w:r>
              <w:t xml:space="preserve"> name collision.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verification_tests/</w:t>
            </w:r>
          </w:p>
        </w:tc>
        <w:tc>
          <w:tcPr>
            <w:tcW w:type="dxa" w:w="2160"/>
          </w:tcPr>
          <w:p>
            <w:r>
              <w:t>VER.2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 xml:space="preserve">Notebook 2 still drives the legacy </w:t>
            </w:r>
            <w:r>
              <w:rPr>
                <w:rFonts w:ascii="Consolas" w:hAnsi="Consolas"/>
                <w:color w:val="A03030"/>
                <w:sz w:val="18"/>
              </w:rPr>
              <w:t>ABMSimulator</w:t>
            </w:r>
            <w:r>
              <w:t xml:space="preserve">; the recommended </w:t>
            </w:r>
            <w:r>
              <w:rPr>
                <w:rFonts w:ascii="Consolas" w:hAnsi="Consolas"/>
                <w:color w:val="A03030"/>
                <w:sz w:val="18"/>
              </w:rPr>
              <w:t>SimulationEngine</w:t>
            </w:r>
            <w:r>
              <w:t xml:space="preserve"> has no notebook.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2_simulate_adaptation.ipynb</w:t>
            </w:r>
          </w:p>
        </w:tc>
        <w:tc>
          <w:tcPr>
            <w:tcW w:type="dxa" w:w="2160"/>
          </w:tcPr>
          <w:p>
            <w:r>
              <w:t>HYG.4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 xml:space="preserve">The four phase </w:t>
            </w:r>
            <w:r>
              <w:rPr>
                <w:rFonts w:ascii="Consolas" w:hAnsi="Consolas"/>
                <w:color w:val="A03030"/>
                <w:sz w:val="18"/>
              </w:rPr>
              <w:t>.docx</w:t>
            </w:r>
            <w:r>
              <w:t xml:space="preserve"> docs are not diffable/readable in-repo.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docs/</w:t>
            </w:r>
          </w:p>
        </w:tc>
        <w:tc>
          <w:tcPr>
            <w:tcW w:type="dxa" w:w="2160"/>
          </w:tcPr>
          <w:p>
            <w:r>
              <w:t>HYG.4</w:t>
            </w:r>
          </w:p>
        </w:tc>
      </w:tr>
    </w:tbl>
    <w:p/>
    <w:p>
      <w:pPr>
        <w:pStyle w:val="Heading2"/>
      </w:pPr>
      <w:r>
        <w:t>7. Recommended development roadmap (updated)</w:t>
      </w:r>
    </w:p>
    <w:p>
      <w:r>
        <w:t xml:space="preserve">Guiding principle unchanged: unify the plumbing, keep the decision logic pluggable, validate before refactoring, never regress the ThresholdRule path. </w:t>
      </w:r>
      <w:r>
        <w:rPr>
          <w:b/>
        </w:rPr>
        <w:t>New principle for this stage: close the documentation/reproducibility gaps and de-risk the environment lift *before* starting 4b-full, so the eventual 4b-full ≡ 4b-scaffold gate stays attributable to one variable.</w:t>
      </w:r>
    </w:p>
    <w:p>
      <w:pPr>
        <w:pStyle w:val="Heading3"/>
      </w:pPr>
      <w:r>
        <w:t>7.1 Phase 4b-pre — de-risking &amp; hygiene (NEW — do before 4b-full)</w:t>
      </w:r>
    </w:p>
    <w:p>
      <w:r>
        <w:rPr>
          <w:b/>
        </w:rPr>
        <w:t>Next steps and tasks to be performed:</w:t>
      </w:r>
    </w:p>
    <w:p>
      <w:pPr>
        <w:pStyle w:val="Heading4"/>
      </w:pPr>
      <w:r>
        <w:t>A. Before starting 4b-full (cheap, de-risking)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Detail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 it retires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Gate / exit criterion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PRE.1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 4b-full Step 1 now, in isolation.</w:t>
            </w:r>
          </w:p>
        </w:tc>
        <w:tc>
          <w:tcPr>
            <w:tcW w:type="dxa" w:w="1440"/>
          </w:tcPr>
          <w:p>
            <w:r>
              <w:t xml:space="preserve">Pin </w:t>
            </w:r>
            <w:r>
              <w:rPr>
                <w:rFonts w:ascii="Consolas" w:hAnsi="Consolas"/>
                <w:color w:val="A03030"/>
                <w:sz w:val="18"/>
              </w:rPr>
              <w:t>honeybees</w:t>
            </w:r>
            <w:r>
              <w:t xml:space="preserve"> + </w:t>
            </w:r>
            <w:r>
              <w:rPr>
                <w:rFonts w:ascii="Consolas" w:hAnsi="Consolas"/>
                <w:color w:val="A03030"/>
                <w:sz w:val="18"/>
              </w:rPr>
              <w:t>mesa</w:t>
            </w:r>
            <w:r>
              <w:t xml:space="preserve"> in a throwaway env and try importing/instantiating against the DYNAMO-M checkout. Version drift is the roadmap's own top risk — discovering it early costs nothing; discovering it in step 5 costs the schedule.</w:t>
            </w:r>
          </w:p>
        </w:tc>
        <w:tc>
          <w:tcPr>
            <w:tcW w:type="dxa" w:w="1440"/>
          </w:tcPr>
          <w:p>
            <w:r>
              <w:t>2–4 hrs</w:t>
            </w:r>
          </w:p>
        </w:tc>
        <w:tc>
          <w:tcPr>
            <w:tcW w:type="dxa" w:w="1440"/>
          </w:tcPr>
          <w:p>
            <w:r>
              <w:t>honeybees/mesa version drift</w:t>
            </w:r>
          </w:p>
        </w:tc>
        <w:tc>
          <w:tcPr>
            <w:tcW w:type="dxa" w:w="1440"/>
          </w:tcPr>
          <w:p>
            <w:r>
              <w:t>Import + minimal instantiation succeed; versions pinned and recorded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PRE.2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Run the gates once on the real Charleston table.</w:t>
            </w:r>
          </w:p>
        </w:tc>
        <w:tc>
          <w:tcPr>
            <w:tcW w:type="dxa" w:w="1440"/>
          </w:tcPr>
          <w:p>
            <w:r>
              <w:t xml:space="preserve">Every gate so far (4a parity, 4b bit-parity) ran on the synthetic table (~160 agents). The real table is 61,858 objects × 207 events. Run </w:t>
            </w:r>
            <w:r>
              <w:rPr>
                <w:rFonts w:ascii="Consolas" w:hAnsi="Consolas"/>
                <w:color w:val="A03030"/>
                <w:sz w:val="18"/>
              </w:rPr>
              <w:t>FA_ABM_REAL_TABLE=1</w:t>
            </w:r>
            <w:r>
              <w:t xml:space="preserve"> through examples 05/06 to surface performance and memory issues at scale — the per-tick </w:t>
            </w:r>
            <w:r>
              <w:rPr>
                <w:rFonts w:ascii="Consolas" w:hAnsi="Consolas"/>
                <w:color w:val="A03030"/>
                <w:sz w:val="18"/>
              </w:rPr>
              <w:t>engine.step()</w:t>
            </w:r>
            <w:r>
              <w:t xml:space="preserve"> path in </w:t>
            </w:r>
            <w:r>
              <w:rPr>
                <w:rFonts w:ascii="Consolas" w:hAnsi="Consolas"/>
                <w:color w:val="A03030"/>
                <w:sz w:val="18"/>
              </w:rPr>
              <w:t>mesa_native.py</w:t>
            </w:r>
            <w:r>
              <w:t xml:space="preserve"> may need profiling there, and 4b-full will only be slower.</w:t>
            </w:r>
          </w:p>
        </w:tc>
        <w:tc>
          <w:tcPr>
            <w:tcW w:type="dxa" w:w="1440"/>
          </w:tcPr>
          <w:p>
            <w:r>
              <w:t>0.5–1 day (mostly runtime)</w:t>
            </w:r>
          </w:p>
        </w:tc>
        <w:tc>
          <w:tcPr>
            <w:tcW w:type="dxa" w:w="1440"/>
          </w:tcPr>
          <w:p>
            <w:r>
              <w:t>Unknown scale behaviour of the engine/tick path</w:t>
            </w:r>
          </w:p>
        </w:tc>
        <w:tc>
          <w:tcPr>
            <w:tcW w:type="dxa" w:w="1440"/>
          </w:tcPr>
          <w:p>
            <w:r>
              <w:t xml:space="preserve">Examples 05/06 complete on the real table; runtime + peak memory recorded; profiling notes filed if </w:t>
            </w:r>
            <w:r>
              <w:rPr>
                <w:rFonts w:ascii="Consolas" w:hAnsi="Consolas"/>
                <w:color w:val="A03030"/>
                <w:sz w:val="18"/>
              </w:rPr>
              <w:t>engine.step()</w:t>
            </w:r>
            <w:r>
              <w:t xml:space="preserve"> is a bottleneck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PRE.3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Fix the shared-engine design wart in `FloodAdaptSLRModel`.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03030"/>
                <w:sz w:val="18"/>
              </w:rPr>
              <w:t>__init__</w:t>
            </w:r>
            <w:r>
              <w:t xml:space="preserve"> calls </w:t>
            </w:r>
            <w:r>
              <w:rPr>
                <w:rFonts w:ascii="Consolas" w:hAnsi="Consolas"/>
                <w:color w:val="A03030"/>
                <w:sz w:val="18"/>
              </w:rPr>
              <w:t>engine.reset_state()</w:t>
            </w:r>
            <w:r>
              <w:t xml:space="preserve"> on a shared engine (</w:t>
            </w:r>
            <w:r>
              <w:rPr>
                <w:rFonts w:ascii="Consolas" w:hAnsi="Consolas"/>
                <w:color w:val="A03030"/>
                <w:sz w:val="18"/>
              </w:rPr>
              <w:t>mesa_native.py:174</w:t>
            </w:r>
            <w:r>
              <w:t xml:space="preserve">). Constructing a second model on the same engine silently invalidates the first model's live </w:t>
            </w:r>
            <w:r>
              <w:rPr>
                <w:rFonts w:ascii="Consolas" w:hAnsi="Consolas"/>
                <w:color w:val="A03030"/>
                <w:sz w:val="18"/>
              </w:rPr>
              <w:t>agents.regions.state</w:t>
            </w:r>
            <w:r>
              <w:t xml:space="preserve"> view — fine inside </w:t>
            </w:r>
            <w:r>
              <w:rPr>
                <w:rFonts w:ascii="Consolas" w:hAnsi="Consolas"/>
                <w:color w:val="A03030"/>
                <w:sz w:val="18"/>
              </w:rPr>
              <w:t>run_mesa_native</w:t>
            </w:r>
            <w:r>
              <w:t xml:space="preserve">'s sequential loop, a footgun for manual driving (example 06). Either give each model its own </w:t>
            </w:r>
            <w:r>
              <w:rPr>
                <w:rFonts w:ascii="Consolas" w:hAnsi="Consolas"/>
                <w:color w:val="A03030"/>
                <w:sz w:val="18"/>
              </w:rPr>
              <w:t>AgentState</w:t>
            </w:r>
            <w:r>
              <w:t>, or raise/document when a stale model is stepped. Fix now because 4b-full will copy this pattern.</w:t>
            </w:r>
          </w:p>
        </w:tc>
        <w:tc>
          <w:tcPr>
            <w:tcW w:type="dxa" w:w="1440"/>
          </w:tcPr>
          <w:p>
            <w:r>
              <w:t>2–4 hrs</w:t>
            </w:r>
          </w:p>
        </w:tc>
        <w:tc>
          <w:tcPr>
            <w:tcW w:type="dxa" w:w="1440"/>
          </w:tcPr>
          <w:p>
            <w:r>
              <w:t>Silent state corruption pattern propagating into 4b-full</w:t>
            </w:r>
          </w:p>
        </w:tc>
        <w:tc>
          <w:tcPr>
            <w:tcW w:type="dxa" w:w="1440"/>
          </w:tcPr>
          <w:p>
            <w:r>
              <w:t>New unit test: two models on one engine either isolate state or raise; 4b bit-parity gate still PASS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PRE.4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Prototype the lookup-table → CoastalNode adapter against a frozen synthetic node population first</w:t>
            </w:r>
            <w:r>
              <w:t xml:space="preserve"> (the step-3 pseudo-logic), before wiring </w:t>
            </w:r>
            <w:r>
              <w:rPr>
                <w:rFonts w:ascii="Consolas" w:hAnsi="Consolas"/>
                <w:color w:val="A03030"/>
                <w:sz w:val="18"/>
              </w:rPr>
              <w:t>Data</w:t>
            </w:r>
            <w:r>
              <w:t>/</w:t>
            </w:r>
            <w:r>
              <w:rPr>
                <w:rFonts w:ascii="Consolas" w:hAnsi="Consolas"/>
                <w:color w:val="A03030"/>
                <w:sz w:val="18"/>
              </w:rPr>
              <w:t>FloodRisk</w:t>
            </w:r>
            <w:r>
              <w:t>/gravity (step 5). The adapter is the centrepiece and the only new science-adjacent code; validating it standalone keeps the eventual 4b-full ≡ 4b-scaffold bit-parity gate attributable to one variable, exactly as done for 4a → 4b.</w:t>
            </w:r>
          </w:p>
        </w:tc>
        <w:tc>
          <w:tcPr>
            <w:tcW w:type="dxa" w:w="1440"/>
          </w:tcPr>
          <w:p>
            <w:r>
              <w:t>1–2 days</w:t>
            </w:r>
          </w:p>
        </w:tc>
        <w:tc>
          <w:tcPr>
            <w:tcW w:type="dxa" w:w="1440"/>
          </w:tcPr>
          <w:p>
            <w:r>
              <w:t>Adapter bugs masked by environment noise in step 5</w:t>
            </w:r>
          </w:p>
        </w:tc>
        <w:tc>
          <w:tcPr>
            <w:tcW w:type="dxa" w:w="1440"/>
          </w:tcPr>
          <w:p>
            <w:r>
              <w:t>Standalone adapter round-trips the synthetic lookup table into deterministic node arrays and back, bit-identical</w:t>
            </w:r>
          </w:p>
        </w:tc>
        <w:tc>
          <w:tcPr>
            <w:tcW w:type="dxa" w:w="1440"/>
          </w:tcPr>
          <w:p/>
        </w:tc>
      </w:tr>
    </w:tbl>
    <w:p/>
    <w:p>
      <w:pPr>
        <w:pStyle w:val="Heading4"/>
      </w:pPr>
      <w:r>
        <w:t>B. Repo / documentation hygiene (the state has outrun the docs)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Gate / exit criterion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HYG.1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Rewrite the stale root `README.md`.</w:t>
            </w:r>
          </w:p>
        </w:tc>
        <w:tc>
          <w:tcPr>
            <w:tcW w:type="dxa" w:w="1728"/>
          </w:tcPr>
          <w:p>
            <w:r>
              <w:t xml:space="preserve">It still says "run </w:t>
            </w:r>
            <w:r>
              <w:rPr>
                <w:rFonts w:ascii="Consolas" w:hAnsi="Consolas"/>
                <w:color w:val="A03030"/>
                <w:sz w:val="18"/>
              </w:rPr>
              <w:t>python example/run_coupled_example.py</w:t>
            </w:r>
            <w:r>
              <w:t xml:space="preserve">", lists </w:t>
            </w:r>
            <w:r>
              <w:rPr>
                <w:rFonts w:ascii="Consolas" w:hAnsi="Consolas"/>
                <w:color w:val="A03030"/>
                <w:sz w:val="18"/>
              </w:rPr>
              <w:t>examples_engine/run_coupled_example_engine.py</w:t>
            </w:r>
            <w:r>
              <w:t xml:space="preserve"> (doesn't exist — the numbered 01–06 files do), shows </w:t>
            </w:r>
            <w:r>
              <w:rPr>
                <w:rFonts w:ascii="Consolas" w:hAnsi="Consolas"/>
                <w:color w:val="A03030"/>
                <w:sz w:val="18"/>
              </w:rPr>
              <w:t>old_bridge_examples/</w:t>
            </w:r>
            <w:r>
              <w:t xml:space="preserve"> at the root (it's under </w:t>
            </w:r>
            <w:r>
              <w:rPr>
                <w:rFonts w:ascii="Consolas" w:hAnsi="Consolas"/>
                <w:color w:val="A03030"/>
                <w:sz w:val="18"/>
              </w:rPr>
              <w:t>examples_engine/</w:t>
            </w:r>
            <w:r>
              <w:t xml:space="preserve">), and omits </w:t>
            </w:r>
            <w:r>
              <w:rPr>
                <w:rFonts w:ascii="Consolas" w:hAnsi="Consolas"/>
                <w:color w:val="A03030"/>
                <w:sz w:val="18"/>
              </w:rPr>
              <w:t>mesa_native.py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dynamo_live_rule.py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decision_rule.py</w:t>
            </w:r>
            <w:r>
              <w:t>. First thing a new user sees currently contradicts the actual layout.</w:t>
            </w:r>
          </w:p>
        </w:tc>
        <w:tc>
          <w:tcPr>
            <w:tcW w:type="dxa" w:w="1728"/>
          </w:tcPr>
          <w:p>
            <w:r>
              <w:t>1–2 hrs</w:t>
            </w:r>
          </w:p>
        </w:tc>
        <w:tc>
          <w:tcPr>
            <w:tcW w:type="dxa" w:w="1728"/>
          </w:tcPr>
          <w:p>
            <w:r>
              <w:t>README structure section matches the actual tree; quick-start commands run as written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HYG.2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Purge machine-specific paths from `AGENTS.md`; vendor the verification bundles.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A03030"/>
                <w:sz w:val="18"/>
              </w:rPr>
              <w:t>AGENTS.md</w:t>
            </w:r>
            <w:r>
              <w:t xml:space="preserve"> contains absolute paths (</w:t>
            </w:r>
            <w:r>
              <w:rPr>
                <w:rFonts w:ascii="Consolas" w:hAnsi="Consolas"/>
                <w:color w:val="A03030"/>
                <w:sz w:val="18"/>
              </w:rPr>
              <w:t>c:\repos\DYNAMO-M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C:\Users\asgarpou\OneDrive...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.copilot\session-state\...</w:t>
            </w:r>
            <w:r>
              <w:t>). The "reproduction bundles" (</w:t>
            </w:r>
            <w:r>
              <w:rPr>
                <w:rFonts w:ascii="Consolas" w:hAnsi="Consolas"/>
                <w:color w:val="A03030"/>
                <w:sz w:val="18"/>
              </w:rPr>
              <w:t>progress_todos/...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run_phase4a_parity.py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run_phase4b_verification.py</w:t>
            </w:r>
            <w:r>
              <w:t xml:space="preserve">) are referenced but not in the repo — for the reproducibility claim to hold, vendor them in (e.g. a </w:t>
            </w:r>
            <w:r>
              <w:rPr>
                <w:rFonts w:ascii="Consolas" w:hAnsi="Consolas"/>
                <w:color w:val="A03030"/>
                <w:sz w:val="18"/>
              </w:rPr>
              <w:t>verification/</w:t>
            </w:r>
            <w:r>
              <w:t xml:space="preserve"> folder) or link a durable location. Use env-var overrides (</w:t>
            </w:r>
            <w:r>
              <w:rPr>
                <w:rFonts w:ascii="Consolas" w:hAnsi="Consolas"/>
                <w:color w:val="A03030"/>
                <w:sz w:val="18"/>
              </w:rPr>
              <w:t>ABM_ROOT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DYNAMO_M_PATH</w:t>
            </w:r>
            <w:r>
              <w:t>) everywhere.</w:t>
            </w:r>
          </w:p>
        </w:tc>
        <w:tc>
          <w:tcPr>
            <w:tcW w:type="dxa" w:w="1728"/>
          </w:tcPr>
          <w:p>
            <w:r>
              <w:t>2–3 hrs</w:t>
            </w:r>
          </w:p>
        </w:tc>
        <w:tc>
          <w:tcPr>
            <w:tcW w:type="dxa" w:w="1728"/>
          </w:tcPr>
          <w:p>
            <w:r>
              <w:t>No user-specific absolute path remains; every referenced artifact resolves inside the repo or to a durable link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HYG.3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Add CI.</w:t>
            </w:r>
          </w:p>
        </w:tc>
        <w:tc>
          <w:tcPr>
            <w:tcW w:type="dxa" w:w="1728"/>
          </w:tcPr>
          <w:p>
            <w:r>
              <w:t xml:space="preserve">104 tests, bit-parity gates designed to be "CI-runnable", six examples that exit 0 — but no CI. Minimal GitHub Actions job: </w:t>
            </w:r>
            <w:r>
              <w:rPr>
                <w:rFonts w:ascii="Consolas" w:hAnsi="Consolas"/>
                <w:color w:val="A03030"/>
                <w:sz w:val="18"/>
              </w:rPr>
              <w:t>pytest tests/ -q</w:t>
            </w:r>
            <w:r>
              <w:t xml:space="preserve"> + run examples 01–04/06 on the synthetic table (05 auto-skips without DYNAMO-M) + </w:t>
            </w:r>
            <w:r>
              <w:rPr>
                <w:rFonts w:ascii="Consolas" w:hAnsi="Consolas"/>
                <w:color w:val="A03030"/>
                <w:sz w:val="18"/>
              </w:rPr>
              <w:t>run_phase4b_verification.py</w:t>
            </w:r>
            <w:r>
              <w:t>. Locks in the frozen scaffold while 4b-full work churns.</w:t>
            </w:r>
          </w:p>
        </w:tc>
        <w:tc>
          <w:tcPr>
            <w:tcW w:type="dxa" w:w="1728"/>
          </w:tcPr>
          <w:p>
            <w:r>
              <w:t>2–4 hrs</w:t>
            </w:r>
          </w:p>
        </w:tc>
        <w:tc>
          <w:tcPr>
            <w:tcW w:type="dxa" w:w="1728"/>
          </w:tcPr>
          <w:p>
            <w:r>
              <w:t>Green pipeline on push/PR; gate scripts wired in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HYG.4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Modernise the notebook path and the design docs.</w:t>
            </w:r>
          </w:p>
        </w:tc>
        <w:tc>
          <w:tcPr>
            <w:tcW w:type="dxa" w:w="1728"/>
          </w:tcPr>
          <w:p>
            <w:r>
              <w:t xml:space="preserve">Notebook 2 still uses the legacy </w:t>
            </w:r>
            <w:r>
              <w:rPr>
                <w:rFonts w:ascii="Consolas" w:hAnsi="Consolas"/>
                <w:color w:val="A03030"/>
                <w:sz w:val="18"/>
              </w:rPr>
              <w:t>ABMSimulator</w:t>
            </w:r>
            <w:r>
              <w:t xml:space="preserve">; add a notebook (or convert notebook 2) using </w:t>
            </w:r>
            <w:r>
              <w:rPr>
                <w:rFonts w:ascii="Consolas" w:hAnsi="Consolas"/>
                <w:color w:val="A03030"/>
                <w:sz w:val="18"/>
              </w:rPr>
              <w:t>SimulationEngine</w:t>
            </w:r>
            <w:r>
              <w:t xml:space="preserve"> + </w:t>
            </w:r>
            <w:r>
              <w:rPr>
                <w:rFonts w:ascii="Consolas" w:hAnsi="Consolas"/>
                <w:color w:val="A03030"/>
                <w:sz w:val="18"/>
              </w:rPr>
              <w:t>SEURule</w:t>
            </w:r>
            <w:r>
              <w:t xml:space="preserve"> so the notebook workflow matches the post-Phase-3 architecture. Convert the four </w:t>
            </w:r>
            <w:r>
              <w:rPr>
                <w:rFonts w:ascii="Consolas" w:hAnsi="Consolas"/>
                <w:color w:val="A03030"/>
                <w:sz w:val="18"/>
              </w:rPr>
              <w:t>.docx</w:t>
            </w:r>
            <w:r>
              <w:t xml:space="preserve"> phase docs to Markdown — they're the project's design record but aren't diffable or readable in-repo (this document starts that convention).</w:t>
            </w:r>
          </w:p>
        </w:tc>
        <w:tc>
          <w:tcPr>
            <w:tcW w:type="dxa" w:w="1728"/>
          </w:tcPr>
          <w:p>
            <w:r>
              <w:t>0.5–1 day</w:t>
            </w:r>
          </w:p>
        </w:tc>
        <w:tc>
          <w:tcPr>
            <w:tcW w:type="dxa" w:w="1728"/>
          </w:tcPr>
          <w:p>
            <w:r>
              <w:t xml:space="preserve">Engine-based notebook runs end-to-end; design docs readable as Markdown in </w:t>
            </w:r>
            <w:r>
              <w:rPr>
                <w:rFonts w:ascii="Consolas" w:hAnsi="Consolas"/>
                <w:color w:val="A03030"/>
                <w:sz w:val="18"/>
              </w:rPr>
              <w:t>docs/</w:t>
            </w:r>
          </w:p>
        </w:tc>
      </w:tr>
    </w:tbl>
    <w:p/>
    <w:p>
      <w:pPr>
        <w:pStyle w:val="Heading4"/>
      </w:pPr>
      <w:r>
        <w:t>C. Verification-bundle regeneration (closes the 2026-07-09 review caveats)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Gate / exit criterion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VER.1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Re-run the V1–V6 battery on the current `SimulationEngine` + `SEURule`</w:t>
            </w:r>
            <w:r>
              <w:t xml:space="preserve"> (Gate-2 artifact). Regenerates V5 with the lifespan reset in place — expected to show adaptation turnover at year 75+, converting "GAP (documented)" into "PASS (closed in Phase 3)".</w:t>
            </w:r>
          </w:p>
        </w:tc>
        <w:tc>
          <w:tcPr>
            <w:tcW w:type="dxa" w:w="1728"/>
          </w:tcPr>
          <w:p>
            <w:r>
              <w:t>0.5–1 day</w:t>
            </w:r>
          </w:p>
        </w:tc>
        <w:tc>
          <w:tcPr>
            <w:tcW w:type="dxa" w:w="1728"/>
          </w:tcPr>
          <w:p>
            <w:r>
              <w:t xml:space="preserve">All hard gates (V1, V4, V6) PASS on the engine; V5 shows un-adaptation at the lifespan; </w:t>
            </w:r>
            <w:r>
              <w:rPr>
                <w:rFonts w:ascii="Consolas" w:hAnsi="Consolas"/>
                <w:color w:val="A03030"/>
                <w:sz w:val="18"/>
              </w:rPr>
              <w:t>00_SUMMARY.md</w:t>
            </w:r>
            <w:r>
              <w:t xml:space="preserve"> regenerated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VER.2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Make the bundle self-contained and portable.</w:t>
            </w:r>
            <w:r>
              <w:t xml:space="preserve"> Add the missing </w:t>
            </w:r>
            <w:r>
              <w:rPr>
                <w:rFonts w:ascii="Consolas" w:hAnsi="Consolas"/>
                <w:color w:val="A03030"/>
                <w:sz w:val="18"/>
              </w:rPr>
              <w:t>figures/</w:t>
            </w:r>
            <w:r>
              <w:t xml:space="preserve">, restore the </w:t>
            </w:r>
            <w:r>
              <w:rPr>
                <w:rFonts w:ascii="Consolas" w:hAnsi="Consolas"/>
                <w:color w:val="A03030"/>
                <w:sz w:val="18"/>
              </w:rPr>
              <w:t>data/</w:t>
            </w:r>
            <w:r>
              <w:t xml:space="preserve"> layout the reports reference, parameterize hardcoded paths via env vars, rename the colliding </w:t>
            </w:r>
            <w:r>
              <w:rPr>
                <w:rFonts w:ascii="Consolas" w:hAnsi="Consolas"/>
                <w:color w:val="A03030"/>
                <w:sz w:val="18"/>
              </w:rPr>
              <w:t>README.md</w:t>
            </w:r>
            <w:r>
              <w:t>/</w:t>
            </w:r>
            <w:r>
              <w:rPr>
                <w:rFonts w:ascii="Consolas" w:hAnsi="Consolas"/>
                <w:color w:val="A03030"/>
                <w:sz w:val="18"/>
              </w:rPr>
              <w:t>README_1.md</w:t>
            </w:r>
            <w:r>
              <w:t xml:space="preserve"> (→ </w:t>
            </w:r>
            <w:r>
              <w:rPr>
                <w:rFonts w:ascii="Consolas" w:hAnsi="Consolas"/>
                <w:color w:val="A03030"/>
                <w:sz w:val="18"/>
              </w:rPr>
              <w:t>README_phase4a.md</w:t>
            </w:r>
            <w:r>
              <w:t xml:space="preserve"> / </w:t>
            </w:r>
            <w:r>
              <w:rPr>
                <w:rFonts w:ascii="Consolas" w:hAnsi="Consolas"/>
                <w:color w:val="A03030"/>
                <w:sz w:val="18"/>
              </w:rPr>
              <w:t>README_phase4b.md</w:t>
            </w:r>
            <w:r>
              <w:t>), and commit the folder into the repo.</w:t>
            </w:r>
          </w:p>
        </w:tc>
        <w:tc>
          <w:tcPr>
            <w:tcW w:type="dxa" w:w="1728"/>
          </w:tcPr>
          <w:p>
            <w:r>
              <w:t>2–4 hrs</w:t>
            </w:r>
          </w:p>
        </w:tc>
        <w:tc>
          <w:tcPr>
            <w:tcW w:type="dxa" w:w="1728"/>
          </w:tcPr>
          <w:p>
            <w:r>
              <w:t>Bundle re-runs from a clean checkout with only env vars set; no broken links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VER.3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Empirical native V5 reference (optional, nice-to-have).</w:t>
            </w:r>
            <w:r>
              <w:t xml:space="preserve"> V5's native side (</w:t>
            </w:r>
            <w:r>
              <w:rPr>
                <w:rFonts w:ascii="Consolas" w:hAnsi="Consolas"/>
                <w:color w:val="A03030"/>
                <w:sz w:val="18"/>
              </w:rPr>
              <w:t>native_resets = True</w:t>
            </w:r>
            <w:r>
              <w:t>) was asserted from source reading, not executed. When the 4b-full env exists (PRE.1), run the native 90-year reference once to make the comparison empirical.</w:t>
            </w:r>
          </w:p>
        </w:tc>
        <w:tc>
          <w:tcPr>
            <w:tcW w:type="dxa" w:w="1728"/>
          </w:tcPr>
          <w:p>
            <w:r>
              <w:t>2–4 hrs (after PRE.1)</w:t>
            </w:r>
          </w:p>
        </w:tc>
        <w:tc>
          <w:tcPr>
            <w:tcW w:type="dxa" w:w="1728"/>
          </w:tcPr>
          <w:p>
            <w:r>
              <w:t>Native run shows reset at t=75; figure added to V5 report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3"/>
      </w:pPr>
      <w:r>
        <w:t>7.2 Phase 4b-full — binding the real honeybees `SLRModel` (unchanged, now gated behind 4b-pre)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Pin honeybees/mesa versions; verify config compatibility. </w:t>
            </w:r>
            <w:r>
              <w:rPr>
                <w:b/>
              </w:rPr>
              <w:t>(→ pulled forward as PRE.1)</w:t>
            </w:r>
          </w:p>
        </w:tc>
        <w:tc>
          <w:tcPr>
            <w:tcW w:type="dxa" w:w="1728"/>
          </w:tcPr>
          <w:p>
            <w:r>
              <w:t>2–4 hrs</w:t>
            </w:r>
          </w:p>
        </w:tc>
        <w:tc>
          <w:tcPr>
            <w:tcW w:type="dxa" w:w="1728"/>
          </w:tcPr>
          <w:p>
            <w:r>
              <w:t>Low (after PRE.1)</w:t>
            </w:r>
          </w:p>
        </w:tc>
        <w:tc>
          <w:tcPr>
            <w:tcW w:type="dxa" w:w="1728"/>
          </w:tcPr>
          <w:p>
            <w:r>
              <w:t>Import test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Populate </w:t>
            </w:r>
            <w:r>
              <w:rPr>
                <w:rFonts w:ascii="Consolas" w:hAnsi="Consolas"/>
                <w:color w:val="A03030"/>
                <w:sz w:val="18"/>
              </w:rPr>
              <w:t>SLRModel</w:t>
            </w:r>
            <w:r>
              <w:t xml:space="preserve">: </w:t>
            </w:r>
            <w:r>
              <w:rPr>
                <w:rFonts w:ascii="Consolas" w:hAnsi="Consolas"/>
                <w:color w:val="A03030"/>
                <w:sz w:val="18"/>
              </w:rPr>
              <w:t>config_path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settings_path</w:t>
            </w:r>
            <w:r>
              <w:t xml:space="preserve">, geojson </w:t>
            </w:r>
            <w:r>
              <w:rPr>
                <w:rFonts w:ascii="Consolas" w:hAnsi="Consolas"/>
                <w:color w:val="A03030"/>
                <w:sz w:val="18"/>
              </w:rPr>
              <w:t>study_area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args</w:t>
            </w:r>
            <w:r>
              <w:t xml:space="preserve">; instantiate </w:t>
            </w:r>
            <w:r>
              <w:rPr>
                <w:rFonts w:ascii="Consolas" w:hAnsi="Consolas"/>
                <w:color w:val="A03030"/>
                <w:sz w:val="18"/>
              </w:rPr>
              <w:t>Data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FloodRisk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CoastalAmenities</w:t>
            </w:r>
            <w:r>
              <w:t>.</w:t>
            </w:r>
          </w:p>
        </w:tc>
        <w:tc>
          <w:tcPr>
            <w:tcW w:type="dxa" w:w="1728"/>
          </w:tcPr>
          <w:p>
            <w:r>
              <w:t>4–6 hrs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A03030"/>
                <w:sz w:val="18"/>
              </w:rPr>
              <w:t>SLRModel()</w:t>
            </w:r>
            <w:r>
              <w:t xml:space="preserve"> succeeds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Write lookup-table adapter: map </w:t>
            </w:r>
            <w:r>
              <w:rPr>
                <w:rFonts w:ascii="Consolas" w:hAnsi="Consolas"/>
                <w:color w:val="A03030"/>
                <w:sz w:val="18"/>
              </w:rPr>
              <w:t>object_id ↔ CoastalNode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property_value ↔ node.wealth</w:t>
            </w:r>
            <w:r>
              <w:t xml:space="preserve">, per-event damages → node arrays. </w:t>
            </w:r>
            <w:r>
              <w:rPr>
                <w:b/>
              </w:rPr>
              <w:t>The ONE new modelling artefact (prototyped in PRE.4).</w:t>
            </w:r>
          </w:p>
        </w:tc>
        <w:tc>
          <w:tcPr>
            <w:tcW w:type="dxa" w:w="1728"/>
          </w:tcPr>
          <w:p>
            <w:r>
              <w:t>6–10 hrs</w:t>
            </w:r>
          </w:p>
        </w:tc>
        <w:tc>
          <w:tcPr>
            <w:tcW w:type="dxa" w:w="1728"/>
          </w:tcPr>
          <w:p>
            <w:r>
              <w:t>Medium (reduced by PRE.4)</w:t>
            </w:r>
          </w:p>
        </w:tc>
        <w:tc>
          <w:tcPr>
            <w:tcW w:type="dxa" w:w="1728"/>
          </w:tcPr>
          <w:p>
            <w:r>
              <w:t>Round-trip reproduces 4b-scaffold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 xml:space="preserve">Route adapt decisions: </w:t>
            </w:r>
            <w:r>
              <w:rPr>
                <w:rFonts w:ascii="Consolas" w:hAnsi="Consolas"/>
                <w:color w:val="A03030"/>
                <w:sz w:val="18"/>
              </w:rPr>
              <w:t>CoastalNode.step()</w:t>
            </w:r>
            <w:r>
              <w:t xml:space="preserve"> → </w:t>
            </w:r>
            <w:r>
              <w:rPr>
                <w:rFonts w:ascii="Consolas" w:hAnsi="Consolas"/>
                <w:color w:val="A03030"/>
                <w:sz w:val="18"/>
              </w:rPr>
              <w:t>DynamoLiveRule.should_adapt</w:t>
            </w:r>
            <w:r>
              <w:t xml:space="preserve"> → node state. Close the coupling loop.</w:t>
            </w:r>
          </w:p>
        </w:tc>
        <w:tc>
          <w:tcPr>
            <w:tcW w:type="dxa" w:w="1728"/>
          </w:tcPr>
          <w:p>
            <w:r>
              <w:t>4–8 hrs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Decisions recorded in native arrays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 xml:space="preserve">Integrate sub-systems: gravity CWD, </w:t>
            </w:r>
            <w:r>
              <w:rPr>
                <w:rFonts w:ascii="Consolas" w:hAnsi="Consolas"/>
                <w:color w:val="A03030"/>
                <w:sz w:val="18"/>
              </w:rPr>
              <w:t>spin_up_flag</w:t>
            </w:r>
            <w:r>
              <w:t xml:space="preserve">, low-memory </w:t>
            </w:r>
            <w:r>
              <w:rPr>
                <w:rFonts w:ascii="Consolas" w:hAnsi="Consolas"/>
                <w:color w:val="A03030"/>
                <w:sz w:val="18"/>
              </w:rPr>
              <w:t>.npz</w:t>
            </w:r>
            <w:r>
              <w:t xml:space="preserve"> paging, </w:t>
            </w:r>
            <w:r>
              <w:rPr>
                <w:rFonts w:ascii="Consolas" w:hAnsi="Consolas"/>
                <w:color w:val="A03030"/>
                <w:sz w:val="18"/>
              </w:rPr>
              <w:t>geom_id '_flood_plain'</w:t>
            </w:r>
            <w:r>
              <w:t xml:space="preserve"> filtering, reporter.</w:t>
            </w:r>
          </w:p>
        </w:tc>
        <w:tc>
          <w:tcPr>
            <w:tcW w:type="dxa" w:w="1728"/>
          </w:tcPr>
          <w:p>
            <w:r>
              <w:t>4–8 hrs</w:t>
            </w:r>
          </w:p>
        </w:tc>
        <w:tc>
          <w:tcPr>
            <w:tcW w:type="dxa" w:w="1728"/>
          </w:tcPr>
          <w:p>
            <w:r>
              <w:t>Medium–High</w:t>
            </w:r>
          </w:p>
        </w:tc>
        <w:tc>
          <w:tcPr>
            <w:tcW w:type="dxa" w:w="1728"/>
          </w:tcPr>
          <w:p>
            <w:r>
              <w:t>All sub-step logic runs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Execute 4b-full gate: 4b-full ≡ 4b-scaffold bit-for-bit on a deterministic node population.</w:t>
            </w:r>
          </w:p>
        </w:tc>
        <w:tc>
          <w:tcPr>
            <w:tcW w:type="dxa" w:w="1728"/>
          </w:tcPr>
          <w:p>
            <w:r>
              <w:t>2–4 hrs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Bit-parity gate PASS</w:t>
            </w:r>
          </w:p>
        </w:tc>
      </w:tr>
    </w:tbl>
    <w:p/>
    <w:p>
      <w:r>
        <w:t>Total (unchanged): 20–40 hrs of infrastructure integration, no new science — now entered with the top risks (version drift, scale, adapter correctness, state-sharing pattern) retired in 4b-pre.</w:t>
      </w:r>
    </w:p>
    <w:p>
      <w:pPr>
        <w:pStyle w:val="Heading3"/>
      </w:pPr>
      <w:r>
        <w:t>7.3 Phase 5 — extending decision rules (unchanged)</w:t>
      </w:r>
    </w:p>
    <w:p>
      <w:r>
        <w:rPr>
          <w:rFonts w:ascii="Consolas" w:hAnsi="Consolas"/>
          <w:color w:val="A03030"/>
          <w:sz w:val="18"/>
        </w:rPr>
        <w:t>calcEU_insure</w:t>
      </w:r>
      <w:r>
        <w:t xml:space="preserve"> (insurance), migration + gravity, government/dike CBA — each as a new rule/agent class, never engine surgery.</w:t>
      </w:r>
    </w:p>
    <w:p>
      <w:pPr>
        <w:pStyle w:val="Heading2"/>
      </w:pPr>
      <w:r>
        <w:t>8. Consolidated, prioritised TODO backlog (updated 2026-07-09)</w:t>
      </w:r>
    </w:p>
    <w:p>
      <w:r>
        <w:t>Completed items from the 20260708 backlog are retained (struck) for traceability.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~~P0~~</w:t>
            </w:r>
          </w:p>
        </w:tc>
        <w:tc>
          <w:tcPr>
            <w:tcW w:type="dxa" w:w="1728"/>
          </w:tcPr>
          <w:p>
            <w:r>
              <w:t xml:space="preserve">~~Fix </w:t>
            </w:r>
            <w:r>
              <w:rPr>
                <w:rFonts w:ascii="Consolas" w:hAnsi="Consolas"/>
                <w:color w:val="A03030"/>
                <w:sz w:val="18"/>
              </w:rPr>
              <w:t>cfg.environment.max_slr</w:t>
            </w:r>
            <w:r>
              <w:t xml:space="preserve"> crash in demo summary~~</w:t>
            </w:r>
          </w:p>
        </w:tc>
        <w:tc>
          <w:tcPr>
            <w:tcW w:type="dxa" w:w="1728"/>
          </w:tcPr>
          <w:p>
            <w:r>
              <w:t>code §7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~~P0~~</w:t>
            </w:r>
          </w:p>
        </w:tc>
        <w:tc>
          <w:tcPr>
            <w:tcW w:type="dxa" w:w="1728"/>
          </w:tcPr>
          <w:p>
            <w:r>
              <w:t xml:space="preserve">~~Reconcile </w:t>
            </w:r>
            <w:r>
              <w:rPr>
                <w:rFonts w:ascii="Consolas" w:hAnsi="Consolas"/>
                <w:color w:val="A03030"/>
                <w:sz w:val="18"/>
              </w:rPr>
              <w:t>DecisionConfig</w:t>
            </w:r>
            <w:r>
              <w:t xml:space="preserve"> docstring vs defaults~~</w:t>
            </w:r>
          </w:p>
        </w:tc>
        <w:tc>
          <w:tcPr>
            <w:tcW w:type="dxa" w:w="1728"/>
          </w:tcPr>
          <w:p>
            <w:r>
              <w:t>code §7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~~P1~~</w:t>
            </w:r>
          </w:p>
        </w:tc>
        <w:tc>
          <w:tcPr>
            <w:tcW w:type="dxa" w:w="1728"/>
          </w:tcPr>
          <w:p>
            <w:r>
              <w:t>~~Validate SEU vs DYNAMO-M on reference scenario; run §12.1 battery~~</w:t>
            </w:r>
          </w:p>
        </w:tc>
        <w:tc>
          <w:tcPr>
            <w:tcW w:type="dxa" w:w="1728"/>
          </w:tcPr>
          <w:p>
            <w:r>
              <w:t>docx roadmap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DONE (on bridge; see VER.1)</w:t>
            </w:r>
          </w:p>
        </w:tc>
      </w:tr>
      <w:tr>
        <w:tc>
          <w:tcPr>
            <w:tcW w:type="dxa" w:w="1728"/>
          </w:tcPr>
          <w:p>
            <w:r>
              <w:t>~~P2~~</w:t>
            </w:r>
          </w:p>
        </w:tc>
        <w:tc>
          <w:tcPr>
            <w:tcW w:type="dxa" w:w="1728"/>
          </w:tcPr>
          <w:p>
            <w:r>
              <w:t>~~Event drawing / time loop / accessor consolidation~~</w:t>
            </w:r>
          </w:p>
        </w:tc>
        <w:tc>
          <w:tcPr>
            <w:tcW w:type="dxa" w:w="1728"/>
          </w:tcPr>
          <w:p>
            <w:r>
              <w:t>docx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~~P3~~</w:t>
            </w:r>
          </w:p>
        </w:tc>
        <w:tc>
          <w:tcPr>
            <w:tcW w:type="dxa" w:w="1728"/>
          </w:tcPr>
          <w:p>
            <w:r>
              <w:t>~~</w:t>
            </w:r>
            <w:r>
              <w:rPr>
                <w:rFonts w:ascii="Consolas" w:hAnsi="Consolas"/>
                <w:color w:val="A03030"/>
                <w:sz w:val="18"/>
              </w:rPr>
              <w:t>SimulationEngine</w:t>
            </w:r>
            <w:r>
              <w:t xml:space="preserve"> + </w:t>
            </w:r>
            <w:r>
              <w:rPr>
                <w:rFonts w:ascii="Consolas" w:hAnsi="Consolas"/>
                <w:color w:val="A03030"/>
                <w:sz w:val="18"/>
              </w:rPr>
              <w:t>DecisionRule</w:t>
            </w:r>
            <w:r>
              <w:t xml:space="preserve"> (Threshold, SEU); widened interface; lifespan reset~~</w:t>
            </w:r>
          </w:p>
        </w:tc>
        <w:tc>
          <w:tcPr>
            <w:tcW w:type="dxa" w:w="1728"/>
          </w:tcPr>
          <w:p>
            <w:r>
              <w:t>docx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~~P4a~~</w:t>
            </w:r>
          </w:p>
        </w:tc>
        <w:tc>
          <w:tcPr>
            <w:tcW w:type="dxa" w:w="1728"/>
          </w:tcPr>
          <w:p>
            <w:r>
              <w:t xml:space="preserve">~~Live DYNAMO-M </w:t>
            </w:r>
            <w:r>
              <w:rPr>
                <w:rFonts w:ascii="Consolas" w:hAnsi="Consolas"/>
                <w:color w:val="A03030"/>
                <w:sz w:val="18"/>
              </w:rPr>
              <w:t>DecisionModule</w:t>
            </w:r>
            <w:r>
              <w:t xml:space="preserve"> parity oracle~~</w:t>
            </w:r>
          </w:p>
        </w:tc>
        <w:tc>
          <w:tcPr>
            <w:tcW w:type="dxa" w:w="1728"/>
          </w:tcPr>
          <w:p>
            <w:r>
              <w:t>feasibility review</w:t>
            </w:r>
          </w:p>
        </w:tc>
        <w:tc>
          <w:tcPr>
            <w:tcW w:type="dxa" w:w="1728"/>
          </w:tcPr>
          <w:p>
            <w:r>
              <w:t>4a</w:t>
            </w:r>
          </w:p>
        </w:tc>
        <w:tc>
          <w:tcPr>
            <w:tcW w:type="dxa" w:w="1728"/>
          </w:tcPr>
          <w:p>
            <w:r>
              <w:t>DONE (gate PASS)</w:t>
            </w:r>
          </w:p>
        </w:tc>
      </w:tr>
      <w:tr>
        <w:tc>
          <w:tcPr>
            <w:tcW w:type="dxa" w:w="1728"/>
          </w:tcPr>
          <w:p>
            <w:r>
              <w:t>~~P4b~~</w:t>
            </w:r>
          </w:p>
        </w:tc>
        <w:tc>
          <w:tcPr>
            <w:tcW w:type="dxa" w:w="1728"/>
          </w:tcPr>
          <w:p>
            <w:r>
              <w:t>~~Mesa-native driving (scaffold): time-ownership inversion, bit-parity gate~~</w:t>
            </w:r>
          </w:p>
        </w:tc>
        <w:tc>
          <w:tcPr>
            <w:tcW w:type="dxa" w:w="1728"/>
          </w:tcPr>
          <w:p>
            <w:r>
              <w:t>docx</w:t>
            </w:r>
          </w:p>
        </w:tc>
        <w:tc>
          <w:tcPr>
            <w:tcW w:type="dxa" w:w="1728"/>
          </w:tcPr>
          <w:p>
            <w:r>
              <w:t>4b</w:t>
            </w:r>
          </w:p>
        </w:tc>
        <w:tc>
          <w:tcPr>
            <w:tcW w:type="dxa" w:w="1728"/>
          </w:tcPr>
          <w:p>
            <w:r>
              <w:t>DONE (gate PASS)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P0</w:t>
            </w:r>
          </w:p>
        </w:tc>
        <w:tc>
          <w:tcPr>
            <w:tcW w:type="dxa" w:w="1728"/>
          </w:tcPr>
          <w:p>
            <w:r>
              <w:t>PRE.1 — pin honeybees/mesa in isolated env; import/instantiate test</w:t>
            </w:r>
          </w:p>
        </w:tc>
        <w:tc>
          <w:tcPr>
            <w:tcW w:type="dxa" w:w="1728"/>
          </w:tcPr>
          <w:p>
            <w:r>
              <w:t>2026-07-09 review</w:t>
            </w:r>
          </w:p>
        </w:tc>
        <w:tc>
          <w:tcPr>
            <w:tcW w:type="dxa" w:w="1728"/>
          </w:tcPr>
          <w:p>
            <w:r>
              <w:t>4b-pre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DONE</w:t>
            </w:r>
            <w:r>
              <w:t xml:space="preserve"> — executed: mesa 3.3.1 / honeybees 1.2.0 pinned; DYNAMO-M </w:t>
            </w:r>
            <w:r>
              <w:rPr>
                <w:rFonts w:ascii="Consolas" w:hAnsi="Consolas"/>
                <w:color w:val="A03030"/>
                <w:sz w:val="18"/>
              </w:rPr>
              <w:t>DecisionModule</w:t>
            </w:r>
            <w:r>
              <w:t xml:space="preserve"> + </w:t>
            </w:r>
            <w:r>
              <w:rPr>
                <w:rFonts w:ascii="Consolas" w:hAnsi="Consolas"/>
                <w:color w:val="A03030"/>
                <w:sz w:val="18"/>
              </w:rPr>
              <w:t>SLRModel</w:t>
            </w:r>
            <w:r>
              <w:t xml:space="preserve"> import/instantiate (gate_pass True)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P0</w:t>
            </w:r>
          </w:p>
        </w:tc>
        <w:tc>
          <w:tcPr>
            <w:tcW w:type="dxa" w:w="1728"/>
          </w:tcPr>
          <w:p>
            <w:r>
              <w:t xml:space="preserve">PRE.3 — fix </w:t>
            </w:r>
            <w:r>
              <w:rPr>
                <w:rFonts w:ascii="Consolas" w:hAnsi="Consolas"/>
                <w:color w:val="A03030"/>
                <w:sz w:val="18"/>
              </w:rPr>
              <w:t>engine.reset_state()</w:t>
            </w:r>
            <w:r>
              <w:t xml:space="preserve"> shared-engine wart in </w:t>
            </w:r>
            <w:r>
              <w:rPr>
                <w:rFonts w:ascii="Consolas" w:hAnsi="Consolas"/>
                <w:color w:val="A03030"/>
                <w:sz w:val="18"/>
              </w:rPr>
              <w:t>FloodAdaptSLRModel</w:t>
            </w:r>
          </w:p>
        </w:tc>
        <w:tc>
          <w:tcPr>
            <w:tcW w:type="dxa" w:w="1728"/>
          </w:tcPr>
          <w:p>
            <w:r>
              <w:t>2026-07-09 review (</w:t>
            </w:r>
            <w:r>
              <w:rPr>
                <w:rFonts w:ascii="Consolas" w:hAnsi="Consolas"/>
                <w:color w:val="A03030"/>
                <w:sz w:val="18"/>
              </w:rPr>
              <w:t>mesa_native.py:174</w:t>
            </w:r>
            <w:r>
              <w:t>)</w:t>
            </w:r>
          </w:p>
        </w:tc>
        <w:tc>
          <w:tcPr>
            <w:tcW w:type="dxa" w:w="1728"/>
          </w:tcPr>
          <w:p>
            <w:r>
              <w:t>4b-pre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DONE</w:t>
            </w:r>
            <w:r>
              <w:t xml:space="preserve"> (</w:t>
            </w:r>
            <w:r>
              <w:rPr>
                <w:rFonts w:ascii="Consolas" w:hAnsi="Consolas"/>
                <w:color w:val="A03030"/>
                <w:sz w:val="18"/>
              </w:rPr>
              <w:t>state_epoch</w:t>
            </w:r>
            <w:r>
              <w:t xml:space="preserve"> guard + 4 tests, commit </w:t>
            </w:r>
            <w:r>
              <w:rPr>
                <w:rFonts w:ascii="Consolas" w:hAnsi="Consolas"/>
                <w:color w:val="A03030"/>
                <w:sz w:val="18"/>
              </w:rPr>
              <w:t>7ceb144</w:t>
            </w:r>
            <w:r>
              <w:t>; tests PASS)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P0</w:t>
            </w:r>
          </w:p>
        </w:tc>
        <w:tc>
          <w:tcPr>
            <w:tcW w:type="dxa" w:w="1728"/>
          </w:tcPr>
          <w:p>
            <w:r>
              <w:t xml:space="preserve">HYG.1 — rewrite stale root </w:t>
            </w:r>
            <w:r>
              <w:rPr>
                <w:rFonts w:ascii="Consolas" w:hAnsi="Consolas"/>
                <w:color w:val="A03030"/>
                <w:sz w:val="18"/>
              </w:rPr>
              <w:t>README.md</w:t>
            </w:r>
          </w:p>
        </w:tc>
        <w:tc>
          <w:tcPr>
            <w:tcW w:type="dxa" w:w="1728"/>
          </w:tcPr>
          <w:p>
            <w:r>
              <w:t>2026-07-09 review</w:t>
            </w:r>
          </w:p>
        </w:tc>
        <w:tc>
          <w:tcPr>
            <w:tcW w:type="dxa" w:w="1728"/>
          </w:tcPr>
          <w:p>
            <w:r>
              <w:t>4b-pre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DONE</w:t>
            </w:r>
            <w:r>
              <w:t xml:space="preserve"> (commit </w:t>
            </w:r>
            <w:r>
              <w:rPr>
                <w:rFonts w:ascii="Consolas" w:hAnsi="Consolas"/>
                <w:color w:val="A03030"/>
                <w:sz w:val="18"/>
              </w:rPr>
              <w:t>d05a97a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 xml:space="preserve">PRE.2 — run gates on real Charleston table; profile </w:t>
            </w:r>
            <w:r>
              <w:rPr>
                <w:rFonts w:ascii="Consolas" w:hAnsi="Consolas"/>
                <w:color w:val="A03030"/>
                <w:sz w:val="18"/>
              </w:rPr>
              <w:t>engine.step()</w:t>
            </w:r>
          </w:p>
        </w:tc>
        <w:tc>
          <w:tcPr>
            <w:tcW w:type="dxa" w:w="1728"/>
          </w:tcPr>
          <w:p>
            <w:r>
              <w:t>2026-07-09 review</w:t>
            </w:r>
          </w:p>
        </w:tc>
        <w:tc>
          <w:tcPr>
            <w:tcW w:type="dxa" w:w="1728"/>
          </w:tcPr>
          <w:p>
            <w:r>
              <w:t>4b-pre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DONE / PASS</w:t>
            </w:r>
            <w:r>
              <w:t xml:space="preserve"> — executed on the real 61,858 × 207 table (57,976 agents); </w:t>
            </w:r>
            <w:r>
              <w:rPr>
                <w:rFonts w:ascii="Consolas" w:hAnsi="Consolas"/>
                <w:color w:val="A03030"/>
                <w:sz w:val="18"/>
              </w:rPr>
              <w:t>gate_pass: True</w:t>
            </w:r>
            <w:r>
              <w:t xml:space="preserve"> (4b bit-parity + 4a subset parity). Surfaced + fixed a full-scale interpolation bottleneck (cube materialize-once + per-SLR cache; ×1.4 parallel </w:t>
            </w:r>
            <w:r>
              <w:rPr>
                <w:rFonts w:ascii="Consolas" w:hAnsi="Consolas"/>
                <w:color w:val="A03030"/>
                <w:sz w:val="18"/>
              </w:rPr>
              <w:t>n_jobs</w:t>
            </w:r>
            <w:r>
              <w:t xml:space="preserve">); report/metrics in </w:t>
            </w:r>
            <w:r>
              <w:rPr>
                <w:rFonts w:ascii="Consolas" w:hAnsi="Consolas"/>
                <w:color w:val="A03030"/>
                <w:sz w:val="18"/>
              </w:rPr>
              <w:t>verification/real_table_gate/</w:t>
            </w:r>
            <w:r>
              <w:t xml:space="preserve"> — see </w:t>
            </w:r>
            <w:r>
              <w:rPr>
                <w:rFonts w:ascii="Consolas" w:hAnsi="Consolas"/>
                <w:color w:val="A03030"/>
                <w:sz w:val="18"/>
              </w:rPr>
              <w:t>20260709_performed_tasks.md</w:t>
            </w:r>
            <w:r>
              <w:t xml:space="preserve"> §6.1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 xml:space="preserve">VER.1 — re-run V1–V6 battery on </w:t>
            </w:r>
            <w:r>
              <w:rPr>
                <w:rFonts w:ascii="Consolas" w:hAnsi="Consolas"/>
                <w:color w:val="A03030"/>
                <w:sz w:val="18"/>
              </w:rPr>
              <w:t>SimulationEngine</w:t>
            </w:r>
            <w:r>
              <w:t>+</w:t>
            </w:r>
            <w:r>
              <w:rPr>
                <w:rFonts w:ascii="Consolas" w:hAnsi="Consolas"/>
                <w:color w:val="A03030"/>
                <w:sz w:val="18"/>
              </w:rPr>
              <w:t>SEURule</w:t>
            </w:r>
            <w:r>
              <w:t>; regenerate V5 (lifespan now closed)</w:t>
            </w:r>
          </w:p>
        </w:tc>
        <w:tc>
          <w:tcPr>
            <w:tcW w:type="dxa" w:w="1728"/>
          </w:tcPr>
          <w:p>
            <w:r>
              <w:t>2026-07-09 review</w:t>
            </w:r>
          </w:p>
        </w:tc>
        <w:tc>
          <w:tcPr>
            <w:tcW w:type="dxa" w:w="1728"/>
          </w:tcPr>
          <w:p>
            <w:r>
              <w:t>4b-pre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DONE (battery re-run + figures regenerated)</w:t>
            </w:r>
            <w:r>
              <w:t xml:space="preserve"> — V1–V4/V6 PASS; V5 stays "GAP" on the legacy-bridge harness (engine path's lifespan reset is unit-tested green); porting the harness onto the engine API is the residual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>HYG.3 — CI pipeline (pytest + examples + 4b gate)</w:t>
            </w:r>
          </w:p>
        </w:tc>
        <w:tc>
          <w:tcPr>
            <w:tcW w:type="dxa" w:w="1728"/>
          </w:tcPr>
          <w:p>
            <w:r>
              <w:t>2026-07-09 review</w:t>
            </w:r>
          </w:p>
        </w:tc>
        <w:tc>
          <w:tcPr>
            <w:tcW w:type="dxa" w:w="1728"/>
          </w:tcPr>
          <w:p>
            <w:r>
              <w:t>4b-pre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DONE</w:t>
            </w:r>
            <w:r>
              <w:t xml:space="preserve"> (</w:t>
            </w:r>
            <w:r>
              <w:rPr>
                <w:rFonts w:ascii="Consolas" w:hAnsi="Consolas"/>
                <w:color w:val="A03030"/>
                <w:sz w:val="18"/>
              </w:rPr>
              <w:t>.github/workflows/ci.yml</w:t>
            </w:r>
            <w:r>
              <w:t xml:space="preserve">, commit </w:t>
            </w:r>
            <w:r>
              <w:rPr>
                <w:rFonts w:ascii="Consolas" w:hAnsi="Consolas"/>
                <w:color w:val="A03030"/>
                <w:sz w:val="18"/>
              </w:rPr>
              <w:t>8b7384c</w:t>
            </w:r>
            <w:r>
              <w:t>; activates on push)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 xml:space="preserve">HYG.2 — de-machine-ify </w:t>
            </w:r>
            <w:r>
              <w:rPr>
                <w:rFonts w:ascii="Consolas" w:hAnsi="Consolas"/>
                <w:color w:val="A03030"/>
                <w:sz w:val="18"/>
              </w:rPr>
              <w:t>AGENTS.md</w:t>
            </w:r>
            <w:r>
              <w:t>; vendor verification bundles into repo</w:t>
            </w:r>
          </w:p>
        </w:tc>
        <w:tc>
          <w:tcPr>
            <w:tcW w:type="dxa" w:w="1728"/>
          </w:tcPr>
          <w:p>
            <w:r>
              <w:t>2026-07-09 review</w:t>
            </w:r>
          </w:p>
        </w:tc>
        <w:tc>
          <w:tcPr>
            <w:tcW w:type="dxa" w:w="1728"/>
          </w:tcPr>
          <w:p>
            <w:r>
              <w:t>4b-pre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DONE</w:t>
            </w:r>
            <w:r>
              <w:t xml:space="preserve"> (commits </w:t>
            </w:r>
            <w:r>
              <w:rPr>
                <w:rFonts w:ascii="Consolas" w:hAnsi="Consolas"/>
                <w:color w:val="A03030"/>
                <w:sz w:val="18"/>
              </w:rPr>
              <w:t>3af86e8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87ea7c6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P2</w:t>
            </w:r>
          </w:p>
        </w:tc>
        <w:tc>
          <w:tcPr>
            <w:tcW w:type="dxa" w:w="1728"/>
          </w:tcPr>
          <w:p>
            <w:r>
              <w:t>PRE.4 — standalone lookup-table → CoastalNode adapter prototype on frozen synthetic nodes</w:t>
            </w:r>
          </w:p>
        </w:tc>
        <w:tc>
          <w:tcPr>
            <w:tcW w:type="dxa" w:w="1728"/>
          </w:tcPr>
          <w:p>
            <w:r>
              <w:t>2026-07-09 review</w:t>
            </w:r>
          </w:p>
        </w:tc>
        <w:tc>
          <w:tcPr>
            <w:tcW w:type="dxa" w:w="1728"/>
          </w:tcPr>
          <w:p>
            <w:r>
              <w:t>4b-pre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DONE</w:t>
            </w:r>
            <w:r>
              <w:t xml:space="preserve"> (</w:t>
            </w:r>
            <w:r>
              <w:rPr>
                <w:rFonts w:ascii="Consolas" w:hAnsi="Consolas"/>
                <w:color w:val="A03030"/>
                <w:sz w:val="18"/>
              </w:rPr>
              <w:t>coastal_node_adapter.py</w:t>
            </w:r>
            <w:r>
              <w:t xml:space="preserve"> + 10 tests, commit </w:t>
            </w:r>
            <w:r>
              <w:rPr>
                <w:rFonts w:ascii="Consolas" w:hAnsi="Consolas"/>
                <w:color w:val="A03030"/>
                <w:sz w:val="18"/>
              </w:rPr>
              <w:t>1cb7862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P2</w:t>
            </w:r>
          </w:p>
        </w:tc>
        <w:tc>
          <w:tcPr>
            <w:tcW w:type="dxa" w:w="1728"/>
          </w:tcPr>
          <w:p>
            <w:r>
              <w:t>VER.2 — verification bundle portability (figures/, data/, env-var paths, README rename)</w:t>
            </w:r>
          </w:p>
        </w:tc>
        <w:tc>
          <w:tcPr>
            <w:tcW w:type="dxa" w:w="1728"/>
          </w:tcPr>
          <w:p>
            <w:r>
              <w:t>2026-07-09 review</w:t>
            </w:r>
          </w:p>
        </w:tc>
        <w:tc>
          <w:tcPr>
            <w:tcW w:type="dxa" w:w="1728"/>
          </w:tcPr>
          <w:p>
            <w:r>
              <w:t>4b-pre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DONE</w:t>
            </w:r>
            <w:r>
              <w:t xml:space="preserve"> (figures regenerated by VER.1 execution)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P2</w:t>
            </w:r>
          </w:p>
        </w:tc>
        <w:tc>
          <w:tcPr>
            <w:tcW w:type="dxa" w:w="1728"/>
          </w:tcPr>
          <w:p>
            <w:r>
              <w:t xml:space="preserve">HYG.4 — engine-based notebook; convert </w:t>
            </w:r>
            <w:r>
              <w:rPr>
                <w:rFonts w:ascii="Consolas" w:hAnsi="Consolas"/>
                <w:color w:val="A03030"/>
                <w:sz w:val="18"/>
              </w:rPr>
              <w:t>.docx</w:t>
            </w:r>
            <w:r>
              <w:t xml:space="preserve"> design docs to Markdown</w:t>
            </w:r>
          </w:p>
        </w:tc>
        <w:tc>
          <w:tcPr>
            <w:tcW w:type="dxa" w:w="1728"/>
          </w:tcPr>
          <w:p>
            <w:r>
              <w:t>2026-07-09 review</w:t>
            </w:r>
          </w:p>
        </w:tc>
        <w:tc>
          <w:tcPr>
            <w:tcW w:type="dxa" w:w="1728"/>
          </w:tcPr>
          <w:p>
            <w:r>
              <w:t>4b-pre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DONE</w:t>
            </w:r>
            <w:r>
              <w:t xml:space="preserve"> (notebook 3 + </w:t>
            </w:r>
            <w:r>
              <w:rPr>
                <w:rFonts w:ascii="Consolas" w:hAnsi="Consolas"/>
                <w:color w:val="A03030"/>
                <w:sz w:val="18"/>
              </w:rPr>
              <w:t>docs/*.md</w:t>
            </w:r>
            <w:r>
              <w:t xml:space="preserve">, commit </w:t>
            </w:r>
            <w:r>
              <w:rPr>
                <w:rFonts w:ascii="Consolas" w:hAnsi="Consolas"/>
                <w:color w:val="A03030"/>
                <w:sz w:val="18"/>
              </w:rPr>
              <w:t>2225ae6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P3</w:t>
            </w:r>
          </w:p>
        </w:tc>
        <w:tc>
          <w:tcPr>
            <w:tcW w:type="dxa" w:w="1728"/>
          </w:tcPr>
          <w:p>
            <w:r>
              <w:t>VER.3 — empirical native V5 lifespan reference run</w:t>
            </w:r>
          </w:p>
        </w:tc>
        <w:tc>
          <w:tcPr>
            <w:tcW w:type="dxa" w:w="1728"/>
          </w:tcPr>
          <w:p>
            <w:r>
              <w:t>2026-07-09 review</w:t>
            </w:r>
          </w:p>
        </w:tc>
        <w:tc>
          <w:tcPr>
            <w:tcW w:type="dxa" w:w="1728"/>
          </w:tcPr>
          <w:p>
            <w:r>
              <w:t>4b-full (after step 1)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P4b</w:t>
            </w:r>
          </w:p>
        </w:tc>
        <w:tc>
          <w:tcPr>
            <w:tcW w:type="dxa" w:w="1728"/>
          </w:tcPr>
          <w:p>
            <w:r>
              <w:t xml:space="preserve">4b-full steps 2–6 (bind real honeybees </w:t>
            </w:r>
            <w:r>
              <w:rPr>
                <w:rFonts w:ascii="Consolas" w:hAnsi="Consolas"/>
                <w:color w:val="A03030"/>
                <w:sz w:val="18"/>
              </w:rPr>
              <w:t>SLRModel</w:t>
            </w:r>
            <w:r>
              <w:t>)</w:t>
            </w:r>
          </w:p>
        </w:tc>
        <w:tc>
          <w:tcPr>
            <w:tcW w:type="dxa" w:w="1728"/>
          </w:tcPr>
          <w:p>
            <w:r>
              <w:t>docx roadmap §7.2</w:t>
            </w:r>
          </w:p>
        </w:tc>
        <w:tc>
          <w:tcPr>
            <w:tcW w:type="dxa" w:w="1728"/>
          </w:tcPr>
          <w:p>
            <w:r>
              <w:t>4b-full</w:t>
            </w:r>
          </w:p>
        </w:tc>
        <w:tc>
          <w:tcPr>
            <w:tcW w:type="dxa" w:w="1728"/>
          </w:tcPr>
          <w:p>
            <w:r>
              <w:t>BLOCKED on 4b-pre P0/P1 items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P5</w:t>
            </w:r>
          </w:p>
        </w:tc>
        <w:tc>
          <w:tcPr>
            <w:tcW w:type="dxa" w:w="1728"/>
          </w:tcPr>
          <w:p>
            <w:r>
              <w:t>Insurance / migration / government rules</w:t>
            </w:r>
          </w:p>
        </w:tc>
        <w:tc>
          <w:tcPr>
            <w:tcW w:type="dxa" w:w="1728"/>
          </w:tcPr>
          <w:p>
            <w:r>
              <w:t>docx roadmap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FUTURE</w:t>
            </w:r>
          </w:p>
        </w:tc>
      </w:tr>
    </w:tbl>
    <w:p/>
    <w:p>
      <w:pPr>
        <w:pStyle w:val="Heading2"/>
      </w:pPr>
      <w:r>
        <w:t>9. Phase gate summary (updated)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Exit 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Green examples + reconciled config</w:t>
            </w:r>
          </w:p>
        </w:tc>
        <w:tc>
          <w:tcPr>
            <w:tcW w:type="dxa" w:w="2160"/>
          </w:tcPr>
          <w:p>
            <w:r>
              <w:t>Both demos run; 41 tests pass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Validated SEU</w:t>
            </w:r>
          </w:p>
        </w:tc>
        <w:tc>
          <w:tcPr>
            <w:tcW w:type="dxa" w:w="2160"/>
          </w:tcPr>
          <w:p>
            <w:r>
              <w:t>§12.1 battery passes; SEU == DYNAMO-M within tol.</w:t>
            </w:r>
          </w:p>
        </w:tc>
        <w:tc>
          <w:tcPr>
            <w:tcW w:type="dxa" w:w="2160"/>
          </w:tcPr>
          <w:p>
            <w:r>
              <w:t>✅ PASS (battery re-run 2026-07-09; V1–V4/V6 PASS; V5 engine-path reset unit-tested)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Core event+time engine</w:t>
            </w:r>
          </w:p>
        </w:tc>
        <w:tc>
          <w:tcPr>
            <w:tcW w:type="dxa" w:w="2160"/>
          </w:tcPr>
          <w:p>
            <w:r>
              <w:t>No decision logic left in example scripts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SimulationEngine</w:t>
            </w:r>
            <w:r>
              <w:t xml:space="preserve"> + rules</w:t>
            </w:r>
          </w:p>
        </w:tc>
        <w:tc>
          <w:tcPr>
            <w:tcW w:type="dxa" w:w="2160"/>
          </w:tcPr>
          <w:p>
            <w:r>
              <w:t>ThresholdRule reproduces legacy output; lifespan reset shipped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4a</w:t>
            </w:r>
          </w:p>
        </w:tc>
        <w:tc>
          <w:tcPr>
            <w:tcW w:type="dxa" w:w="2160"/>
          </w:tcPr>
          <w:p>
            <w:r>
              <w:t>Live DYNAMO-M SEU parity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calcEU_*</w:t>
            </w:r>
            <w:r>
              <w:t xml:space="preserve"> parity within tol.; import optional/guarded</w:t>
            </w:r>
          </w:p>
        </w:tc>
        <w:tc>
          <w:tcPr>
            <w:tcW w:type="dxa" w:w="2160"/>
          </w:tcPr>
          <w:p>
            <w:r>
              <w:t>✅ PASS (worst EU abs 1.9e-6, rel 4.8e-7)</w:t>
            </w:r>
          </w:p>
        </w:tc>
      </w:tr>
      <w:tr>
        <w:tc>
          <w:tcPr>
            <w:tcW w:type="dxa" w:w="2160"/>
          </w:tcPr>
          <w:p>
            <w:r>
              <w:t>4b</w:t>
            </w:r>
          </w:p>
        </w:tc>
        <w:tc>
          <w:tcPr>
            <w:tcW w:type="dxa" w:w="2160"/>
          </w:tcPr>
          <w:p>
            <w:r>
              <w:t>Mesa-native driving (scaffold)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run_mesa_native == engine.run</w:t>
            </w:r>
            <w:r>
              <w:t xml:space="preserve"> bit-for-bit</w:t>
            </w:r>
          </w:p>
        </w:tc>
        <w:tc>
          <w:tcPr>
            <w:tcW w:type="dxa" w:w="2160"/>
          </w:tcPr>
          <w:p>
            <w:r>
              <w:t>✅ PASS (5/5 cases)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4b-pre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De-risking + hygiene (this doc)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PRE.1–4 + HYG.1–4 + VER.1–2 complete; CI green; README/AGENTS accurate; battery re-run on engine; real-table gate executed</w:t>
            </w:r>
          </w:p>
        </w:tc>
        <w:tc>
          <w:tcPr>
            <w:tcW w:type="dxa" w:w="2160"/>
          </w:tcPr>
          <w:p>
            <w:r>
              <w:t xml:space="preserve">✅ DONE (2026-07-09: merged into </w:t>
            </w:r>
            <w:r>
              <w:rPr>
                <w:rFonts w:ascii="Consolas" w:hAnsi="Consolas"/>
                <w:color w:val="A03030"/>
                <w:sz w:val="18"/>
              </w:rPr>
              <w:t>sahand-asgarpour/FloodAdapt-ABM</w:t>
            </w:r>
            <w:r>
              <w:t xml:space="preserve">, one commit per task; 125 tests PASS; PRE.1 executed; </w:t>
            </w:r>
            <w:r>
              <w:rPr>
                <w:b/>
              </w:rPr>
              <w:t>PRE.2 executed → gate_pass: True</w:t>
            </w:r>
            <w:r>
              <w:t xml:space="preserve"> on the real 61,858 × 207 table, after fixing a full-scale interpolation bottleneck (per-SLR cube cache + parallel </w:t>
            </w:r>
            <w:r>
              <w:rPr>
                <w:rFonts w:ascii="Consolas" w:hAnsi="Consolas"/>
                <w:color w:val="A03030"/>
                <w:sz w:val="18"/>
              </w:rPr>
              <w:t>n_jobs</w:t>
            </w:r>
            <w:r>
              <w:t xml:space="preserve">, commit </w:t>
            </w:r>
            <w:r>
              <w:rPr>
                <w:rFonts w:ascii="Consolas" w:hAnsi="Consolas"/>
                <w:color w:val="A03030"/>
                <w:sz w:val="18"/>
              </w:rPr>
              <w:t>6f45d6f</w:t>
            </w:r>
            <w:r>
              <w:t xml:space="preserve">); VER.1 battery + figures regenerated; pushed to </w:t>
            </w:r>
            <w:r>
              <w:rPr>
                <w:rFonts w:ascii="Consolas" w:hAnsi="Consolas"/>
                <w:color w:val="A03030"/>
                <w:sz w:val="18"/>
              </w:rPr>
              <w:t>origin/main</w:t>
            </w:r>
            <w:r>
              <w:t xml:space="preserve"> — see </w:t>
            </w:r>
            <w:r>
              <w:rPr>
                <w:rFonts w:ascii="Consolas" w:hAnsi="Consolas"/>
                <w:color w:val="A03030"/>
                <w:sz w:val="18"/>
              </w:rPr>
              <w:t>20260709_performed_tasks.md</w:t>
            </w:r>
            <w:r>
              <w:t xml:space="preserve"> §6 + §6.1. Residual: port the standalone V5 harness onto the engine API)</w:t>
            </w:r>
          </w:p>
        </w:tc>
      </w:tr>
      <w:tr>
        <w:tc>
          <w:tcPr>
            <w:tcW w:type="dxa" w:w="2160"/>
          </w:tcPr>
          <w:p>
            <w:r>
              <w:t>4b-full</w:t>
            </w:r>
          </w:p>
        </w:tc>
        <w:tc>
          <w:tcPr>
            <w:tcW w:type="dxa" w:w="2160"/>
          </w:tcPr>
          <w:p>
            <w:r>
              <w:t>Full Mesa-native integration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SLRModel.step()</w:t>
            </w:r>
            <w:r>
              <w:t xml:space="preserve"> drives native </w:t>
            </w:r>
            <w:r>
              <w:rPr>
                <w:rFonts w:ascii="Consolas" w:hAnsi="Consolas"/>
                <w:color w:val="A03030"/>
                <w:sz w:val="18"/>
              </w:rPr>
              <w:t>CoastalNode</w:t>
            </w:r>
            <w:r>
              <w:t xml:space="preserve"> population from the lookup table; 4b-full ≡ 4b-scaffold bit-for-bit</w:t>
            </w:r>
          </w:p>
        </w:tc>
        <w:tc>
          <w:tcPr>
            <w:tcW w:type="dxa" w:w="2160"/>
          </w:tcPr>
          <w:p>
            <w:r>
              <w:t>🔲 BLOCKED on 4b-pre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Extending decision 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calcEU_insure</w:t>
            </w:r>
            <w:r>
              <w:t>, migration, government CBA as new rules</w:t>
            </w:r>
          </w:p>
        </w:tc>
        <w:tc>
          <w:tcPr>
            <w:tcW w:type="dxa" w:w="2160"/>
          </w:tcPr>
          <w:p>
            <w:r>
              <w:t>🔲 FUTURE</w:t>
            </w:r>
          </w:p>
        </w:tc>
      </w:tr>
    </w:tbl>
    <w:p/>
    <w:p>
      <w:r>
        <w:rPr>
          <w:b/>
        </w:rPr>
        <w:t>Gate rule:</w:t>
      </w:r>
      <w:r>
        <w:t xml:space="preserve"> do not start 4b-full step 2 until the 4b-pre P0 items (PRE.1, PRE.3, HYG.1) and P1 items (PRE.2, VER.1, HYG.2, HYG.3) are closed. PRE.4 may run in parallel with 4b-full step 2. </w:t>
      </w:r>
      <w:r>
        <w:rPr>
          <w:b/>
        </w:rPr>
        <w:t>Status (2026-07-09): all P0/P1 4b-pre items closed — the gate is OPEN; 4b-full step 2 may begin.</w:t>
      </w:r>
    </w:p>
    <w:p>
      <w:pPr>
        <w:pStyle w:val="Heading2"/>
      </w:pPr>
      <w:r>
        <w:t>10. Go/No-Go &amp; execution strategy</w:t>
      </w:r>
    </w:p>
    <w:p>
      <w:r>
        <w:rPr>
          <w:b/>
        </w:rPr>
        <w:t>Status (2026-07-09):</w:t>
      </w:r>
      <w:r>
        <w:t xml:space="preserve"> Phases 0–4b(scaffold) are COMPLETE with all gates PASS. The 2026-07-09 review confirmed the verification results are genuine and internally consistent, with four qualifications (battery ran on the old bridge; V5 verdict stale; bundle missing figures / uses hardcoded paths; all validation synthetic-only). </w:t>
      </w:r>
      <w:r>
        <w:rPr>
          <w:b/>
        </w:rPr>
        <w:t>4b-pre is GO immediately; 4b-full is GO once the 4b-pre gate closes.</w:t>
      </w:r>
    </w:p>
    <w:p>
      <w:r>
        <w:t>Recommended sequencing (roughly one week of part-time effort):</w:t>
      </w:r>
    </w:p>
    <w:p>
      <w:pPr>
        <w:pStyle w:val="ListNumber"/>
      </w:pPr>
      <w:r>
        <w:rPr>
          <w:b/>
        </w:rPr>
        <w:t>Day 1:</w:t>
      </w:r>
      <w:r>
        <w:t xml:space="preserve"> PRE.1 (pin env) + PRE.3 (state-sharing fix) + HYG.1 (README) — the three P0s are independent and small.</w:t>
      </w:r>
    </w:p>
    <w:p>
      <w:pPr>
        <w:pStyle w:val="ListNumber"/>
      </w:pPr>
      <w:r>
        <w:rPr>
          <w:b/>
        </w:rPr>
        <w:t>Day 2–3:</w:t>
      </w:r>
      <w:r>
        <w:t xml:space="preserve"> VER.1 (battery re-run on engine) + HYG.3 (CI, wiring the regenerated gates in) + HYG.2 (paths/vendoring).</w:t>
      </w:r>
    </w:p>
    <w:p>
      <w:pPr>
        <w:pStyle w:val="ListNumber"/>
      </w:pPr>
      <w:r>
        <w:rPr>
          <w:b/>
        </w:rPr>
        <w:t>Day 3–4:</w:t>
      </w:r>
      <w:r>
        <w:t xml:space="preserve"> PRE.2 (real-table run; long runtimes, start early and let it run) + VER.2.</w:t>
      </w:r>
    </w:p>
    <w:p>
      <w:pPr>
        <w:pStyle w:val="ListNumber"/>
      </w:pPr>
      <w:r>
        <w:rPr>
          <w:b/>
        </w:rPr>
        <w:t>Day 4–5:</w:t>
      </w:r>
      <w:r>
        <w:t xml:space="preserve"> PRE.4 (adapter prototype) + HYG.4 — then enter 4b-full step 2 with every headline risk retired.</w:t>
      </w:r>
    </w:p>
    <w:p>
      <w:pPr>
        <w:pStyle w:val="Heading2"/>
      </w:pPr>
      <w:r>
        <w:t>11. Definition of done &amp; alignment with the objective</w:t>
      </w:r>
    </w:p>
    <w:p>
      <w:r>
        <w:t>Unchanged in substance, extended with the review items:</w:t>
      </w:r>
    </w:p>
    <w:p>
      <w:pPr>
        <w:pStyle w:val="ListBullet"/>
      </w:pPr>
      <w:r>
        <w:rPr>
          <w:b/>
        </w:rPr>
        <w:t>Science validated on the shipped code:</w:t>
      </w:r>
      <w:r>
        <w:t xml:space="preserve"> V1–V6 pass on </w:t>
      </w:r>
      <w:r>
        <w:rPr>
          <w:rFonts w:ascii="Consolas" w:hAnsi="Consolas"/>
          <w:color w:val="A03030"/>
          <w:sz w:val="18"/>
        </w:rPr>
        <w:t>SimulationEngine</w:t>
      </w:r>
      <w:r>
        <w:t xml:space="preserve"> + </w:t>
      </w:r>
      <w:r>
        <w:rPr>
          <w:rFonts w:ascii="Consolas" w:hAnsi="Consolas"/>
          <w:color w:val="A03030"/>
          <w:sz w:val="18"/>
        </w:rPr>
        <w:t>SEURule</w:t>
      </w:r>
      <w:r>
        <w:t xml:space="preserve"> (not only the retired bridge), V5 demonstrating lifespan turnover.</w:t>
      </w:r>
    </w:p>
    <w:p>
      <w:pPr>
        <w:pStyle w:val="ListBullet"/>
      </w:pPr>
      <w:r>
        <w:rPr>
          <w:b/>
        </w:rPr>
        <w:t>Backwards compatible:</w:t>
      </w:r>
      <w:r>
        <w:t xml:space="preserve"> ThresholdRule reproduces legacy output; existing notebooks keep working; an engine-based notebook exists.</w:t>
      </w:r>
    </w:p>
    <w:p>
      <w:pPr>
        <w:pStyle w:val="ListBullet"/>
      </w:pPr>
      <w:r>
        <w:rPr>
          <w:b/>
        </w:rPr>
        <w:t>Single source of truth:</w:t>
      </w:r>
      <w:r>
        <w:t xml:space="preserve"> one interpolation kernel, one event generator, one time loop, one pluggable decision interface — and one accurate README.</w:t>
      </w:r>
    </w:p>
    <w:p>
      <w:pPr>
        <w:pStyle w:val="ListBullet"/>
      </w:pPr>
      <w:r>
        <w:rPr>
          <w:b/>
        </w:rPr>
        <w:t>Reproducible:</w:t>
      </w:r>
      <w:r>
        <w:t xml:space="preserve"> verification bundles vendored in-repo, portable (env-var paths, figures present), executed by CI on every push.</w:t>
      </w:r>
    </w:p>
    <w:p>
      <w:pPr>
        <w:pStyle w:val="ListBullet"/>
      </w:pPr>
      <w:r>
        <w:rPr>
          <w:b/>
        </w:rPr>
        <w:t>Scale-aware:</w:t>
      </w:r>
      <w:r>
        <w:t xml:space="preserve"> the engine and tick driver have been run once on the real Charleston table with recorded runtime/memory.</w:t>
      </w:r>
    </w:p>
    <w:p>
      <w:pPr>
        <w:pStyle w:val="ListBullet"/>
      </w:pPr>
      <w:r>
        <w:rPr>
          <w:b/>
        </w:rPr>
        <w:t>Extension-ready:</w:t>
      </w:r>
      <w:r>
        <w:t xml:space="preserve"> insurance, migration, government agents arrive as new rules without touching the engine; 4b-full enters as pure infrastructure wiring with its risks retired in 4b-pre.</w:t>
      </w:r>
    </w:p>
    <w:p>
      <w:r>
        <w:t>— End of proposed development architecture &amp; steps (2026-07-09)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