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  <w:rFonts w:ascii="Arial" w:hAnsi="Arial" w:cs="Arial"/>
        </w:rPr>
        <w:t>FloodAdapt-ABM × DYNAMO-M — Performed Tasks</w:t>
      </w:r>
    </w:p>
    <w:p>
      <w:pPr>
        <w:jc w:val="center"/>
      </w:pPr>
      <w:r>
        <w:rPr>
          <w:rFonts w:ascii="Arial" w:hAnsi="Arial"/>
          <w:color w:val="2E75B6"/>
          <w:sz w:val="26"/>
          <w:rFonts w:ascii="Arial" w:hAnsi="Arial" w:cs="Arial"/>
        </w:rPr>
        <w:t>Work log for 2026-07-08: Phase 4a wrap-up + Phase 4b delivery</w:t>
      </w:r>
    </w:p>
    <w:p>
      <w:pPr>
        <w:jc w:val="center"/>
      </w:pPr>
      <w:r>
        <w:rPr>
          <w:rFonts w:ascii="Arial" w:hAnsi="Arial"/>
          <w:color w:val="595959"/>
          <w:sz w:val="20"/>
          <w:rFonts w:ascii="Arial" w:hAnsi="Arial" w:cs="Arial"/>
        </w:rPr>
        <w:t>104/104 tests passing  ·  all example scripts run (exit 0)  ·  bit-parity gates PASS</w:t>
      </w:r>
    </w:p>
    <w:p/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1. Summary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2026-07-08 consolidated the entire FloodAdapt-ABM × DYNAMO-M coupling from design through Phase 4b delivery. Prior sessions had completed Phases 0–3 (engine architecture + SEU validation) and 4a (parity oracle). Today: closed Phase 4a with a reproduction bundle, reorganised examples into a best-practice learning path, delivered Phase 4b (Mesa-native time ownership inversion) end-to-end with tests/verification/docs, and outlined the 4b-full migration path. Every gate passes; 104/104 tests run cleanly. The coupling is now gated as production-ready for in-MVP deployment.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2. Phases 0–3 recap (prior sessions, now in production)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Context: prerequisites completed by 2026-07-07.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✓ </w:t>
      </w:r>
      <w:r>
        <w:rPr>
          <w:rFonts w:ascii="Arial" w:hAnsi="Arial"/>
          <w:sz w:val="21"/>
          <w:rFonts w:ascii="Arial" w:hAnsi="Arial" w:cs="Arial"/>
        </w:rPr>
        <w:t>Phase 0 (Green examples): coupling_config.py, dynamo_decision_bridge.py, run_coupled_example.py reconciled; all 41 reference tests passing.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✓ </w:t>
      </w:r>
      <w:r>
        <w:rPr>
          <w:rFonts w:ascii="Arial" w:hAnsi="Arial"/>
          <w:sz w:val="21"/>
          <w:rFonts w:ascii="Arial" w:hAnsi="Arial" w:cs="Arial"/>
        </w:rPr>
        <w:t>Phase 1 (SEU validation): 12.1 battery (Bernoulli + interpolation + event cap + risk perception decay + affordability); 160-agent synthetic scenarios; all assertions pass.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✓ </w:t>
      </w:r>
      <w:r>
        <w:rPr>
          <w:rFonts w:ascii="Arial" w:hAnsi="Arial"/>
          <w:sz w:val="21"/>
          <w:rFonts w:ascii="Arial" w:hAnsi="Arial" w:cs="Arial"/>
        </w:rPr>
        <w:t>Phase 2 (Event+time engine consolidation): _simulate_year_events unified in SimulationEngine; Bernoulli + cap logic no longer duplicated across scripts.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✓ </w:t>
      </w:r>
      <w:r>
        <w:rPr>
          <w:rFonts w:ascii="Arial" w:hAnsi="Arial"/>
          <w:sz w:val="21"/>
          <w:rFonts w:ascii="Arial" w:hAnsi="Arial" w:cs="Arial"/>
        </w:rPr>
        <w:t>Phase 3 (SimulationEngine + DecisionRule):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ThresholdRule (legacy ABMSimulator, ex-post damage threshold) reproduces historical output bit-for-bit.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SEURule (ported DYNAMO-M calcEU, ex-ante EU maximisation) matches Phase 1 validation suite.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AgentState container (wealth, income, risk_perception, flood_timer, is_adapted, time_adapted) replaces 2 separate array sets.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2b. Phase 4a wrap-up (early today)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Data provenance — </w:t>
      </w:r>
      <w:r>
        <w:rPr>
          <w:rFonts w:ascii="Arial" w:hAnsi="Arial"/>
          <w:sz w:val="21"/>
          <w:rFonts w:ascii="Arial" w:hAnsi="Arial" w:cs="Arial"/>
        </w:rPr>
        <w:t>Established that the Phase-4a parity check runs on a seeded, synthetic 'Charleston-like' lookup table (make_mock_dataset), not on real GIS data; documented this explicitly.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Reproduction bundle — </w:t>
      </w:r>
      <w:r>
        <w:rPr>
          <w:rFonts w:ascii="Arial" w:hAnsi="Arial"/>
          <w:sz w:val="21"/>
          <w:rFonts w:ascii="Arial" w:hAnsi="Arial" w:cs="Arial"/>
        </w:rPr>
        <w:t>Added a self-contained run_phase4a_parity.py (inlined generator) plus a README to the report folder, and rewrote parity_report.md with a Data section, per-case Seed column and a readable interpretation.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Result — </w:t>
      </w:r>
      <w:r>
        <w:rPr>
          <w:rFonts w:ascii="Arial" w:hAnsi="Arial"/>
          <w:sz w:val="21"/>
          <w:rFonts w:ascii="Arial" w:hAnsi="Arial" w:cs="Arial"/>
        </w:rPr>
        <w:t>Confirmed gate PASS: decisions identical across 5 configs; worst-case EU max abs diff 1.9e-6 (float32 tolerance).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3. Examples reorganisation (learning path, today)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Reorganised examples_engine/ into a numbered, best-practice learning path with a shared data helper; the old ad-hoc demo was removed.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Example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Teaches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01_quickstart.py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Minimal SEURule run + reading results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02_rules_comparison.py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Threshold vs SEU side by side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03_custom_rule.py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Write your own DecisionRule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04_monte_carlo_uncertainty.py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no_seq averaging + uncertainty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05_dynamo_live_parity.py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Phase 4a live DYNAMO-M parity oracle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06_mesa_native_driving.py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Phase 4b Mesa-native tick driving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_shared.py: sys.path bootstrap + load_dataset() (fast synthetic default, real table opt-in via FA_ABM_REAL_TABLE=1) + heterogeneous generator so demos show realistic partial adoption with variance.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All six examples verified to run with exit code 0.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4. Phase 4b — Mesa-native driving (delivered today)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Feasibility — </w:t>
      </w:r>
      <w:r>
        <w:rPr>
          <w:rFonts w:ascii="Arial" w:hAnsi="Arial"/>
          <w:sz w:val="21"/>
          <w:rFonts w:ascii="Arial" w:hAnsi="Arial" w:cs="Arial"/>
        </w:rPr>
        <w:t>Investigated the native DYNAMO-M model and confirmed honeybees/mesa are absent and SLRModel/Agents eagerly build the full data ecosystem — so a real native instantiation is out of MVP scope (documented as 4b-full).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Implementation — </w:t>
      </w:r>
      <w:r>
        <w:rPr>
          <w:rFonts w:ascii="Arial" w:hAnsi="Arial"/>
          <w:sz w:val="21"/>
          <w:rFonts w:ascii="Arial" w:hAnsi="Arial" w:cs="Arial"/>
        </w:rPr>
        <w:t>floodadapt_abm/mesa_native.py: FloodAdaptSLRModel (owns time), Agents, CoastalNodePopulation and run_mesa_native() — a dependency-free mirror of the native control flow that reuses the validated SimulationEngine kernel.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Non-breaking gate — </w:t>
      </w:r>
      <w:r>
        <w:rPr>
          <w:rFonts w:ascii="Arial" w:hAnsi="Arial"/>
          <w:sz w:val="21"/>
          <w:rFonts w:ascii="Arial" w:hAnsi="Arial" w:cs="Arial"/>
        </w:rPr>
        <w:t>run_mesa_native() reproduces engine.run() bit-for-bit (identical RNG stream + identical per-year kernel). Verified across SEURule x3 and ThresholdRule x2. Gate: PASS.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Tests — </w:t>
      </w:r>
      <w:r>
        <w:rPr>
          <w:rFonts w:ascii="Arial" w:hAnsi="Arial"/>
          <w:sz w:val="21"/>
          <w:rFonts w:ascii="Arial" w:hAnsi="Arial" w:cs="Arial"/>
        </w:rPr>
        <w:t>tests/test_mesa_native.py adds 14 tests (bit-parity, time ownership, object graph, guarded live rule). Full suite: 104 passed.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Verification &amp; example — </w:t>
      </w:r>
      <w:r>
        <w:rPr>
          <w:rFonts w:ascii="Arial" w:hAnsi="Arial"/>
          <w:sz w:val="21"/>
          <w:rFonts w:ascii="Arial" w:hAnsi="Arial" w:cs="Arial"/>
        </w:rPr>
        <w:t>Verification bundle 20260708_phase4b_mesa_native_driving/ (run_phase4b_verification.py + README + phase4b_report.md + phase4b_metrics.json). Example 06 added.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5. Documentation &amp; guidance (today)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20260708_phase_4b_model_documentaiton_phase.docx — full Phase-4b model documentation (Arial): object graph, time-ownership inversion, bit-parity gate, code/usage examples, scope boundary and the step()-vs-Mesa-ticks Q&amp;A.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AGENTS.md — appended a 'Phase 4b — Mesa-native driving' section (object graph, feasibility, usage, gate, key files, the step()/ticks answer).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examples_engine/README.md — added example 06, a Phase-4b subsection and updated the folder map.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6. Verification snapshot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pytest tests/ -q                     -&gt; 104 passed (11 from 4a + 14 from 4b + 79 prior)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pytest tests/test_mesa_native.py -v  -&gt; 14 passed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examples_engine/01..06               -&gt; all exit 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Phase 4a parity gate                 -&gt; PASS (worst EU abs 1.9e-6)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Phase 4b bit-parity gate             -&gt; PASS (run_mesa_native == engine.run)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Phases 1-4b gates: ALL PASS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Phase 1 validation battery: 12.1 scenarios, all assertions pass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Phase 3 legacy bit-parity: ThresholdRule == ABMSimulator (historical test suite)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Phase 4a parity: DynamoLiveRule == SEURule (within float32 tolerance)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Phase 4b non-breaking: run_mesa_native == engine.run (bit-identical)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7. Deliverables index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Artifact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Location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mesa_native.py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floodadapt_abm/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test_mesa_native.py (14 tests)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tests/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06_mesa_native_driving.py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examples_engine/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Phase-4b verification bundle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progress_todos/20260708_phase4b_mesa_native_driving/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Phase-4b model documentation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progress_todos/20260708_phase_4b_model_documentaiton_phase.docx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Phase-4a reproduction bundle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progress_todos/20260708_phase4a_live_dynamo_parity/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This work log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progress_todos/20260708_performed_tasks.docx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8. Next steps (post-MVP)</w:t>
      </w: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Phase 4b-full: binding the real honeybees SLRModel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With 4b-scaffold gated and frozen, the next milestone is 4b-full: instantiate the real honeybees SLRModel, populate native CoastalNode arrays from the FloodAdapt lookup table, and drive the full Mesa ecosystem via model.step(). This is a wiring exercise (decision seam already validated), NOT a re-architecture.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Install/pin honeybees and mesa (verify version compatibility with DYNAMO-M pin versions).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Populate SLRModel with config_path, settings_path, geojson study_area and args; instantiate Data, FloodRisk, CoastalAmenities.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Write the lookup-table adapter: map object_id -&gt; native CoastalNode, property_value -&gt; node.n/node.wealth, and per-event damages from lookup -&gt; node damage arrays (the ONE new modelling artefact).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Route flood-adaptation decisions from SLRModel.agents.regions.step() -&gt; DynamoLiveRule.should_adapt -&gt; node.adapt state (closing the coupling loop).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Integrate gravity-model CWD handling, spin-up spin_up_flag, low-memory .npz array paging, and geom_id '_flood_plain' node filtering.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Execute Phase 4b-full gate: 4b-full reproduces 4b-scaffold output bit-for-bit (the deterministic-Nodes proof).</w:t>
      </w: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Effort estimate: 20-40 hrs (infrastructure, not science). Risk: medium (version drift in honeybees/mesa; geom_id/spin-up edge cases). Deliverable: the native model loop fully drives the coupling; FloodAdapt becomes a pure lookup/damage library.</w:t>
      </w: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Phase 5: extending decision rules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calcEU_insure — a new DecisionRule that also models insurance purchase and claims cost vs flood damage.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Migration + gravity — extend CoastalNodePopulation to route agents between nodes via gravity-model draw (use the already-extracted gravity kernel from DYNAMO-M).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Government/dike CBA — a government-agent rule for collective dike investment and cost sharing.</w:t>
      </w: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All as new rule/agent classes, leaving the SimulationEngine untouched (the benefit of the Strategy Pattern).</w:t>
      </w:r>
    </w:p>
    <w:p>
      <w:pPr>
        <w:spacing w:after="120"/>
      </w:pPr>
      <w:r>
        <w:rPr>
          <w:rFonts w:ascii="Arial" w:hAnsi="Arial"/>
          <w:b w:val="0"/>
          <w:i/>
          <w:color w:val="595959"/>
          <w:sz w:val="21"/>
          <w:rFonts w:ascii="Arial" w:hAnsi="Arial" w:cs="Arial"/>
        </w:rPr>
        <w:t>— End of work log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