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6"/>
          <w:rFonts w:ascii="Arial" w:hAnsi="Arial" w:cs="Arial"/>
        </w:rPr>
        <w:t>FloodAdapt-ABM × DYNAMO-M Coupling</w:t>
      </w:r>
    </w:p>
    <w:p>
      <w:pPr>
        <w:jc w:val="center"/>
      </w:pPr>
      <w:r>
        <w:rPr>
          <w:rFonts w:ascii="Arial" w:hAnsi="Arial"/>
          <w:color w:val="2E75B6"/>
          <w:sz w:val="30"/>
          <w:rFonts w:ascii="Arial" w:hAnsi="Arial" w:cs="Arial"/>
        </w:rPr>
        <w:t>Phase 4a — Live DYNAMO-M SEU Parity (Model Documentation)</w:t>
      </w:r>
    </w:p>
    <w:p>
      <w:pPr>
        <w:jc w:val="center"/>
      </w:pPr>
      <w:r>
        <w:rPr>
          <w:rFonts w:ascii="Arial" w:hAnsi="Arial"/>
          <w:i/>
          <w:sz w:val="22"/>
          <w:rFonts w:ascii="Arial" w:hAnsi="Arial" w:cs="Arial"/>
        </w:rPr>
        <w:t>DynamoLiveRule: the native-DYNAMO-M parity oracle for the ported SEU kernels</w:t>
      </w:r>
    </w:p>
    <w:p>
      <w:pPr>
        <w:jc w:val="center"/>
      </w:pPr>
      <w:r>
        <w:rPr>
          <w:rFonts w:ascii="Arial" w:hAnsi="Arial"/>
          <w:color w:val="595959"/>
          <w:sz w:val="20"/>
          <w:rFonts w:ascii="Arial" w:hAnsi="Arial" w:cs="Arial"/>
        </w:rPr>
        <w:br/>
        <w:t>Date: 2026-07-08   ·   Status: Phase 4a complete   ·   90/90 tests passing (11 new)   ·   Parity gate: PASS</w:t>
      </w:r>
    </w:p>
    <w:p/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1. Executive Summary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Phase 4a adds DynamoLiveRule, a pluggable decision rule that drives the native DYNAMO-M DecisionModule (calcEU_do_nothing / calcEU_adapt) instead of the pure-NumPy kernels ported into the bridge. Its primary purpose is to serve as an automated parity oracle: running the ported SEURule and the live DynamoLiveRule on an identical agent state must yield the same expected utilities and identical adaptation decisions. This executes the Phase-1 'cross-check native' gate as a one-line, CI-runnable test.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Delivered in this phase: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DynamoLiveRule — </w:t>
      </w:r>
      <w:r>
        <w:rPr>
          <w:rFonts w:ascii="Arial" w:hAnsi="Arial"/>
          <w:sz w:val="21"/>
          <w:rFonts w:ascii="Arial" w:hAnsi="Arial" w:cs="Arial"/>
        </w:rPr>
        <w:t>a pluggable DecisionRule that calls upstream DYNAMO-M with no full Mesa model.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Optional guarded import — </w:t>
      </w:r>
      <w:r>
        <w:rPr>
          <w:rFonts w:ascii="Arial" w:hAnsi="Arial"/>
          <w:sz w:val="21"/>
          <w:rFonts w:ascii="Arial" w:hAnsi="Arial" w:cs="Arial"/>
        </w:rPr>
        <w:t>package still imports and runs ThresholdRule/SEURule when DYNAMO-M is absent.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Test suite — </w:t>
      </w:r>
      <w:r>
        <w:rPr>
          <w:rFonts w:ascii="Arial" w:hAnsi="Arial"/>
          <w:sz w:val="21"/>
          <w:rFonts w:ascii="Arial" w:hAnsi="Arial" w:cs="Arial"/>
        </w:rPr>
        <w:t>11 new tests (availability, parity gate, engine integration); 90/90 total pass.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Verification — </w:t>
      </w:r>
      <w:r>
        <w:rPr>
          <w:rFonts w:ascii="Arial" w:hAnsi="Arial"/>
          <w:sz w:val="21"/>
          <w:rFonts w:ascii="Arial" w:hAnsi="Arial" w:cs="Arial"/>
        </w:rPr>
        <w:t>worst-case EU abs diff 1.9e-6, rel 4.8e-7 across 5 configs; decisions identical.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2. Position in the Strategy-Pattern Architecture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The unified SimulationEngine owns time, data and state; a pluggable DecisionRule owns behaviour. Phase 4a adds a third concrete rule alongside the legacy heuristic and the ported SEU science.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      DecisionRule  (ABC, one method: should_adapt)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             |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+-----------------------+------------------------+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|                       |                        |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ThresholdRule            SEURule                 DynamoLiveRule           &lt;- Phase 4a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(legacy 0.3 rule)   (DYNAMO-M SEU, ported)   (calls NATIVE DecisionModule)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    _core kernels:            calcEU_do_nothing / calcEU_adapt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    _calc_eu_do_nothing         (upstream decision_module.py)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    _calc_eu_adapt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\_____________________  ____________________________/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           \/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SimulationEngine(ds, config, decision_rule=&lt;any of the above&gt;)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 owns: NetCDF load, interpolation, event draw, state, run()/step()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SEURule and DynamoLiveRule compute the SAME science by two independent code paths (a hand-ported NumPy version vs. the original upstream code). Comparing them is what proves the port is faithful.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3. Class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Class / symbol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Module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Role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DecisionRule (ABC)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decision_rule.py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Interface: should_adapt(...) -&gt; bool mask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ThresholdRule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decision_rule.py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Legacy ex-post 0.3 heuristic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SEURule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decision_rule.py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Ported DYNAMO-M SEU (MVP default)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DynamoLiveRule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dynamo_live_rule.py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Live native DYNAMO-M parity oracle (Phase 4a)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DynamoMNotAvailable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dynamo_live_rule.py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Raised if native module can't import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DYNAMO_M_AVAILABLE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dynamo_live_rule.py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Bool flag, lightweight import-time probe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SimulationEngine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simulation_engine.py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Time/data/state owner; hosts any rule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Shared should_adapt signature (all rules):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def should_adapt(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self,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agent_state,        # wealth, income, risk_perception, flood_timer,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       #   is_adapted, time_adapted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damages_this_year,  # (n_agents,)          realised damage [ex-post: ThresholdRule]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damages_no_adapt,   # (n_agents, n_events) catalogue @ SLR_t, no measures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damages_adapt,      # (n_agents, n_events) catalogue @ SLR_t, floodproofed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event_freqs,        # (n_events,)          exceedance prob = 1/RP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max_pot_dmg,        # (n_agents,)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adaptation_costs,   # (n_agents,)          annualised loan repayment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) -&gt; np.ndarray:        # (n_agents,) bool     newly-adapt this year</w:t>
      </w:r>
    </w:p>
    <w:p>
      <w:pPr>
        <w:spacing w:after="80"/>
      </w:pP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4. How DynamoLiveRule Works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DynamoLiveRule instantiates the native DecisionModule against a minimal stub model, then on each call assembles the DYNAMO-M-convention arrays (events-first damage matrices) and invokes the upstream methods.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DynamoLiveRule.should_adapt(state, ...)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------------------------------------------------------------------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1. D_no = damages_no_adapt.T   (n_events, n_agents)   [DYNAMO-M convention]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D_fp = damages_adapt.T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2. error_terms_stay = ones(n_agents)     # error_interval == 0 (bit-parity)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dm.error_terms_stay = error_terms_stay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3. EU_dn = dm.calcEU_do_nothing(geom_id, n_agents, wealth, income,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amenity_value, amenity_weight, risk_perception,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expected_damages=D_no, adapted, p_floods, T, r, sigma)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4. EU_ad = dm.calcEU_adapt(geom_id, n_agents, wealth, income,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expendature_cap, amenity_value, amenity_weight, risk_perception,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expected_damages_adapt=D_fp, adaptation_costs, time_adapted,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         loan_duration, p_floods, T, r, sigma)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5. newly_adapted = (EU_ad - EU_dn &gt; 0) &amp; ~is_adapted</w:t>
      </w:r>
    </w:p>
    <w:p>
      <w:pPr>
        <w:spacing w:after="80"/>
      </w:pP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Feasibility (verified in upstream source):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calcEU_adapt (decision_module.py:114-368) and calcEU_do_nothing (369-471) depend only on the @njit static IterateThroughFlood and self.error_terms_stay — NOT on self.model / self.agents. No Mesa model, gravity model, or agent population is needed.</w:t>
      </w:r>
    </w:p>
    <w:p>
      <w:pPr>
        <w:pStyle w:val="ListBullet"/>
        <w:spacing w:after="40"/>
      </w:pPr>
      <w:r>
        <w:rPr>
          <w:rFonts w:ascii="Arial" w:hAnsi="Arial"/>
          <w:sz w:val="21"/>
          <w:rFonts w:ascii="Arial" w:hAnsi="Arial" w:cs="Arial"/>
        </w:rPr>
        <w:t>The stub model is a SimpleNamespace exposing settings['decisions']['error_interval'] and random_module.random_state; agents=None (only load_gravity_models uses it, which we never call).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5. Optional / Guarded Import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The native module's top-level import of gravity_models only resolves when DYNAMO-M/DYNAMO-M is on sys.path. The dependency is therefore optional and resolved defensively, so FloodAdapt-ABM keeps working without DYNAMO-M.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import floodadapt_abm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|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v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DYNAMO_M_AVAILABLE  &lt;-- _probe_availability()   (LIGHTWEIGHT)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|                   checks decision_module.py + gravity_models/ EXIST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|                   (no import, no sys.path change)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v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DynamoLiveRule(config[, dynamo_path])            (CONSTRUCTION)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|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v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load_native_decision_module(path)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|   path = dynamo_path  or  $DYNAMO_M_PATH  or  c:\repos\DYNAMO-M\DYNAMO-M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|   sys.path.append(path)                  (append, never shadow)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|   import decision_module -&gt; DecisionModule</w:t>
      </w:r>
    </w:p>
    <w:p>
      <w:pPr>
        <w:spacing w:after="0" w:before="0" w:line="240" w:lineRule="auto"/>
        <w:shd w:val="clear" w:color="auto" w:fill="EDF3FA"/>
      </w:pPr>
      <w:r>
        <w:rPr>
          <w:rFonts w:ascii="Consolas" w:hAnsi="Consolas"/>
          <w:sz w:val="17"/>
          <w:rFonts w:ascii="Consolas" w:hAnsi="Consolas" w:cs="Consolas"/>
        </w:rPr>
        <w:t xml:space="preserve">        +-- on failure -&gt; raise DynamoMNotAvailable  (ThresholdRule/SEURule still fine)</w:t>
      </w:r>
    </w:p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Symbol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Meaning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DYNAMO_M_AVAILABLE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True if decision_module.py + gravity_models/ found (no import)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resolve_dynamo_path(p)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 -&gt; $DYNAMO_M_PATH -&gt; default conventional path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load_native_decision_module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Appends path, imports, returns DecisionModule class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DynamoMNotAvailable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Typed ImportError raised on construction if absent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6. Bit-Parity Configuration &amp; the Gate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For an exact cross-check both rules run with error_interval=0 (so error_terms_stay==1, deterministic) and amenity_value=0. Under that configuration the only differences are float32 rounding inside the trapezoidal EU integral; the sign of EU_adapt - EU_do_nothing is preserved, so the boolean decisions are identical.</w:t>
      </w:r>
    </w:p>
    <w:p>
      <w:pPr>
        <w:spacing w:after="40"/>
      </w:pPr>
      <w:r>
        <w:rPr>
          <w:rFonts w:ascii="Arial" w:hAnsi="Arial"/>
          <w:b/>
          <w:i w:val="0"/>
          <w:sz w:val="21"/>
          <w:rFonts w:ascii="Arial" w:hAnsi="Arial" w:cs="Arial"/>
        </w:rPr>
        <w:t>Verification result (5 configurations, Charleston-like sample):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2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Case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sigma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decisions identical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EU max |abs| diff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-inf masks match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baseline_sigma1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1.0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True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9.5e-07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True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power_utility_sigma2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2.0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True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1.7e-13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True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mixed_adapted_cohort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1.0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True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1.9e-06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True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affordability_locked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1.0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True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0.0e+00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True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large_event_catalogue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1.0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True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1.9e-06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True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Gate PASS: all decisions identical; worst-case EU max abs diff 1.9e-6, max rel diff 4.8e-7 — inside the float32 tolerance (abs ≤ 1e-3, rel ≤ 1e-4). Full report: progress_todos/20260708_phase4a_live_dynamo_parity/ (parity_report.md + parity_metrics.json).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7. Usage Examples (Practical)</w:t>
      </w: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7.1  Run the engine with the live rule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from floodadapt_abm import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SimulationEngine, CouplingConfig, DynamoLiveRule, DYNAMO_M_AVAILABLE,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import xarray as xr, numpy as np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ds  = xr.open_dataset("charleston_lookup_table.nc")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cfg = CouplingConfig()                       # error_interval=0, amenity=0 (parity)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if DYNAMO_M_AVAILABLE: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live   = DynamoLiveRule(cfg.decision)    # or dynamo_path=r"...\DYNAMO-M\DYNAMO-M"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engine = SimulationEngine(ds=ds, config=cfg, decision_rule=live)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res    = engine.run(np.linspace(0, 1.5, 30), no_seq=10, seed=42, track_eu=True)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print(res["adoption_fraction"].mean(axis=0))   # expected adoption per year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else: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print("DYNAMO-M not available; use SEURule (the validated port).")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7.2  Assert parity (the CI gate, condensed)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from floodadapt_abm import SimulationEngine, CouplingConfig, SEURule, DynamoLiveRule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import numpy as np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cfg    = CouplingConfig()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engine = SimulationEngine(ds=ds, config=cfg)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state  = engine.state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D_no, D_fp = engine.prepare_damages(1.0)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amenity    = engine._data.amenity_value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kw = dict(agent_state=state, damages_this_year=np.zeros(state.n_agents, "float32"),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  damages_no_adapt=D_no, damages_adapt=D_fp, event_freqs=engine._event_freqs,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         max_pot_dmg=engine.max_pot_dmg, adaptation_costs=engine._annual_adapt_cost)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a_seu  = SEURule(cfg.decision, amenity_value=amenity).should_adapt(**kw)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a_live = DynamoLiveRule(cfg.decision, amenity_value=amenity).should_adapt(**kw)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assert np.array_equal(a_seu, a_live)          # identical decisions -&gt; port is faithful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  <w:color w:val="2E75B6"/>
          <w:rFonts w:ascii="Arial" w:hAnsi="Arial" w:cs="Arial"/>
        </w:rPr>
        <w:t>7.3  Point the rule at a custom DYNAMO-M checkout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# Option A: constructor argument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live = DynamoLiveRule(cfg.decision, dynamo_path=r"D:\code\DYNAMO-M\DYNAMO-M")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# Option B: environment variable (picked up by resolve_dynamo_path)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#   set DYNAMO_M_PATH=D:\code\DYNAMO-M\DYNAMO-M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live = DynamoLiveRule(cfg.decision)</w:t>
      </w:r>
    </w:p>
    <w:p>
      <w:pPr>
        <w:spacing w:after="80"/>
      </w:pP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8. Tests</w:t>
      </w:r>
    </w:p>
    <w:p>
      <w:pPr>
        <w:spacing w:after="120"/>
      </w:pPr>
      <w:r>
        <w:rPr>
          <w:rFonts w:ascii="Arial" w:hAnsi="Arial"/>
          <w:b w:val="0"/>
          <w:i w:val="0"/>
          <w:sz w:val="21"/>
          <w:rFonts w:ascii="Arial" w:hAnsi="Arial" w:cs="Arial"/>
        </w:rPr>
        <w:t>tests/test_dynamo_live_rule.py (11 tests, auto-skips when DYNAMO-M absent):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Guarded import — </w:t>
      </w:r>
      <w:r>
        <w:rPr>
          <w:rFonts w:ascii="Arial" w:hAnsi="Arial"/>
          <w:sz w:val="21"/>
          <w:rFonts w:ascii="Arial" w:hAnsi="Arial" w:cs="Arial"/>
        </w:rPr>
        <w:t>availability flag is bool; probe agrees with flag; path resolution (argument &gt; env &gt; default); missing path raises DynamoMNotAvailable.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Parity gate — </w:t>
      </w:r>
      <w:r>
        <w:rPr>
          <w:rFonts w:ascii="Arial" w:hAnsi="Arial"/>
          <w:sz w:val="21"/>
          <w:rFonts w:ascii="Arial" w:hAnsi="Arial" w:cs="Arial"/>
        </w:rPr>
        <w:t>SEURule vs DynamoLiveRule decisions identical + EU allclose for sigma∈{1,2}, mixed adapted cohort, and affordability-locked cases.</w:t>
      </w:r>
    </w:p>
    <w:p>
      <w:pPr>
        <w:pStyle w:val="ListBullet"/>
        <w:spacing w:after="40"/>
      </w:pPr>
      <w:r>
        <w:rPr>
          <w:rFonts w:ascii="Arial" w:hAnsi="Arial"/>
          <w:b/>
          <w:sz w:val="21"/>
          <w:rFonts w:ascii="Arial" w:hAnsi="Arial" w:cs="Arial"/>
        </w:rPr>
        <w:t xml:space="preserve">Engine integration — </w:t>
      </w:r>
      <w:r>
        <w:rPr>
          <w:rFonts w:ascii="Arial" w:hAnsi="Arial"/>
          <w:sz w:val="21"/>
          <w:rFonts w:ascii="Arial" w:hAnsi="Arial" w:cs="Arial"/>
        </w:rPr>
        <w:t>live rule runs inside SimulationEngine.run(); full-trajectory adopted_history identical to the SEURule engine on the same seed.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pytest tests/test_dynamo_live_rule.py -v      # 11 passed (or skipped if no DYNAMO-M)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sz w:val="17"/>
          <w:rFonts w:ascii="Consolas" w:hAnsi="Consolas" w:cs="Consolas"/>
        </w:rPr>
        <w:t>pytest tests/ -q                              # 90 passed</w:t>
      </w:r>
    </w:p>
    <w:p>
      <w:pPr>
        <w:spacing w:after="80"/>
      </w:pP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9. Scope Boundary (4a vs 4b)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Concern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Phase 4a (this doc, in-MVP)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Phase 4b (post-MVP)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 math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Native calcEU_* via DynamoLiveRule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Same, driven by Mesa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Time ownership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SimulationEngine.run()/step()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DYNAMO-M model.step()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Agent population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FloodAdapt lookup-table agents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Native CoastalNode arrays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Gravity / migration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Not used (never called)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load_gravity_models, allocation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Purpose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Parity oracle / drift guard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Full native integration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sz w:val="21"/>
          <w:rFonts w:ascii="Arial" w:hAnsi="Arial" w:cs="Arial"/>
        </w:rPr>
        <w:t>Keeping the DecisionRule contract stable is what makes the 4a → 4b migration non-breaking: 4b inverts time ownership to Mesa while reusing the same rule boundary.</w:t>
      </w:r>
    </w:p>
    <w:p>
      <w:pPr>
        <w:pStyle w:val="Heading1"/>
      </w:pPr>
      <w:r>
        <w:rPr>
          <w:rFonts w:ascii="Arial" w:hAnsi="Arial"/>
          <w:color w:val="1F4E79"/>
          <w:rFonts w:ascii="Arial" w:hAnsi="Arial" w:cs="Arial"/>
        </w:rPr>
        <w:t>10. Key Files &amp; Artifacts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Path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</w:rPr>
              <w:t>Purpose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floodadapt_abm/dynamo_live_rule.py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DynamoLiveRule + guarded import helpers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tests/test_dynamo_live_rule.py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11 Phase-4a tests (parity gate)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progress_todos/20260708_phase4a_live_dynamo_parity/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parity_report.md + parity_metrics.json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AGENTS.md § 'Phase 4a'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Operational guide + reproduction commands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decision_module.py:114-471 (DYNAMO-M)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  <w:rFonts w:ascii="Arial" w:hAnsi="Arial" w:cs="Arial"/>
              </w:rPr>
              <w:t>Native calcEU_adapt / calcEU_do_nothing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color w:val="595959"/>
          <w:sz w:val="21"/>
          <w:rFonts w:ascii="Arial" w:hAnsi="Arial" w:cs="Arial"/>
        </w:rPr>
        <w:t>— End of Phase-4a model documentation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