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Arial" w:hAnsi="Arial"/>
          <w:sz w:val="36"/>
          <w:szCs w:val="36"/>
          <w:b/>
        </w:rPr>
        <w:t xml:space="preserve">FloodAdapt-ABM × DYNAMO-M — Performed Tasks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Work log for 2026-07-09: post-Phase-4b review + Phase 4b-pre execution (PRE.1–4, HYG.1–4)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Repo placed under git; one commit per task · 14 new tests authored · all changes traceable to task IDs in 20260709_proposed_development_architecture_steps.md §7.1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8"/>
          <w:szCs w:val="28"/>
          <w:b/>
        </w:rPr>
        <w:t xml:space="preserve">1. Summary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2026-07-09 executed the "4b-pre" de-risking and hygiene phase defined after the external review of the Phase-4b state. The review had confirmed all phase gates (0–4b scaffold) as genuinely computed and internally consistent, but found that the entry-point documentation and reproducibility artefacts had not kept pace with the phase work. Today every PRE and HYG task was applied: the shared-engine design wart is fixed with a staleness guard (PRE.3), the lookup-table → CoastalNode adapter — the one genuinely new 4b-full artefact — is prototyped and contract-tested (PRE.4), the honeybees/mesa pinning kit and the real-Charleston-table gate runner are prepared as self-reporting harnesses (PRE.1, PRE.2), the stale root README is rewritten (HYG.1), all verification bundles are vendored in-repo with portable env-var paths (HYG.2), CI is added (HYG.3), and the recommended-path notebook plus a diffable Markdown design record are in place (HYG.4). AGENTS.md is updated throughout.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8"/>
          <w:szCs w:val="28"/>
          <w:b/>
        </w:rPr>
        <w:t xml:space="preserve">2. Traceability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The repository was placed under git version control with a pristine baseline commit, then one commit per task: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| Commit | Task | Delivered |</w:t>
      </w:r>
    </w:p>
    <w:p>
      <w:r>
        <w:rPr>
          <w:rFonts w:ascii="Arial" w:hAnsi="Arial"/>
          <w:sz w:val="22"/>
          <w:szCs w:val="22"/>
        </w:rPr>
        <w:t xml:space="preserve">|---|---|---|</w:t>
      </w:r>
    </w:p>
    <w:p>
      <w:r>
        <w:rPr>
          <w:rFonts w:ascii="Arial" w:hAnsi="Arial"/>
          <w:sz w:val="22"/>
          <w:szCs w:val="22"/>
        </w:rPr>
        <w:t xml:space="preserve">| 06c8314 | — | Baseline: repo as downloaded (Phase 4b scaffold, pre-review state) |</w:t>
      </w:r>
    </w:p>
    <w:p>
      <w:r>
        <w:rPr>
          <w:rFonts w:ascii="Arial" w:hAnsi="Arial"/>
          <w:sz w:val="22"/>
          <w:szCs w:val="22"/>
        </w:rPr>
        <w:t xml:space="preserve">| 7ceb144 | PRE.3 | SimulationEngine.state_epoch + FloodAdaptSLRModel._check_not_stale(): stepping a stale model (engine state reset by a newer model or engine.run()) now raises RuntimeError instead of silently corrupting the new owner's state. 4 new tests (TestSharedEngineStalenessGuard). Bit-parity gate unaffected (run_mesa_native constructs models sequentially). |</w:t>
      </w:r>
    </w:p>
    <w:p>
      <w:r>
        <w:rPr>
          <w:rFonts w:ascii="Arial" w:hAnsi="Arial"/>
          <w:sz w:val="22"/>
          <w:szCs w:val="22"/>
        </w:rPr>
        <w:t xml:space="preserve">| 1cb7862 | PRE.4 | floodadapt_abm/coastal_node_adapter.py: CoastalNodeArrays (native node-array mirror: property_value, events-first damages_coastal_cells, p_floods, adapt, time_adapt, _flood_plain geom_id), LookupTableAdapter.populate() (forward) / write_back() (reverse, with object_id-alignment guards), round_trip_check() (executable bit-parity contract). 10 new tests incl. an end-to-end proof that routing state through the node is a simulation no-op. |</w:t>
      </w:r>
    </w:p>
    <w:p>
      <w:r>
        <w:rPr>
          <w:rFonts w:ascii="Arial" w:hAnsi="Arial"/>
          <w:sz w:val="22"/>
          <w:szCs w:val="22"/>
        </w:rPr>
        <w:t xml:space="preserve">| fdaf257 | PRE.1 + PRE.2 | verification/preflight_4b_full/ (throwaway env spec, pin-after-verify; self-reporting step1_import_test.py for mesa/honeybees + DYNAMO-M decision_module) and verification/real_table_gate/ (instrumented 4b bit-parity + optional 4a parity on the real 61,858 × 207 table with wall-time, tracemalloc peak and per-tick engine.step() profile). Prepared, not executed here — no Python interpreter / DYNAMO-M checkout / real .nc on this workstation; READMEs give exact run commands. |</w:t>
      </w:r>
    </w:p>
    <w:p>
      <w:r>
        <w:rPr>
          <w:rFonts w:ascii="Arial" w:hAnsi="Arial"/>
          <w:sz w:val="22"/>
          <w:szCs w:val="22"/>
        </w:rPr>
        <w:t xml:space="preserve">| 3af86e8 | HYG.2a | Verification bundles vendored into verification/ (phase1_seu_battery/ with restored data/ layout + documented figures/ placeholder, phase4a_parity/, phase4b_mesa_native/ with the README name collision resolved) plus an index README. Vendored *scripts* re-pathed to ABM_ROOT/DYNAMO_M_PATH/SEU_BATTERY_OUT env vars; generated *reports* kept verbatim as the 2026-07-08 historical record. |</w:t>
      </w:r>
    </w:p>
    <w:p>
      <w:r>
        <w:rPr>
          <w:rFonts w:ascii="Arial" w:hAnsi="Arial"/>
          <w:sz w:val="22"/>
          <w:szCs w:val="22"/>
        </w:rPr>
        <w:t xml:space="preserve">| d05a97a | HYG.1 | Root README rewritten: engine quick-start, accurate tree (incl. verification/, coastal_node_adapter.py, notebook 3), pipeline summary, decision-rule table. Removed: deleted example/ instructions, nonexistent run_coupled_example_engine.py, wrong old_bridge_examples/ location. |</w:t>
      </w:r>
    </w:p>
    <w:p>
      <w:r>
        <w:rPr>
          <w:rFonts w:ascii="Arial" w:hAnsi="Arial"/>
          <w:sz w:val="22"/>
          <w:szCs w:val="22"/>
        </w:rPr>
        <w:t xml:space="preserve">| 8b7384c | HYG.3 | .github/workflows/ci.yml: matrix (ubuntu/windows × py3.10/3.11) running pytest tests/ -q, examples 01–06 on the synthetic table (05's DYNAMO-M guard exits 0 when absent — the guard is thereby under test), and the vendored Phase-4b harness with report artifacts. Activates on push to GitHub. |</w:t>
      </w:r>
    </w:p>
    <w:p>
      <w:r>
        <w:rPr>
          <w:rFonts w:ascii="Arial" w:hAnsi="Arial"/>
          <w:sz w:val="22"/>
          <w:szCs w:val="22"/>
        </w:rPr>
        <w:t xml:space="preserve">| 2225ae6 | HYG.4 | 3_simulate_adaptation_engine.ipynb (stage 2 on SimulationEngine + SEURule: run, adoption/damage plots, never-adapt baseline → avoided damages, rule-swap guide). The four 20260708 .docx phase docs vendored into docs/ and converted to diffable Markdown with provenance headers (.docx remain the typeset originals). |</w:t>
      </w:r>
    </w:p>
    <w:p>
      <w:r>
        <w:rPr>
          <w:rFonts w:ascii="Arial" w:hAnsi="Arial"/>
          <w:sz w:val="22"/>
          <w:szCs w:val="22"/>
        </w:rPr>
        <w:t xml:space="preserve">| 87ea7c6 | HYG.2b | AGENTS.md path purge + content sync (see §3); examples_engine/README.md bundle links → in-repo verification/; examples_engine/_shared.py real-table candidate path → FA_ABM_REAL_TABLE_PATH env var; vendored 4a README/script example paths generalised. |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Total: 49 files changed, ~5,400 insertions over the baseline.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8"/>
          <w:szCs w:val="28"/>
          <w:b/>
        </w:rPr>
        <w:t xml:space="preserve">3. AGENTS.md updates (HYG.2b detail)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- Header note documenting the 2026-07-09 cleanup; intro corrected (packaged library with engine/rules/tests/CI, no longer "two notebooks + two modules"); the "no tests, no CI" workflow note replaced with pytest + CI guidance (historical wording preserved as such).</w:t>
      </w:r>
    </w:p>
    <w:p>
      <w:r>
        <w:rPr>
          <w:rFonts w:ascii="Arial" w:hAnsi="Arial"/>
          <w:sz w:val="22"/>
          <w:szCs w:val="22"/>
        </w:rPr>
        <w:t xml:space="preserve">- Phase-1 battery location: .copilot session-state and personal OneDrive paths → verification/phase1_seu_battery/ with an env-var run command.</w:t>
      </w:r>
    </w:p>
    <w:p>
      <w:r>
        <w:rPr>
          <w:rFonts w:ascii="Arial" w:hAnsi="Arial"/>
          <w:sz w:val="22"/>
          <w:szCs w:val="22"/>
        </w:rPr>
        <w:t xml:space="preserve">- V5 lifespan gap marked CLOSED: the Phase-3 engine implements the lifespan_dryproof reset (DecisionConfig.lifespan_dryproof=75, SimulationEngine._apply_lifespan_reset(), turnover-tested). The vendored V5 report predates the fix; the battery re-run on the engine is task VER.1 (open).</w:t>
      </w:r>
    </w:p>
    <w:p>
      <w:r>
        <w:rPr>
          <w:rFonts w:ascii="Arial" w:hAnsi="Arial"/>
          <w:sz w:val="22"/>
          <w:szCs w:val="22"/>
        </w:rPr>
        <w:t xml:space="preserve">- All file:///C:/repos/... reference links → portable references; Phase-4a/4b gate commands → vendored verification/ harness paths.</w:t>
      </w:r>
    </w:p>
    <w:p>
      <w:r>
        <w:rPr>
          <w:rFonts w:ascii="Arial" w:hAnsi="Arial"/>
          <w:sz w:val="22"/>
          <w:szCs w:val="22"/>
        </w:rPr>
        <w:t xml:space="preserve">- New "Phase 4b-pre" section documenting PRE.1–4, HYG.1–4 and the open VER.1.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8"/>
          <w:szCs w:val="28"/>
          <w:b/>
        </w:rPr>
        <w:t xml:space="preserve">4. Verification snapshot (2026-07-09)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| Item | Status |</w:t>
      </w:r>
    </w:p>
    <w:p>
      <w:r>
        <w:rPr>
          <w:rFonts w:ascii="Arial" w:hAnsi="Arial"/>
          <w:sz w:val="22"/>
          <w:szCs w:val="22"/>
        </w:rPr>
        <w:t xml:space="preserve">|---|---|</w:t>
      </w:r>
    </w:p>
    <w:p>
      <w:r>
        <w:rPr>
          <w:rFonts w:ascii="Arial" w:hAnsi="Arial"/>
          <w:sz w:val="22"/>
          <w:szCs w:val="22"/>
        </w:rPr>
        <w:t xml:space="preserve">| Phase 0–4b gates | PASS (2026-07-08 record, vendored in verification/) |</w:t>
      </w:r>
    </w:p>
    <w:p>
      <w:r>
        <w:rPr>
          <w:rFonts w:ascii="Arial" w:hAnsi="Arial"/>
          <w:sz w:val="22"/>
          <w:szCs w:val="22"/>
        </w:rPr>
        <w:t xml:space="preserve">| PRE.3 staleness guard | Implemented + 4 tests authored — pytest run pending (no Python on this workstation; CI will execute) |</w:t>
      </w:r>
    </w:p>
    <w:p>
      <w:r>
        <w:rPr>
          <w:rFonts w:ascii="Arial" w:hAnsi="Arial"/>
          <w:sz w:val="22"/>
          <w:szCs w:val="22"/>
        </w:rPr>
        <w:t xml:space="preserve">| PRE.4 adapter contract | Implemented + 10 tests authored — pytest run pending (same) |</w:t>
      </w:r>
    </w:p>
    <w:p>
      <w:r>
        <w:rPr>
          <w:rFonts w:ascii="Arial" w:hAnsi="Arial"/>
          <w:sz w:val="22"/>
          <w:szCs w:val="22"/>
        </w:rPr>
        <w:t xml:space="preserve">| PRE.1 import/pin test | Kit prepared — execute on dev machine, then pin versions |</w:t>
      </w:r>
    </w:p>
    <w:p>
      <w:r>
        <w:rPr>
          <w:rFonts w:ascii="Arial" w:hAnsi="Arial"/>
          <w:sz w:val="22"/>
          <w:szCs w:val="22"/>
        </w:rPr>
        <w:t xml:space="preserve">| PRE.2 real-table gate | Runner prepared — execute on dev machine (FA_ABM_REAL_TABLE_PATH) |</w:t>
      </w:r>
    </w:p>
    <w:p>
      <w:r>
        <w:rPr>
          <w:rFonts w:ascii="Arial" w:hAnsi="Arial"/>
          <w:sz w:val="22"/>
          <w:szCs w:val="22"/>
        </w:rPr>
        <w:t xml:space="preserve">| CI | Workflow committed — activates on first push to GitHub |</w:t>
      </w:r>
    </w:p>
    <w:p>
      <w:r>
        <w:rPr>
          <w:rFonts w:ascii="Arial" w:hAnsi="Arial"/>
          <w:sz w:val="22"/>
          <w:szCs w:val="22"/>
        </w:rPr>
        <w:t xml:space="preserve">| VER.1 battery re-run on engine | OPEN (next priority after the pending test runs) |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8"/>
          <w:szCs w:val="28"/>
          <w:b/>
        </w:rPr>
        <w:t xml:space="preserve">5. Next steps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1. On the development machine: pip install -e .[dev] &amp;&amp; pytest tests/ -q (expect 104 prior + 14 new = 118; any failure in the new tests is a PRE.3/PRE.4 finding, not a science regression).</w:t>
      </w:r>
    </w:p>
    <w:p>
      <w:r>
        <w:rPr>
          <w:rFonts w:ascii="Arial" w:hAnsi="Arial"/>
          <w:sz w:val="22"/>
          <w:szCs w:val="22"/>
        </w:rPr>
        <w:t xml:space="preserve">2. Execute PRE.1 (verification/preflight_4b_full/) and pin the recorded honeybees/mesa versions.</w:t>
      </w:r>
    </w:p>
    <w:p>
      <w:r>
        <w:rPr>
          <w:rFonts w:ascii="Arial" w:hAnsi="Arial"/>
          <w:sz w:val="22"/>
          <w:szCs w:val="22"/>
        </w:rPr>
        <w:t xml:space="preserve">3. Execute PRE.2 (verification/real_table_gate/) and commit the generated report/metrics.</w:t>
      </w:r>
    </w:p>
    <w:p>
      <w:r>
        <w:rPr>
          <w:rFonts w:ascii="Arial" w:hAnsi="Arial"/>
          <w:sz w:val="22"/>
          <w:szCs w:val="22"/>
        </w:rPr>
        <w:t xml:space="preserve">4. Push to GitHub → CI green = 4b-pre P0/P1 gate largely closed.</w:t>
      </w:r>
    </w:p>
    <w:p>
      <w:r>
        <w:rPr>
          <w:rFonts w:ascii="Arial" w:hAnsi="Arial"/>
          <w:sz w:val="22"/>
          <w:szCs w:val="22"/>
        </w:rPr>
        <w:t xml:space="preserve">5. Run VER.1 (re-run V1–V6 on SimulationEngine + SEURule; regenerates V5 as PASS and the missing figures).</w:t>
      </w:r>
    </w:p>
    <w:p>
      <w:r>
        <w:rPr>
          <w:rFonts w:ascii="Arial" w:hAnsi="Arial"/>
          <w:sz w:val="22"/>
          <w:szCs w:val="22"/>
        </w:rPr>
        <w:t xml:space="preserve">6. Enter 4b-full step 2 (populate the real SLRModel) per 20260709_proposed_development_architecture_steps.md §7.2.</w:t>
      </w:r>
    </w:p>
    <w:p>
      <w:r>
        <w:rPr>
          <w:rFonts w:ascii="Arial" w:hAnsi="Arial"/>
          <w:sz w:val="22"/>
          <w:szCs w:val="22"/>
        </w:rPr>
        <w:t xml:space="preserve"/>
      </w:r>
    </w:p>
    <w:p>
      <w:r>
        <w:rPr>
          <w:rFonts w:ascii="Arial" w:hAnsi="Arial"/>
          <w:sz w:val="22"/>
          <w:szCs w:val="22"/>
        </w:rPr>
        <w:t xml:space="preserve">— End of work log —</w:t>
      </w:r>
    </w:p>
    <w:sectPr/>
  </w:body>
</w:document>
</file>