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36"/>
          <w:szCs w:val="36"/>
          <w:b/>
        </w:rPr>
        <w:t xml:space="preserve">FloodAdapt-ABM × DYNAMO-M Coupling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Phase 4b-full — Binding the Real honeybees SLRModel (Model Documentation)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Pre-flight (4b-pre) delivered · 4b-full steps 2–6 pending execution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Date: 2026-07-09 · Status: 4b-pre complete (this doc); 4b-full NOT started · Follows: 20260708_phase_4b_model_documentaiton_phase.docx (4b-scaffold)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1. Executive Summary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Phase 4b-full binds the real honeybees SLRModel so the native DYNAMO-M Mesa ecosystem drives the coupling: native model.step() ticks advance native CoastalNode populations whose damage arrays are populated from the FloodAdapt lookup table, and whose adaptation decisions flow back. The 4b-scaffold (2026-07-08) already proved time-ownership inversion is non-breaking; 4b-full is therefore an *environment* migration, not a re-architecture.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This document records the 4b-pre stage (2026-07-09): the de-risking work that must precede the environment lift, per the review-driven roadmap (20260709_proposed_development_architecture_steps.md §7.1). Delivered: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- The lookup-table → CoastalNode adapter is prototyped and contract-tested (PRE.4) — the single genuinely new modelling artefact of 4b-full, validated standalone so the eventual 4b-full ≡ 4b-scaffold gate isolates the environment swap alone.</w:t>
      </w:r>
    </w:p>
    <w:p>
      <w:r>
        <w:rPr>
          <w:rFonts w:ascii="Arial" w:hAnsi="Arial"/>
          <w:sz w:val="22"/>
          <w:szCs w:val="22"/>
        </w:rPr>
        <w:t xml:space="preserve">- The shared-engine state hazard is closed (PRE.3) — a staleness guard prevents a stale model from silently mutating another model's state, a pattern 4b-full would otherwise have copied.</w:t>
      </w:r>
    </w:p>
    <w:p>
      <w:r>
        <w:rPr>
          <w:rFonts w:ascii="Arial" w:hAnsi="Arial"/>
          <w:sz w:val="22"/>
          <w:szCs w:val="22"/>
        </w:rPr>
        <w:t xml:space="preserve">- The environment risks are instrumented (PRE.1, PRE.2) — a pin-after-verify import kit for honeybees/mesa and a real-Charleston-table gate runner with per-tick profiling, both self-reporting.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2. Where 4b-full stands in the phase sequence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| Phase | Time owner | Agent population | Decision kernel | Status |</w:t>
      </w:r>
    </w:p>
    <w:p>
      <w:r>
        <w:rPr>
          <w:rFonts w:ascii="Arial" w:hAnsi="Arial"/>
          <w:sz w:val="22"/>
          <w:szCs w:val="22"/>
        </w:rPr>
        <w:t xml:space="preserve">|---|---|---|---|---|</w:t>
      </w:r>
    </w:p>
    <w:p>
      <w:r>
        <w:rPr>
          <w:rFonts w:ascii="Arial" w:hAnsi="Arial"/>
          <w:sz w:val="22"/>
          <w:szCs w:val="22"/>
        </w:rPr>
        <w:t xml:space="preserve">| 3 / 4a | SimulationEngine.run() | AgentState from lookup table | SEURule / DynamoLiveRule | Done, gated |</w:t>
      </w:r>
    </w:p>
    <w:p>
      <w:r>
        <w:rPr>
          <w:rFonts w:ascii="Arial" w:hAnsi="Arial"/>
          <w:sz w:val="22"/>
          <w:szCs w:val="22"/>
        </w:rPr>
        <w:t xml:space="preserve">| 4b-scaffold | FloodAdaptSLRModel.step() (mirror) | AgentState (shared kernel) | unchanged | Done, gated (bit-parity) |</w:t>
      </w:r>
    </w:p>
    <w:p>
      <w:r>
        <w:rPr>
          <w:rFonts w:ascii="Arial" w:hAnsi="Arial"/>
          <w:sz w:val="22"/>
          <w:szCs w:val="22"/>
        </w:rPr>
        <w:t xml:space="preserve">| 4b-pre | — (de-risking) | — | unchanged | Done (this doc) |</w:t>
      </w:r>
    </w:p>
    <w:p>
      <w:r>
        <w:rPr>
          <w:rFonts w:ascii="Arial" w:hAnsi="Arial"/>
          <w:sz w:val="22"/>
          <w:szCs w:val="22"/>
        </w:rPr>
        <w:t xml:space="preserve">| 4b-full | native honeybees SLRModel.step() | native CoastalNode arrays ← lookup table | unchanged (DynamoLiveRule seam) | Not started |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The DecisionRule.should_adapt(...) contract is frozen across every row — that invariance is what makes each migration attributable and non-breaking.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3. The adapter (PRE.4) — design as implemented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Module: floodadapt_abm/coastal_node_adapter.py · Tests: tests/test_coastal_node_adapter.py (10)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4"/>
          <w:szCs w:val="24"/>
          <w:b/>
        </w:rPr>
        <w:t xml:space="preserve">3.1 CoastalNodeArrays — the native array mirror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Dependency-free dataclass mirroring the CoastalNode fields consumed by calcEU_do_nothing / calcEU_adapt and the adaptation bookkeeping in coastal_nodes.py: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| Field | Native counterpart | Convention enforced |</w:t>
      </w:r>
    </w:p>
    <w:p>
      <w:r>
        <w:rPr>
          <w:rFonts w:ascii="Arial" w:hAnsi="Arial"/>
          <w:sz w:val="22"/>
          <w:szCs w:val="22"/>
        </w:rPr>
        <w:t xml:space="preserve">|---|---|---|</w:t>
      </w:r>
    </w:p>
    <w:p>
      <w:r>
        <w:rPr>
          <w:rFonts w:ascii="Arial" w:hAnsi="Arial"/>
          <w:sz w:val="22"/>
          <w:szCs w:val="22"/>
        </w:rPr>
        <w:t xml:space="preserve">| geom_id | node.geom_id | '_flood_plain' suffix (native node filtering) |</w:t>
      </w:r>
    </w:p>
    <w:p>
      <w:r>
        <w:rPr>
          <w:rFonts w:ascii="Arial" w:hAnsi="Arial"/>
          <w:sz w:val="22"/>
          <w:szCs w:val="22"/>
        </w:rPr>
        <w:t xml:space="preserve">| n | node.n | residential household count |</w:t>
      </w:r>
    </w:p>
    <w:p>
      <w:r>
        <w:rPr>
          <w:rFonts w:ascii="Arial" w:hAnsi="Arial"/>
          <w:sz w:val="22"/>
          <w:szCs w:val="22"/>
        </w:rPr>
        <w:t xml:space="preserve">| property_value | node.property_value | max_pot_dmg, float64 |</w:t>
      </w:r>
    </w:p>
    <w:p>
      <w:r>
        <w:rPr>
          <w:rFonts w:ascii="Arial" w:hAnsi="Arial"/>
          <w:sz w:val="22"/>
          <w:szCs w:val="22"/>
        </w:rPr>
        <w:t xml:space="preserve">| damages_coastal_cells | node.damages_coastal_cells | events-first (n_events, n) no-measures damages @ SLR_t |</w:t>
      </w:r>
    </w:p>
    <w:p>
      <w:r>
        <w:rPr>
          <w:rFonts w:ascii="Arial" w:hAnsi="Arial"/>
          <w:sz w:val="22"/>
          <w:szCs w:val="22"/>
        </w:rPr>
        <w:t xml:space="preserve">| damages_coastal_cells_adapt | (floodproof strategy) | events-first (n_events, n) |</w:t>
      </w:r>
    </w:p>
    <w:p>
      <w:r>
        <w:rPr>
          <w:rFonts w:ascii="Arial" w:hAnsi="Arial"/>
          <w:sz w:val="22"/>
          <w:szCs w:val="22"/>
        </w:rPr>
        <w:t xml:space="preserve">| p_floods | exceedance probabilities | = freq = 1/RP, ascending-sortable |</w:t>
      </w:r>
    </w:p>
    <w:p>
      <w:r>
        <w:rPr>
          <w:rFonts w:ascii="Arial" w:hAnsi="Arial"/>
          <w:sz w:val="22"/>
          <w:szCs w:val="22"/>
        </w:rPr>
        <w:t xml:space="preserve">| adapt, time_adapt | node.adapt, node.time_adapt | int8 / int32 (native stores ints) |</w:t>
      </w:r>
    </w:p>
    <w:p>
      <w:r>
        <w:rPr>
          <w:rFonts w:ascii="Arial" w:hAnsi="Arial"/>
          <w:sz w:val="22"/>
          <w:szCs w:val="22"/>
        </w:rPr>
        <w:t xml:space="preserve">| object_ids | — (join key) | preserves lookup-table ↔ state row order |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4"/>
          <w:szCs w:val="24"/>
          <w:b/>
        </w:rPr>
        <w:t xml:space="preserve">3.2 Forward and reverse mapping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```</w:t>
      </w:r>
    </w:p>
    <w:p>
      <w:r>
        <w:rPr>
          <w:rFonts w:ascii="Arial" w:hAnsi="Arial"/>
          <w:sz w:val="22"/>
          <w:szCs w:val="22"/>
        </w:rPr>
        <w:t xml:space="preserve">LookupTableAdapter(engine)</w:t>
      </w:r>
    </w:p>
    <w:p>
      <w:r>
        <w:rPr>
          <w:rFonts w:ascii="Arial" w:hAnsi="Arial"/>
          <w:sz w:val="22"/>
          <w:szCs w:val="22"/>
        </w:rPr>
        <w:t xml:space="preserve">  .populate(slr_value)   FloodAdapt -&gt; node : engine.prepare_damages(SLR_t)</w:t>
      </w:r>
    </w:p>
    <w:p>
      <w:r>
        <w:rPr>
          <w:rFonts w:ascii="Arial" w:hAnsi="Arial"/>
          <w:sz w:val="22"/>
          <w:szCs w:val="22"/>
        </w:rPr>
        <w:t xml:space="preserve">                         via the validated interpolation kernel, transposed</w:t>
      </w:r>
    </w:p>
    <w:p>
      <w:r>
        <w:rPr>
          <w:rFonts w:ascii="Arial" w:hAnsi="Arial"/>
          <w:sz w:val="22"/>
          <w:szCs w:val="22"/>
        </w:rPr>
        <w:t xml:space="preserve">                         to the native events-first layout; economics and</w:t>
      </w:r>
    </w:p>
    <w:p>
      <w:r>
        <w:rPr>
          <w:rFonts w:ascii="Arial" w:hAnsi="Arial"/>
          <w:sz w:val="22"/>
          <w:szCs w:val="22"/>
        </w:rPr>
        <w:t xml:space="preserve">                         current adapt/time_adapt read from live AgentState</w:t>
      </w:r>
    </w:p>
    <w:p>
      <w:r>
        <w:rPr>
          <w:rFonts w:ascii="Arial" w:hAnsi="Arial"/>
          <w:sz w:val="22"/>
          <w:szCs w:val="22"/>
        </w:rPr>
        <w:t xml:space="preserve">  .write_back(node)      node -&gt; FloodAdapt : node.adapt / node.time_adapt</w:t>
      </w:r>
    </w:p>
    <w:p>
      <w:r>
        <w:rPr>
          <w:rFonts w:ascii="Arial" w:hAnsi="Arial"/>
          <w:sz w:val="22"/>
          <w:szCs w:val="22"/>
        </w:rPr>
        <w:t xml:space="preserve">                         routed into AgentState, guarded by size and</w:t>
      </w:r>
    </w:p>
    <w:p>
      <w:r>
        <w:rPr>
          <w:rFonts w:ascii="Arial" w:hAnsi="Arial"/>
          <w:sz w:val="22"/>
          <w:szCs w:val="22"/>
        </w:rPr>
        <w:t xml:space="preserve">                         object_id-order checks (raises on misalignment)</w:t>
      </w:r>
    </w:p>
    <w:p>
      <w:r>
        <w:rPr>
          <w:rFonts w:ascii="Arial" w:hAnsi="Arial"/>
          <w:sz w:val="22"/>
          <w:szCs w:val="22"/>
        </w:rPr>
        <w:t xml:space="preserve">```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This pair is the reverse-coupling heartbeat: damages flow FloodAdapt → DYNAMO-M, decisions flow back. In 4b-full, populate()'s logic moves inside the native per-tick data path and write_back()'s logic becomes the node-state update after DynamoLiveRule.should_adapt.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4"/>
          <w:szCs w:val="24"/>
          <w:b/>
        </w:rPr>
        <w:t xml:space="preserve">3.3 The executable contract (PRE.4 gate)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round_trip_check(engine, slr) asserts, on the frozen synthetic population: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- every forward-mapped array is bit-identical to its engine source (damages via transpose round-trip, property_value, p_floods, object_ids, adapt);</w:t>
      </w:r>
    </w:p>
    <w:p>
      <w:r>
        <w:rPr>
          <w:rFonts w:ascii="Arial" w:hAnsi="Arial"/>
          <w:sz w:val="22"/>
          <w:szCs w:val="22"/>
        </w:rPr>
        <w:t xml:space="preserve">- write_back restores a mutated adaptation state exactly;</w:t>
      </w:r>
    </w:p>
    <w:p>
      <w:r>
        <w:rPr>
          <w:rFonts w:ascii="Arial" w:hAnsi="Arial"/>
          <w:sz w:val="22"/>
          <w:szCs w:val="22"/>
        </w:rPr>
        <w:t xml:space="preserve">- all populated arrays are copies (mutating the node never touches engine data);</w:t>
      </w:r>
    </w:p>
    <w:p>
      <w:r>
        <w:rPr>
          <w:rFonts w:ascii="Arial" w:hAnsi="Arial"/>
          <w:sz w:val="22"/>
          <w:szCs w:val="22"/>
        </w:rPr>
        <w:t xml:space="preserve">- end-to-end: interleaving populate → write_back before every engine.step() over a 5-year run leaves is_adapted / time_adapted / risk_perception bit-identical to a direct run — the adapter is pure plumbing.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Gate status: implemented + tests authored; pytest execution pending on the dev machine / CI (this workstation has no Python interpreter).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4. The staleness guard (PRE.3)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SimulationEngine gains a monotonic state_epoch, bumped by every reset_state(). FloodAdaptSLRModel records the epoch it claims at construction; CoastalNodePopulation.step() verifies it and raises RuntimeError when stale (a newer model, or engine.run(), has replaced the shared AgentState). Rationale: 4b-full will instantiate model objects around a shared engine repeatedly during wiring — without the guard, a stale driver silently corrupts the new owner's state, producing exactly the unattributable numerical drift the bit-parity methodology exists to prevent. run_mesa_native() is unaffected (sequential models), so the 4b gate semantics are unchanged.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5. Environment instrumentation (PRE.1, PRE.2)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PRE.1 — verification/preflight_4b_full/. Throwaway conda env (deliberately unpinned; pin-after-verify) plus step1_import_test.py, which checks: mesa import, honeybees import + honeybees.model.Model subclassability, DYNAMO-M decision_module import via DYNAMO_M_PATH, the Phase-4a stub DecisionModule(agents=None, model=&lt;stub&gt;) instantiation re-proven in the new env, and model.py importability. Writes step1_report.md / step1_versions.json; exit code = gate. Run this before 4b-full step 2; pin the recorded versions.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PRE.2 — verification/real_table_gate/. Runs engine.run vs run_mesa_native bit-parity at real scale (61,858 objects × 207 events) with wall-time and tracemalloc peak per run, a per-tick engine.step() profile (the hot path 4b-full inherits), and an optional DynamoLiveRule parity spot-check when DYNAMO-M is importable. Configuration via FA_ABM_REAL_TABLE_PATH, FA_ABM_GATE_NO_SEQ, FA_ABM_GATE_YEARS. If per-tick time is dominated by prepare_damages interpolation, cache interpolated matrices per unique SLR value before 4b-full.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Both kits are prepared, not executed on this workstation (no Python, no DYNAMO-M checkout, no real .nc); their READMEs state this and give exact commands.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6. 4b-full execution plan (steps 2–6, entered only after 4b-pre gates close)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| Step | Task | Builds on | Gate |</w:t>
      </w:r>
    </w:p>
    <w:p>
      <w:r>
        <w:rPr>
          <w:rFonts w:ascii="Arial" w:hAnsi="Arial"/>
          <w:sz w:val="22"/>
          <w:szCs w:val="22"/>
        </w:rPr>
        <w:t xml:space="preserve">|---|---|---|---|</w:t>
      </w:r>
    </w:p>
    <w:p>
      <w:r>
        <w:rPr>
          <w:rFonts w:ascii="Arial" w:hAnsi="Arial"/>
          <w:sz w:val="22"/>
          <w:szCs w:val="22"/>
        </w:rPr>
        <w:t xml:space="preserve">| 2 | Populate SLRModel: config_path, settings_path, geojson study_area, args; instantiate Data, FloodRisk, CoastalAmenities | PRE.1 (pinned env) | SLRModel() succeeds |</w:t>
      </w:r>
    </w:p>
    <w:p>
      <w:r>
        <w:rPr>
          <w:rFonts w:ascii="Arial" w:hAnsi="Arial"/>
          <w:sz w:val="22"/>
          <w:szCs w:val="22"/>
        </w:rPr>
        <w:t xml:space="preserve">| 3 | Port LookupTableAdapter.populate() into the native per-tick data path (object_id ↔ CoastalNode, property_value ↔ node.wealth, per-event damages → node arrays) | PRE.4 (contract-tested prototype) | node arrays reproduce the prototype bit-for-bit |</w:t>
      </w:r>
    </w:p>
    <w:p>
      <w:r>
        <w:rPr>
          <w:rFonts w:ascii="Arial" w:hAnsi="Arial"/>
          <w:sz w:val="22"/>
          <w:szCs w:val="22"/>
        </w:rPr>
        <w:t xml:space="preserve">| 4 | Route decisions: CoastalNode.step() → DynamoLiveRule.should_adapt → node state (write_back semantics) | PRE.4, Phase 4a | decisions recorded in native arrays |</w:t>
      </w:r>
    </w:p>
    <w:p>
      <w:r>
        <w:rPr>
          <w:rFonts w:ascii="Arial" w:hAnsi="Arial"/>
          <w:sz w:val="22"/>
          <w:szCs w:val="22"/>
        </w:rPr>
        <w:t xml:space="preserve">| 5 | Integrate sub-systems: gravity CWD, spin_up_flag, low-memory .npz paging, geom_id '_flood_plain' filtering, reporter | PRE.2 (scale profile) | all sub-step logic runs |</w:t>
      </w:r>
    </w:p>
    <w:p>
      <w:r>
        <w:rPr>
          <w:rFonts w:ascii="Arial" w:hAnsi="Arial"/>
          <w:sz w:val="22"/>
          <w:szCs w:val="22"/>
        </w:rPr>
        <w:t xml:space="preserve">| 6 | 4b-full gate: 4b-full ≡ 4b-scaffold bit-for-bit on a deterministic node population | everything above | bit-parity PASS |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Estimated 20–40 h of infrastructure wiring; no new science. Every headline risk (version drift, scale, adapter correctness, shared-state corruption) is retired or instrumented by 4b-pre.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7. Verification &amp; traceability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- One git commit per task: PRE.3 7ceb144, PRE.4 1cb7862, PRE.1+2 fdaf257 (plus HYG commits — see 20260709_performed_tasks.md §2).</w:t>
      </w:r>
    </w:p>
    <w:p>
      <w:r>
        <w:rPr>
          <w:rFonts w:ascii="Arial" w:hAnsi="Arial"/>
          <w:sz w:val="22"/>
          <w:szCs w:val="22"/>
        </w:rPr>
        <w:t xml:space="preserve">- New tests authored: 4 (staleness guard) + 10 (adapter) = 14, alongside the 104 existing; CI (.github/workflows/ci.yml) executes the full suite + the Phase-4b harness on every push.</w:t>
      </w:r>
    </w:p>
    <w:p>
      <w:r>
        <w:rPr>
          <w:rFonts w:ascii="Arial" w:hAnsi="Arial"/>
          <w:sz w:val="22"/>
          <w:szCs w:val="22"/>
        </w:rPr>
        <w:t xml:space="preserve">- Open item VER.1: re-run the V1–V6 battery on SimulationEngine + SEURule (the vendored Phase-1 battery validated the original bridge path; its V5 "GAP" verdict predates the Phase-3 lifespan fix).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8"/>
          <w:szCs w:val="28"/>
          <w:b/>
        </w:rPr>
        <w:t xml:space="preserve">8. Key files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| Path | Purpose |</w:t>
      </w:r>
    </w:p>
    <w:p>
      <w:r>
        <w:rPr>
          <w:rFonts w:ascii="Arial" w:hAnsi="Arial"/>
          <w:sz w:val="22"/>
          <w:szCs w:val="22"/>
        </w:rPr>
        <w:t xml:space="preserve">|---|---|</w:t>
      </w:r>
    </w:p>
    <w:p>
      <w:r>
        <w:rPr>
          <w:rFonts w:ascii="Arial" w:hAnsi="Arial"/>
          <w:sz w:val="22"/>
          <w:szCs w:val="22"/>
        </w:rPr>
        <w:t xml:space="preserve">| floodadapt_abm/coastal_node_adapter.py | PRE.4 adapter prototype (CoastalNodeArrays, LookupTableAdapter, round_trip_check) |</w:t>
      </w:r>
    </w:p>
    <w:p>
      <w:r>
        <w:rPr>
          <w:rFonts w:ascii="Arial" w:hAnsi="Arial"/>
          <w:sz w:val="22"/>
          <w:szCs w:val="22"/>
        </w:rPr>
        <w:t xml:space="preserve">| tests/test_coastal_node_adapter.py | 10 adapter contract tests |</w:t>
      </w:r>
    </w:p>
    <w:p>
      <w:r>
        <w:rPr>
          <w:rFonts w:ascii="Arial" w:hAnsi="Arial"/>
          <w:sz w:val="22"/>
          <w:szCs w:val="22"/>
        </w:rPr>
        <w:t xml:space="preserve">| floodadapt_abm/simulation_engine.py / mesa_native.py | PRE.3 state_epoch + _check_not_stale |</w:t>
      </w:r>
    </w:p>
    <w:p>
      <w:r>
        <w:rPr>
          <w:rFonts w:ascii="Arial" w:hAnsi="Arial"/>
          <w:sz w:val="22"/>
          <w:szCs w:val="22"/>
        </w:rPr>
        <w:t xml:space="preserve">| tests/test_mesa_native.py::TestSharedEngineStalenessGuard | 4 guard tests |</w:t>
      </w:r>
    </w:p>
    <w:p>
      <w:r>
        <w:rPr>
          <w:rFonts w:ascii="Arial" w:hAnsi="Arial"/>
          <w:sz w:val="22"/>
          <w:szCs w:val="22"/>
        </w:rPr>
        <w:t xml:space="preserve">| verification/preflight_4b_full/ | PRE.1 pin/import kit |</w:t>
      </w:r>
    </w:p>
    <w:p>
      <w:r>
        <w:rPr>
          <w:rFonts w:ascii="Arial" w:hAnsi="Arial"/>
          <w:sz w:val="22"/>
          <w:szCs w:val="22"/>
        </w:rPr>
        <w:t xml:space="preserve">| verification/real_table_gate/ | PRE.2 real-table gate + profiler |</w:t>
      </w:r>
    </w:p>
    <w:p>
      <w:r>
        <w:rPr>
          <w:rFonts w:ascii="Arial" w:hAnsi="Arial"/>
          <w:sz w:val="22"/>
          <w:szCs w:val="22"/>
        </w:rPr>
        <w:t xml:space="preserve">| docs/20260709_proposed_development_architecture_steps.md | Task definitions, backlog, phase gates |</w:t>
      </w:r>
    </w:p>
    <w:p>
      <w:r>
        <w:rPr>
          <w:rFonts w:ascii="Arial" w:hAnsi="Arial"/>
          <w:sz w:val="22"/>
          <w:szCs w:val="22"/>
        </w:rPr>
        <w:t xml:space="preserve"/>
      </w:r>
    </w:p>
    <w:p>
      <w:r>
        <w:rPr>
          <w:rFonts w:ascii="Arial" w:hAnsi="Arial"/>
          <w:sz w:val="22"/>
          <w:szCs w:val="22"/>
        </w:rPr>
        <w:t xml:space="preserve">— End of Phase-4b-full (pre-flight) model documentation —</w:t>
      </w:r>
    </w:p>
    <w:sectPr/>
  </w:body>
</w:document>
</file>