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Does Portfolio Optimization Add Value?</w:t>
      </w:r>
    </w:p>
    <w:p>
      <w:pPr>
        <w:jc w:val="center"/>
      </w:pPr>
      <w:r>
        <w:rPr>
          <w:i/>
          <w:sz w:val="24"/>
        </w:rPr>
        <w:t>An Out-of-Sample Analysis of Estimation Risk, Market Regimes, and Transaction Costs</w:t>
      </w:r>
    </w:p>
    <w:p>
      <w:pPr>
        <w:jc w:val="center"/>
      </w:pPr>
      <w:r>
        <w:rPr>
          <w:b/>
        </w:rPr>
        <w:t>Sahand Mostafaei</w:t>
      </w:r>
    </w:p>
    <w:p>
      <w:pPr>
        <w:jc w:val="center"/>
      </w:pPr>
      <w:r>
        <w:t>Independent Quantitative Finance Research Project</w:t>
      </w:r>
    </w:p>
    <w:p>
      <w:pPr>
        <w:jc w:val="center"/>
      </w:pPr>
      <w:r>
        <w:t>September 2026</w:t>
      </w:r>
    </w:p>
    <w:p>
      <w:pPr>
        <w:jc w:val="center"/>
      </w:pPr>
      <w:r>
        <w:rPr>
          <w:b/>
          <w:sz w:val="17"/>
        </w:rPr>
        <w:t>Research design and empirical evaluation framework</w:t>
      </w:r>
    </w:p>
    <w:p>
      <w:pPr>
        <w:pStyle w:val="Heading1"/>
      </w:pPr>
      <w:r>
        <w:t>Abstract</w:t>
      </w:r>
    </w:p>
    <w:p>
      <w:pPr>
        <w:ind w:firstLine="288"/>
        <w:jc w:val="both"/>
      </w:pPr>
      <w:r>
        <w:t>This study investigates whether portfolio optimization adds economic value relative to simple allocation rules once estimation risk, market regimes, portfolio constraints, turnover, and transaction costs are incorporated. The study compares Equal Weight, Global Minimum Variance, Mean-Variance, and Equal Risk Contribution portfolios in a diversified seven-asset ETF universe. Portfolio weights are estimated only from information available before each evaluation month, portfolios are long-only and fully invested, individual positions are capped at 30%, and transaction costs are deducted from realized returns.</w:t>
      </w:r>
    </w:p>
    <w:p>
      <w:pPr>
        <w:ind w:firstLine="288"/>
        <w:jc w:val="both"/>
      </w:pPr>
      <w:r>
        <w:t>The research design evaluates alternative estimation windows, transaction-cost assumptions, covariance shrinkage, risk-aversion parameters, and rebalancing frequencies. Performance is assessed through annualized return and volatility, Sharpe and Sortino ratios, maximum drawdown, tail-loss measures, turnover, concentration, effective holdings, and transaction costs. Moving-block bootstrap procedures are used for uncertainty analysis, including pairwise differences in Sharpe ratios. The design is intended to distinguish genuine out-of-sample portfolio value from effects that arise from estimation noise or implementation assumptions.</w:t>
      </w:r>
    </w:p>
    <w:p>
      <w:pPr>
        <w:ind w:firstLine="288"/>
        <w:jc w:val="both"/>
      </w:pPr>
      <w:r>
        <w:t>The contribution is methodological: it provides a reproducible framework for determining when optimization is economically useful and when apparent improvements are sensitive to modelling or implementation choices.</w:t>
      </w:r>
    </w:p>
    <w:p>
      <w:pPr>
        <w:pStyle w:val="Heading1"/>
      </w:pPr>
      <w:r>
        <w:t>1. Introduction</w:t>
      </w:r>
    </w:p>
    <w:p>
      <w:pPr>
        <w:ind w:firstLine="288"/>
        <w:jc w:val="both"/>
      </w:pPr>
      <w:r>
        <w:t>Portfolio optimization is a central component of modern portfolio theory. Since Markowitz (1952), investors have used estimated expected returns and covariance matrices to translate beliefs about return and risk into portfolio weights. The practical question, however, is not whether an optimizer can produce mathematically efficient weights from a historical dataset. The economically relevant question is whether those weights improve realized investment outcomes when the inputs are estimated, markets change, portfolios are constrained, and trading creates costs.</w:t>
      </w:r>
    </w:p>
    <w:p>
      <w:pPr>
        <w:ind w:firstLine="288"/>
        <w:jc w:val="both"/>
      </w:pPr>
      <w:r>
        <w:t>Optimization is particularly exposed to estimation risk. Expected returns are difficult to estimate precisely, while sample covariance matrices can contain substantial noise. An optimizer can amplify small estimation errors by assigning large differences in portfolio weights to relatively small differences in estimated inputs. A portfolio that is optimal in sample may therefore fail to retain its apparent advantage out of sample.</w:t>
      </w:r>
    </w:p>
    <w:p>
      <w:pPr>
        <w:ind w:firstLine="288"/>
        <w:jc w:val="both"/>
      </w:pPr>
      <w:r>
        <w:t>The literature provides several reasons to treat simple benchmarks seriously. DeMiguel, Garlappi, and Uppal (2009) document the difficulty of improving consistently on equal-weight allocation across many datasets and models. Jagannathan and Ma (2003) show that portfolio constraints can improve realized performance and may act similarly to covariance shrinkage. Ledoit and Wolf (2003, 2004) demonstrate the importance of improved covariance estimation. These findings motivate an evaluation that incorporates both statistical and implementation uncertainty.</w:t>
      </w:r>
    </w:p>
    <w:p>
      <w:pPr>
        <w:ind w:firstLine="288"/>
        <w:jc w:val="both"/>
      </w:pPr>
      <w:r>
        <w:t>This paper asks whether portfolio optimization adds value after these frictions are taken into account. Four strategies are compared: Equal Weight, Global Minimum Variance, Mean-Variance, and Equal Risk Contribution. Equal Weight provides a transparent benchmark. Minimum Variance uses covariance information without expected-return estimation. Mean-Variance uses both estimated expected returns and covariance. Equal Risk Contribution distributes portfolio risk more evenly across assets.</w:t>
      </w:r>
    </w:p>
    <w:p>
      <w:pPr>
        <w:ind w:firstLine="288"/>
        <w:jc w:val="both"/>
      </w:pPr>
      <w:r>
        <w:t>The study makes five contributions. First, it enforces strict information timing. Second, it compares multiple portfolio construction methods under common constraints. Third, it explicitly deducts transaction costs and measures turnover. Fourth, it evaluates robustness across key modelling assumptions. Fifth, it treats uncertainty and pairwise differences as central parts of the evidence rather than relying on isolated point estimates.</w:t>
      </w:r>
    </w:p>
    <w:p>
      <w:pPr>
        <w:pStyle w:val="Heading1"/>
      </w:pPr>
      <w:r>
        <w:t>2. Research Questions and Hypotheses</w:t>
      </w:r>
    </w:p>
    <w:p>
      <w:pPr>
        <w:ind w:firstLine="288"/>
        <w:jc w:val="both"/>
      </w:pPr>
      <w:r>
        <w:t>The primary research question is: Does portfolio optimization add value out of sample after estimation risk, market regimes, portfolio constraints, turnover, and transaction costs are taken into account?</w:t>
      </w:r>
    </w:p>
    <w:p>
      <w:pPr>
        <w:ind w:firstLine="288"/>
        <w:jc w:val="both"/>
      </w:pPr>
      <w:r>
        <w:t>The question is decomposed into six subquestions: whether optimized portfolios differ materially from Equal Weight; whether differences survive alternative estimation windows; whether transaction costs alter conclusions; whether covariance shrinkage changes optimization stability; whether relative performance varies across market regimes; and whether observed differences are large relative to statistical uncertainty.</w:t>
      </w:r>
    </w:p>
    <w:p>
      <w:pPr>
        <w:ind w:firstLine="288"/>
        <w:jc w:val="both"/>
      </w:pPr>
      <w:r>
        <w:t>The study proposes five directional hypotheses. H1: optimization may improve risk-adjusted performance relative to Equal Weight under some specifications. H2: the magnitude of any improvement will be sensitive to estimation-window length and parameter uncertainty. H3: transaction costs will reduce the realized advantage of strategies with higher turnover. H4: covariance shrinkage may reduce instability in covariance-dependent optimization. H5: relative strategy performance may vary across market regimes.</w:t>
      </w:r>
    </w:p>
    <w:p>
      <w:pPr>
        <w:ind w:firstLine="288"/>
        <w:jc w:val="both"/>
      </w:pPr>
      <w:r>
        <w:t>These hypotheses are designed so that both positive and negative evidence is informative. The study does not assume that optimization must outperform the benchmark.</w:t>
      </w:r>
    </w:p>
    <w:p>
      <w:pPr>
        <w:pStyle w:val="Heading1"/>
      </w:pPr>
      <w:r>
        <w:t>3. Theoretical Framework</w:t>
      </w:r>
    </w:p>
    <w:p>
      <w:pPr>
        <w:ind w:firstLine="288"/>
        <w:jc w:val="both"/>
      </w:pPr>
      <w:r>
        <w:t>For portfolio weights w, expected returns μ, covariance matrix Σ, and risk-aversion parameter γ, the mean-variance objective can be written as μ'w − (γ/2)w'Σw subject to portfolio constraints. Global Minimum Variance instead minimizes w'Σw. Equal Risk Contribution seeks weights whose individual contributions to portfolio risk are approximately equal.</w:t>
      </w:r>
    </w:p>
    <w:p>
      <w:pPr>
        <w:ind w:firstLine="288"/>
        <w:jc w:val="both"/>
      </w:pPr>
      <w:r>
        <w:t>The central statistical problem is that μ and Σ are estimated rather than known. Estimation error can be amplified by optimization because the selected weights depend directly on the estimated inputs. The resulting portfolio can therefore be sensitive to the particular historical window used for estimation.</w:t>
      </w:r>
    </w:p>
    <w:p>
      <w:pPr>
        <w:ind w:firstLine="288"/>
        <w:jc w:val="both"/>
      </w:pPr>
      <w:r>
        <w:t>The portfolio decision is treated as a rolling sequence. At time t, information through t−1 is used to estimate inputs and form weights. Those weights are then applied to the return observed in month t. This chronology prevents the evaluation-period return from entering the portfolio decision that generated it.</w:t>
      </w:r>
    </w:p>
    <w:p>
      <w:pPr>
        <w:ind w:firstLine="288"/>
        <w:jc w:val="both"/>
      </w:pPr>
      <w:r>
        <w:t>Long-only, full-investment, and maximum-weight constraints make the strategies more implementable and reduce extreme concentration. They also provide a common constraint set that allows the strategies to be compared on a consistent basis.</w:t>
      </w:r>
    </w:p>
    <w:p>
      <w:pPr>
        <w:pStyle w:val="Heading1"/>
      </w:pPr>
      <w:r>
        <w:t>4. Literature Review</w:t>
      </w:r>
    </w:p>
    <w:p>
      <w:pPr>
        <w:ind w:firstLine="288"/>
        <w:jc w:val="both"/>
      </w:pPr>
      <w:r>
        <w:t>Markowitz (1952) established mean-variance portfolio selection and demonstrated the importance of covariance and diversification. Michaud (1989) later emphasized the sensitivity of optimization to estimation error, framing the issue as a central practical problem rather than a minor statistical detail.</w:t>
      </w:r>
    </w:p>
    <w:p>
      <w:pPr>
        <w:ind w:firstLine="288"/>
        <w:jc w:val="both"/>
      </w:pPr>
      <w:r>
        <w:t>DeMiguel, Garlappi, and Uppal (2009) provide an influential comparison of optimized portfolios and the 1/N strategy. Their findings motivate the use of Equal Weight as a serious benchmark. DeMiguel, Garlappi, Nogales, and Uppal (2009) further investigate generalized portfolio strategies and constraints.</w:t>
      </w:r>
    </w:p>
    <w:p>
      <w:pPr>
        <w:ind w:firstLine="288"/>
        <w:jc w:val="both"/>
      </w:pPr>
      <w:r>
        <w:t>Jagannathan and Ma (2003) show that constraints can reduce risk and improve realized performance. This is directly relevant because the present design imposes long-only, full-investment, and maximum-weight restrictions.</w:t>
      </w:r>
    </w:p>
    <w:p>
      <w:pPr>
        <w:ind w:firstLine="288"/>
        <w:jc w:val="both"/>
      </w:pPr>
      <w:r>
        <w:t>Ledoit and Wolf (2003, 2004) develop covariance estimators designed to improve conditioning and reduce estimation noise. The present robustness analysis uses Ledoit-Wolf shrinkage to determine whether covariance estimation materially affects the conclusions.</w:t>
      </w:r>
    </w:p>
    <w:p>
      <w:pPr>
        <w:ind w:firstLine="288"/>
        <w:jc w:val="both"/>
      </w:pPr>
      <w:r>
        <w:t>Maillard, Roncalli, and Teïletche (2010) formalize Equal Risk Contribution portfolios. Their framework motivates the inclusion of a risk-allocation strategy that differs from both equal capital allocation and mean-variance optimization.</w:t>
      </w:r>
    </w:p>
    <w:p>
      <w:pPr>
        <w:ind w:firstLine="288"/>
        <w:jc w:val="both"/>
      </w:pPr>
      <w:r>
        <w:t>Newey and West (1987) provide heteroskedasticity- and autocorrelation-consistent inference. White (2000) and Harvey, Liu, and Zhu (2016) highlight the danger of data snooping and multiple testing. Politis and Romano (1994) provide foundations for block-bootstrap procedures that preserve dependence structures.</w:t>
      </w:r>
    </w:p>
    <w:p>
      <w:pPr>
        <w:pStyle w:val="Heading1"/>
      </w:pPr>
      <w:r>
        <w:t>5. Data and Investment Universe</w:t>
      </w:r>
    </w:p>
    <w:p>
      <w:pPr>
        <w:ind w:firstLine="288"/>
        <w:jc w:val="both"/>
      </w:pPr>
      <w:r>
        <w:t>The empirical universe contains seven ETF proxies: SPY for U.S. equities, EFA for developed-market equities outside the United States, EEM for emerging-market equities, TLT for long-duration U.S. Treasury exposure, GLD for gold, DBC for broad commodities, and VNQ for U.S. real estate investment trusts.</w:t>
      </w:r>
    </w:p>
    <w:p>
      <w:pPr>
        <w:ind w:firstLine="288"/>
        <w:jc w:val="both"/>
      </w:pPr>
      <w:r>
        <w:t>Adjusted market-price data are retrieved through Yahoo Finance using the yfinance Python interface. Prices are converted to month-end observations and returns are computed from consecutive month-end adjusted prices. The analysis therefore uses monthly observations.</w:t>
      </w:r>
    </w:p>
    <w:p>
      <w:pPr>
        <w:ind w:firstLine="288"/>
        <w:jc w:val="both"/>
      </w:pPr>
      <w:r>
        <w:t>The common return panel is aligned across the selected assets. The sample is determined by data availability rather than by choosing dates after observing performance. ETF returns are implementation proxies and can differ from pure asset-class index returns because of fees, tracking differences, fund structure, and market microstructure.</w:t>
      </w:r>
    </w:p>
    <w:p>
      <w:pPr>
        <w:ind w:firstLine="288"/>
        <w:jc w:val="both"/>
      </w:pPr>
      <w:r>
        <w:t>No future information is used to form portfolio weights. For evaluation month t, the estimation sample ends before t. The resulting weights are applied to month t's return.</w:t>
      </w:r>
    </w:p>
    <w:p>
      <w:pPr>
        <w:pStyle w:val="Heading1"/>
      </w:pPr>
      <w:r>
        <w:t>6. Portfolio Construction Methodology</w:t>
      </w:r>
    </w:p>
    <w:p>
      <w:pPr>
        <w:ind w:firstLine="288"/>
        <w:jc w:val="both"/>
      </w:pPr>
      <w:r>
        <w:t>Equal Weight assigns 1/N to each of the seven assets at each rebalance. It requires no estimated expected returns or covariance matrix.</w:t>
      </w:r>
    </w:p>
    <w:p>
      <w:pPr>
        <w:ind w:firstLine="288"/>
        <w:jc w:val="both"/>
      </w:pPr>
      <w:r>
        <w:t>Global Minimum Variance minimizes estimated portfolio variance subject to long-only, full-investment, and 30% maximum-weight constraints.</w:t>
      </w:r>
    </w:p>
    <w:p>
      <w:pPr>
        <w:ind w:firstLine="288"/>
        <w:jc w:val="both"/>
      </w:pPr>
      <w:r>
        <w:t>Mean-Variance maximizes estimated expected return minus a risk penalty. Expected returns are arithmetic means over the rolling estimation window. The baseline risk-aversion parameter is γ = 3, with γ = 1, 3, 5, and 10 examined in sensitivity analysis.</w:t>
      </w:r>
    </w:p>
    <w:p>
      <w:pPr>
        <w:ind w:firstLine="288"/>
        <w:jc w:val="both"/>
      </w:pPr>
      <w:r>
        <w:t>Equal Risk Contribution minimizes the dispersion of asset-level risk contributions around their mean. With portfolio volatility σp = sqrt(w'Σw), the risk contribution of asset i is proportional to wi(Σw)i/σp. The optimization seeks approximately equal contributions subject to the common constraints.</w:t>
      </w:r>
    </w:p>
    <w:p>
      <w:pPr>
        <w:ind w:firstLine="288"/>
        <w:jc w:val="both"/>
      </w:pPr>
      <w:r>
        <w:t>Optimization is solved numerically using constrained nonlinear optimization. The 30% maximum position prevents extreme allocations and improves comparability.</w:t>
      </w:r>
    </w:p>
    <w:p>
      <w:pPr>
        <w:pStyle w:val="Heading1"/>
      </w:pPr>
      <w:r>
        <w:t>7. Out-of-Sample Evaluation Design</w:t>
      </w:r>
    </w:p>
    <w:p>
      <w:pPr>
        <w:ind w:firstLine="288"/>
        <w:jc w:val="both"/>
      </w:pPr>
      <w:r>
        <w:t>The baseline estimation window contains 60 monthly observations. At each evaluation month, the preceding 60 months are used to estimate portfolio inputs. The resulting weights are applied to the following month's return.</w:t>
      </w:r>
    </w:p>
    <w:p>
      <w:pPr>
        <w:ind w:firstLine="288"/>
        <w:jc w:val="both"/>
      </w:pPr>
      <w:r>
        <w:t>The baseline rebalancing frequency is monthly. Turnover at a rebalance is the sum of absolute changes in portfolio weights relative to the previous portfolio. Transaction costs are proportional to turnover.</w:t>
      </w:r>
    </w:p>
    <w:p>
      <w:pPr>
        <w:ind w:firstLine="288"/>
        <w:jc w:val="both"/>
      </w:pPr>
      <w:r>
        <w:t>The baseline transaction cost is 15 basis points per unit of turnover. Net return equals gross portfolio return less the estimated transaction cost. The initial portfolio formation is not charged an initial turnover cost because no prior portfolio is observed; this convention is recorded explicitly.</w:t>
      </w:r>
    </w:p>
    <w:p>
      <w:pPr>
        <w:ind w:firstLine="288"/>
        <w:jc w:val="both"/>
      </w:pPr>
      <w:r>
        <w:t>The sequence is therefore: estimate from historical data; form constrained weights; observe the next month's asset returns; calculate gross return; calculate turnover; deduct transaction costs; record net return; roll the window forward.</w:t>
      </w:r>
    </w:p>
    <w:p>
      <w:pPr>
        <w:pStyle w:val="Heading1"/>
      </w:pPr>
      <w:r>
        <w:t>8. Transaction Costs and Implementability</w:t>
      </w:r>
    </w:p>
    <w:p>
      <w:pPr>
        <w:ind w:firstLine="288"/>
        <w:jc w:val="both"/>
      </w:pPr>
      <w:r>
        <w:t>Transaction costs matter because optimization can generate unstable weights even when gross performance appears attractive. A small gross improvement may not compensate for additional trading activity.</w:t>
      </w:r>
    </w:p>
    <w:p>
      <w:pPr>
        <w:ind w:firstLine="288"/>
        <w:jc w:val="both"/>
      </w:pPr>
      <w:r>
        <w:t>Cost sensitivity uses 0, 5, 10, 15, and 30 basis points. The range is a robustness device rather than a claim about a universal execution cost.</w:t>
      </w:r>
    </w:p>
    <w:p>
      <w:pPr>
        <w:ind w:firstLine="288"/>
        <w:jc w:val="both"/>
      </w:pPr>
      <w:r>
        <w:t>The analysis reports average monthly turnover, average rebalance turnover, and total transaction costs. These measures permit a cost-performance interpretation rather than relying solely on return statistics.</w:t>
      </w:r>
    </w:p>
    <w:p>
      <w:pPr>
        <w:ind w:firstLine="288"/>
        <w:jc w:val="both"/>
      </w:pPr>
      <w:r>
        <w:t>Monthly and quarterly rebalancing are compared. This helps identify whether potential benefits depend on frequent adaptation to changing estimates.</w:t>
      </w:r>
    </w:p>
    <w:p>
      <w:pPr>
        <w:pStyle w:val="Heading1"/>
      </w:pPr>
      <w:r>
        <w:t>9. Estimation Risk and Covariance Shrinkage</w:t>
      </w:r>
    </w:p>
    <w:p>
      <w:pPr>
        <w:ind w:firstLine="288"/>
        <w:jc w:val="both"/>
      </w:pPr>
      <w:r>
        <w:t>Three estimation windows are evaluated: 36, 60, and 120 months. A shorter window can respond more quickly to changing conditions but contains fewer observations. A longer window provides more observations but can adapt more slowly.</w:t>
      </w:r>
    </w:p>
    <w:p>
      <w:pPr>
        <w:ind w:firstLine="288"/>
        <w:jc w:val="both"/>
      </w:pPr>
      <w:r>
        <w:t>Ledoit-Wolf shrinkage is used as a covariance robustness specification. It trades some sample flexibility for improved conditioning and potentially lower estimation error. Because Minimum Variance, Mean-Variance, and Equal Risk Contribution depend on covariance estimates, this experiment directly tests a key source of optimization instability.</w:t>
      </w:r>
    </w:p>
    <w:p>
      <w:pPr>
        <w:ind w:firstLine="288"/>
        <w:jc w:val="both"/>
      </w:pPr>
      <w:r>
        <w:t>If shrinkage changes portfolio weights substantially but leaves conclusions stable, the evidence is more robust to covariance estimation. If conclusions change materially, covariance estimation becomes an important qualification.</w:t>
      </w:r>
    </w:p>
    <w:p>
      <w:pPr>
        <w:pStyle w:val="Heading1"/>
      </w:pPr>
      <w:r>
        <w:t>10. Market-Regime Analysis</w:t>
      </w:r>
    </w:p>
    <w:p>
      <w:pPr>
        <w:ind w:firstLine="288"/>
        <w:jc w:val="both"/>
      </w:pPr>
      <w:r>
        <w:t>Market conditions may affect relative strategy performance. Each evaluation month is classified using information available before that month. The regime signal is based on the trailing 12-month SPY return observed at the prior month-end.</w:t>
      </w:r>
    </w:p>
    <w:p>
      <w:pPr>
        <w:ind w:firstLine="288"/>
        <w:jc w:val="both"/>
      </w:pPr>
      <w:r>
        <w:t>A lagged trailing return above +10% defines Bull, below −10% defines Bear, and intermediate values define Neutral. The signal is shifted so that the evaluation month's return cannot affect its own classification.</w:t>
      </w:r>
    </w:p>
    <w:p>
      <w:pPr>
        <w:ind w:firstLine="288"/>
        <w:jc w:val="both"/>
      </w:pPr>
      <w:r>
        <w:t>Regime analysis reports observations, annualized return, Sharpe ratio, and maximum drawdown for each strategy within each regime. Small regime samples are interpreted cautiously.</w:t>
      </w:r>
    </w:p>
    <w:p>
      <w:pPr>
        <w:pStyle w:val="Heading1"/>
      </w:pPr>
      <w:r>
        <w:t>11. Performance Measurement</w:t>
      </w:r>
    </w:p>
    <w:p>
      <w:pPr>
        <w:ind w:firstLine="288"/>
        <w:jc w:val="both"/>
      </w:pPr>
      <w:r>
        <w:t>Annualized return is calculated from compounded monthly net returns. Annualized volatility is monthly standard deviation multiplied by sqrt(12). Sharpe ratios are calculated using a zero annual risk-free-rate convention and a 2% annual sensitivity.</w:t>
      </w:r>
    </w:p>
    <w:p>
      <w:pPr>
        <w:ind w:firstLine="288"/>
        <w:jc w:val="both"/>
      </w:pPr>
      <w:r>
        <w:t>Maximum drawdown is calculated from the cumulative wealth index. Monthly 5% Value-at-Risk is the empirical fifth percentile. Conditional Value-at-Risk is the mean return among observations at or below that percentile.</w:t>
      </w:r>
    </w:p>
    <w:p>
      <w:pPr>
        <w:ind w:firstLine="288"/>
        <w:jc w:val="both"/>
      </w:pPr>
      <w:r>
        <w:t>Sortino performance is reported using downside deviation. Skewness and excess kurtosis provide supplementary information about distributional shape.</w:t>
      </w:r>
    </w:p>
    <w:p>
      <w:pPr>
        <w:ind w:firstLine="288"/>
        <w:jc w:val="both"/>
      </w:pPr>
      <w:r>
        <w:t>Implementation measures include turnover, total transaction costs, maximum portfolio weight, and effective holdings calculated as the inverse of the sum of squared weights.</w:t>
      </w:r>
    </w:p>
    <w:p>
      <w:pPr>
        <w:pStyle w:val="Heading1"/>
      </w:pPr>
      <w:r>
        <w:t>12. Statistical Inference and Uncertainty</w:t>
      </w:r>
    </w:p>
    <w:p>
      <w:pPr>
        <w:ind w:firstLine="288"/>
        <w:jc w:val="both"/>
      </w:pPr>
      <w:r>
        <w:t>A difference in point-estimate Sharpe ratios is not automatically evidence of a reliable performance difference. The baseline uncertainty analysis uses a moving-block bootstrap with six-month blocks to preserve local dependence in monthly returns.</w:t>
      </w:r>
    </w:p>
    <w:p>
      <w:pPr>
        <w:ind w:firstLine="288"/>
        <w:jc w:val="both"/>
      </w:pPr>
      <w:r>
        <w:t>Bootstrap intervals are calculated for individual strategy Sharpe ratios and pairwise Sharpe-ratio differences. Pairwise differences directly address the question of whether one strategy's observed performance differs from another's.</w:t>
      </w:r>
    </w:p>
    <w:p>
      <w:pPr>
        <w:ind w:firstLine="288"/>
        <w:jc w:val="both"/>
      </w:pPr>
      <w:r>
        <w:t>The research design treats window length, costs, risk aversion, covariance estimation, and rebalancing as pre-defined robustness dimensions. This reduces the risk that specifications are selected after observing favorable results.</w:t>
      </w:r>
    </w:p>
    <w:p>
      <w:pPr>
        <w:ind w:firstLine="288"/>
        <w:jc w:val="both"/>
      </w:pPr>
      <w:r>
        <w:t>Statistical significance and economic significance are distinct. The interpretation therefore considers effect size, uncertainty, turnover, costs, and robustness jointly.</w:t>
      </w:r>
    </w:p>
    <w:p>
      <w:pPr>
        <w:pStyle w:val="Heading1"/>
      </w:pPr>
      <w:r>
        <w:t>13. Robustness Matrix</w:t>
      </w:r>
    </w:p>
    <w:p>
      <w:pPr>
        <w:ind w:firstLine="288"/>
        <w:jc w:val="both"/>
      </w:pPr>
      <w:r>
        <w:t>The baseline specification is a 60-month window, 15-basis-point cost, γ = 3, monthly rebalancing, sample covariance, long-only constraints, full investment, and a 30% maximum weight.</w:t>
      </w:r>
    </w:p>
    <w:p>
      <w:pPr>
        <w:ind w:firstLine="288"/>
        <w:jc w:val="both"/>
      </w:pPr>
      <w:r>
        <w:t>Window robustness uses 36, 60, and 120 months. Cost robustness uses 0, 5, 10, 15, and 30 basis points. Mean-Variance risk aversion uses γ = 1, 3, 5, and 10. Covariance robustness compares sample covariance with Ledoit-Wolf shrinkage. Rebalancing robustness compares monthly and quarterly schedules. Risk-free-rate sensitivity compares 0% and 2% annual assumptions.</w:t>
      </w:r>
    </w:p>
    <w:p>
      <w:pPr>
        <w:ind w:firstLine="288"/>
        <w:jc w:val="both"/>
      </w:pPr>
      <w:r>
        <w:t>A result that survives materially different assumptions provides stronger evidence than a result confined to one specification. A specification-sensitive result should be described accordingly.</w:t>
      </w:r>
    </w:p>
    <w:p>
      <w:pPr>
        <w:pStyle w:val="Heading1"/>
      </w:pPr>
      <w:r>
        <w:t>14. Research Integrity and Reproducibility</w:t>
      </w:r>
    </w:p>
    <w:p>
      <w:pPr>
        <w:ind w:firstLine="288"/>
        <w:jc w:val="both"/>
      </w:pPr>
      <w:r>
        <w:t>The repository separates methodology, literature, source code, data documentation, results, and the manuscript. The computational pipeline is designed to generate empirical outputs from the underlying data rather than embedding manually typed performance numbers.</w:t>
      </w:r>
    </w:p>
    <w:p>
      <w:pPr>
        <w:ind w:firstLine="288"/>
        <w:jc w:val="both"/>
      </w:pPr>
      <w:r>
        <w:t>Provenance records include the Python environment, platform information, ticker universe, sample period, and baseline parameters. Continuous integration checks required research files and verifies that the principal source file compiles.</w:t>
      </w:r>
    </w:p>
    <w:p>
      <w:pPr>
        <w:ind w:firstLine="288"/>
        <w:jc w:val="both"/>
      </w:pPr>
      <w:r>
        <w:t>Empirical claims should be traceable to generated output files. Presentation quality is not treated as evidence. This is particularly important in an independent research project intended for academic evaluation.</w:t>
      </w:r>
    </w:p>
    <w:p>
      <w:pPr>
        <w:ind w:firstLine="288"/>
        <w:jc w:val="both"/>
      </w:pPr>
      <w:r>
        <w:t>The research protocol is therefore designed so that final numerical findings can be incorporated after execution without changing the methodological rules that determine the test.</w:t>
      </w:r>
    </w:p>
    <w:p>
      <w:pPr>
        <w:pStyle w:val="Heading1"/>
      </w:pPr>
      <w:r>
        <w:t>15. Empirical Results Structure</w:t>
      </w:r>
    </w:p>
    <w:p>
      <w:pPr>
        <w:ind w:firstLine="288"/>
        <w:jc w:val="both"/>
      </w:pPr>
      <w:r>
        <w:t>The completed empirical section should begin with a baseline performance table containing return, volatility, Sharpe ratio, Sortino ratio, drawdown, tail-loss measures, turnover, transaction costs, and effective holdings. A cumulative net-wealth figure should accompany the table.</w:t>
      </w:r>
    </w:p>
    <w:p>
      <w:pPr>
        <w:ind w:firstLine="288"/>
        <w:jc w:val="both"/>
      </w:pPr>
      <w:r>
        <w:t>Subsequent tables should report estimation-window and transaction-cost sensitivity, followed by covariance shrinkage, risk-aversion, and rebalancing results. Regime results should then show conditional performance across Bull, Neutral, and Bear states.</w:t>
      </w:r>
    </w:p>
    <w:p>
      <w:pPr>
        <w:ind w:firstLine="288"/>
        <w:jc w:val="both"/>
      </w:pPr>
      <w:r>
        <w:t>The final statistical table should present bootstrap intervals for individual Sharpe ratios and pairwise Sharpe differences. Interpretation should proceed from descriptive results to robustness, uncertainty, and economic significance.</w:t>
      </w:r>
    </w:p>
    <w:p>
      <w:pPr>
        <w:pStyle w:val="Heading1"/>
      </w:pPr>
      <w:r>
        <w:t>16. Interpretation Framework</w:t>
      </w:r>
    </w:p>
    <w:p>
      <w:pPr>
        <w:ind w:firstLine="288"/>
        <w:jc w:val="both"/>
      </w:pPr>
      <w:r>
        <w:t>The study does not treat portfolio construction as a contest with a universal winner. It evaluates four dimensions: performance, risk, implementation cost, and robustness.</w:t>
      </w:r>
    </w:p>
    <w:p>
      <w:pPr>
        <w:ind w:firstLine="288"/>
        <w:jc w:val="both"/>
      </w:pPr>
      <w:r>
        <w:t>Performance concerns realized return and risk-adjusted return. Risk concerns volatility, drawdowns, and tail losses. Implementation concerns turnover, concentration, and transaction costs. Robustness concerns stability across alternative assumptions.</w:t>
      </w:r>
    </w:p>
    <w:p>
      <w:pPr>
        <w:ind w:firstLine="288"/>
        <w:jc w:val="both"/>
      </w:pPr>
      <w:r>
        <w:t>If an optimizer improves the baseline Sharpe ratio but loses that improvement at higher costs, the evidence should be described as cost-sensitive. If covariance shrinkage changes weights but not the conclusion, the result is robust to that estimation choice. If performance differs by regime, the conclusion should report the conditional pattern rather than extrapolate universally.</w:t>
      </w:r>
    </w:p>
    <w:p>
      <w:pPr>
        <w:ind w:firstLine="288"/>
        <w:jc w:val="both"/>
      </w:pPr>
      <w:r>
        <w:t>This approach keeps conclusions tied to observed evidence and avoids turning small historical differences into broad claims about future investment performance.</w:t>
      </w:r>
    </w:p>
    <w:p>
      <w:pPr>
        <w:pStyle w:val="Heading1"/>
      </w:pPr>
      <w:r>
        <w:t>17. Limitations</w:t>
      </w:r>
    </w:p>
    <w:p>
      <w:pPr>
        <w:ind w:firstLine="288"/>
        <w:jc w:val="both"/>
      </w:pPr>
      <w:r>
        <w:t>The seven-asset ETF universe does not represent the full opportunity set available to investors. Results therefore apply to the specified universe and implementation proxies.</w:t>
      </w:r>
    </w:p>
    <w:p>
      <w:pPr>
        <w:ind w:firstLine="288"/>
        <w:jc w:val="both"/>
      </w:pPr>
      <w:r>
        <w:t>Historical backtests are sample-dependent. Structural breaks, changing market regimes, and changing asset characteristics limit the extent to which historical results can establish future performance.</w:t>
      </w:r>
    </w:p>
    <w:p>
      <w:pPr>
        <w:ind w:firstLine="288"/>
        <w:jc w:val="both"/>
      </w:pPr>
      <w:r>
        <w:t>The proportional transaction-cost model does not capture every execution friction, including market impact, taxes, financing costs, and investor-specific trading conditions.</w:t>
      </w:r>
    </w:p>
    <w:p>
      <w:pPr>
        <w:ind w:firstLine="288"/>
        <w:jc w:val="both"/>
      </w:pPr>
      <w:r>
        <w:t>Mean-Variance results depend on the expected-return estimator, covariance estimator, objective, risk-aversion parameter, constraints, and optimization method. Equal Risk Contribution also depends on covariance estimation and the numerical objective.</w:t>
      </w:r>
    </w:p>
    <w:p>
      <w:pPr>
        <w:ind w:firstLine="288"/>
        <w:jc w:val="both"/>
      </w:pPr>
      <w:r>
        <w:t>Monthly observations provide fewer effectively independent observations than the raw sample length suggests. Bootstrap and HAC procedures can improve inference but cannot create information absent from the sample.</w:t>
      </w:r>
    </w:p>
    <w:p>
      <w:pPr>
        <w:pStyle w:val="Heading1"/>
      </w:pPr>
      <w:r>
        <w:t>18. Conclusion</w:t>
      </w:r>
    </w:p>
    <w:p>
      <w:pPr>
        <w:ind w:firstLine="288"/>
        <w:jc w:val="both"/>
      </w:pPr>
      <w:r>
        <w:t>This research develops a reproducible framework for evaluating whether portfolio optimization adds value when exposed to estimation uncertainty, changing market conditions, portfolio constraints, turnover, and transaction costs.</w:t>
      </w:r>
    </w:p>
    <w:p>
      <w:pPr>
        <w:ind w:firstLine="288"/>
        <w:jc w:val="both"/>
      </w:pPr>
      <w:r>
        <w:t>The central methodological point is that optimization should not be judged solely by an in-sample objective or a single out-of-sample statistic. Economic value depends on whether the resulting allocation remains effective when estimates are noisy and implementation is costly.</w:t>
      </w:r>
    </w:p>
    <w:p>
      <w:pPr>
        <w:ind w:firstLine="288"/>
        <w:jc w:val="both"/>
      </w:pPr>
      <w:r>
        <w:t>The empirical framework can distinguish persistent improvement from cost-sensitive, regime-dependent, or specification-sensitive improvement. Each outcome is informative because it addresses a different component of the research question.</w:t>
      </w:r>
    </w:p>
    <w:p>
      <w:pPr>
        <w:ind w:firstLine="288"/>
        <w:jc w:val="both"/>
      </w:pPr>
      <w:r>
        <w:t>For investment practice, the framework emphasizes that portfolio construction methods should be assessed from estimation through implementation. For an MSc-level research setting, it demonstrates transparent chronology, reproducible computation, explicit uncertainty, and disciplined interpretation.</w:t>
      </w:r>
    </w:p>
    <w:p>
      <w:pPr>
        <w:pStyle w:val="Heading1"/>
      </w:pPr>
      <w:r>
        <w:t>References</w:t>
      </w:r>
    </w:p>
    <w:p>
      <w:pPr>
        <w:spacing w:after="30"/>
        <w:ind w:left="259" w:hanging="259"/>
      </w:pPr>
      <w:r>
        <w:t>Carhart, M. M. (1997). On Persistence in Mutual Fund Performance. Journal of Finance, 52(1), 57–82. https://doi.org/10.1111/j.1540-6261.1997.tb03808.x</w:t>
      </w:r>
    </w:p>
    <w:p>
      <w:pPr>
        <w:spacing w:after="30"/>
        <w:ind w:left="259" w:hanging="259"/>
      </w:pPr>
      <w:r>
        <w:t>DeMiguel, V., Garlappi, L., &amp; Uppal, R. (2009). Optimal Versus Naive Diversification. Review of Financial Studies, 22(5), 1915–1953. https://doi.org/10.1093/rfs/hhm075</w:t>
      </w:r>
    </w:p>
    <w:p>
      <w:pPr>
        <w:spacing w:after="30"/>
        <w:ind w:left="259" w:hanging="259"/>
      </w:pPr>
      <w:r>
        <w:t>DeMiguel, V., Garlappi, L., Nogales, F. J., &amp; Uppal, R. (2009). A Generalized Approach to Portfolio Optimization. Management Science, 55(5), 798–812. https://doi.org/10.1287/mnsc.1080.0986</w:t>
      </w:r>
    </w:p>
    <w:p>
      <w:pPr>
        <w:spacing w:after="30"/>
        <w:ind w:left="259" w:hanging="259"/>
      </w:pPr>
      <w:r>
        <w:t>Efron, B. (1979). Bootstrap Methods: Another Look at the Jackknife. Annals of Statistics, 7(1), 1–26.</w:t>
      </w:r>
    </w:p>
    <w:p>
      <w:pPr>
        <w:spacing w:after="30"/>
        <w:ind w:left="259" w:hanging="259"/>
      </w:pPr>
      <w:r>
        <w:t>Fama, E. F., &amp; French, K. R. (1993). Common Risk Factors in the Returns on Stocks and Bonds. Journal of Financial Economics, 33(1), 3–56. https://doi.org/10.1016/0304-405X(93)90023-5</w:t>
      </w:r>
    </w:p>
    <w:p>
      <w:pPr>
        <w:spacing w:after="30"/>
        <w:ind w:left="259" w:hanging="259"/>
      </w:pPr>
      <w:r>
        <w:t>Harvey, C. R., Liu, Y., &amp; Zhu, H. (2016). ...and the Cross-Section of Expected Returns. Review of Financial Studies, 29(1), 5–68. https://doi.org/10.1093/rfs/hhv059</w:t>
      </w:r>
    </w:p>
    <w:p>
      <w:pPr>
        <w:spacing w:after="30"/>
        <w:ind w:left="259" w:hanging="259"/>
      </w:pPr>
      <w:r>
        <w:t>Hansen, P. R. (2005). A Test for Superior Predictive Ability. Journal of Business &amp; Economic Statistics, 23(4), 365–380.</w:t>
      </w:r>
    </w:p>
    <w:p>
      <w:pPr>
        <w:spacing w:after="30"/>
        <w:ind w:left="259" w:hanging="259"/>
      </w:pPr>
      <w:r>
        <w:t>Hansen, P. R., Lunde, A., &amp; Nason, J. M. (2011). The Model Confidence Set. Econometrica, 79(2), 453–497.</w:t>
      </w:r>
    </w:p>
    <w:p>
      <w:pPr>
        <w:spacing w:after="30"/>
        <w:ind w:left="259" w:hanging="259"/>
      </w:pPr>
      <w:r>
        <w:t>Jagannathan, R., &amp; Ma, T. (2003). Risk Reduction in Large Portfolios: Why Imposing the Wrong Constraints Helps. Journal of Finance, 58(4), 1651–1684. https://doi.org/10.1111/1540-6261.00580</w:t>
      </w:r>
    </w:p>
    <w:p>
      <w:pPr>
        <w:spacing w:after="30"/>
        <w:ind w:left="259" w:hanging="259"/>
      </w:pPr>
      <w:r>
        <w:t>Ledoit, O., &amp; Wolf, M. (2003). Improved Estimation of the Covariance Matrix of Stock Returns. Journal of Empirical Finance, 10(5), 603–621. https://doi.org/10.1016/S0927-5398(03)00007-1</w:t>
      </w:r>
    </w:p>
    <w:p>
      <w:pPr>
        <w:spacing w:after="30"/>
        <w:ind w:left="259" w:hanging="259"/>
      </w:pPr>
      <w:r>
        <w:t>Ledoit, O., &amp; Wolf, M. (2004). A Well-Conditioned Estimator for Large-Dimensional Covariance Matrices. Journal of Multivariate Analysis, 88(2), 365–411. https://doi.org/10.1016/S0047-259X(03)00096-4</w:t>
      </w:r>
    </w:p>
    <w:p>
      <w:pPr>
        <w:spacing w:after="30"/>
        <w:ind w:left="259" w:hanging="259"/>
      </w:pPr>
      <w:r>
        <w:t>Ledoit, O., &amp; Wolf, M. (2004). Honey, I Shrunk the Sample Covariance Matrix. Journal of Portfolio Management, 30(4), 110–119. https://doi.org/10.3905/jpm.2004.110</w:t>
      </w:r>
    </w:p>
    <w:p>
      <w:pPr>
        <w:spacing w:after="30"/>
        <w:ind w:left="259" w:hanging="259"/>
      </w:pPr>
      <w:r>
        <w:t>Maillard, S., Roncalli, T., &amp; Teïletche, J. (2010). The Properties of Equally Weighted Risk Contribution Portfolios. Journal of Portfolio Management, 36(4), 60–70. https://doi.org/10.3905/jpm.2010.36.4.060</w:t>
      </w:r>
    </w:p>
    <w:p>
      <w:pPr>
        <w:spacing w:after="30"/>
        <w:ind w:left="259" w:hanging="259"/>
      </w:pPr>
      <w:r>
        <w:t>Markowitz, H. (1952). Portfolio Selection. Journal of Finance, 7(1), 77–91. https://doi.org/10.1111/j.1540-6261.1952.tb01525.x</w:t>
      </w:r>
    </w:p>
    <w:p>
      <w:pPr>
        <w:spacing w:after="30"/>
        <w:ind w:left="259" w:hanging="259"/>
      </w:pPr>
      <w:r>
        <w:t>Michaud, R. O. (1989). The Markowitz Optimization Enigma: Is ‘Optimized’ Optimal? Financial Analysts Journal, 45(1), 31–42.</w:t>
      </w:r>
    </w:p>
    <w:p>
      <w:pPr>
        <w:spacing w:after="30"/>
        <w:ind w:left="259" w:hanging="259"/>
      </w:pPr>
      <w:r>
        <w:t>Newey, W. K., &amp; West, K. D. (1987). A Simple, Positive Semi-Definite, Heteroskedasticity and Autocorrelation Consistent Covariance Matrix. Econometrica, 55(3), 703–708.</w:t>
      </w:r>
    </w:p>
    <w:p>
      <w:pPr>
        <w:spacing w:after="30"/>
        <w:ind w:left="259" w:hanging="259"/>
      </w:pPr>
      <w:r>
        <w:t>Olivares-Nadal, A. V., &amp; DeMiguel, V. (2018). Technical Note—On the Limits of Decomposing Portfolio Risk. Operations Research, 66(3), 832–846. https://doi.org/10.1287/opre.2017.1699</w:t>
      </w:r>
    </w:p>
    <w:p>
      <w:pPr>
        <w:spacing w:after="30"/>
        <w:ind w:left="259" w:hanging="259"/>
      </w:pPr>
      <w:r>
        <w:t>Politis, D. N., &amp; Romano, J. P. (1994). The Stationary Bootstrap. Journal of the American Statistical Association, 89(428), 1303–1313.</w:t>
      </w:r>
    </w:p>
    <w:p>
      <w:pPr>
        <w:spacing w:after="30"/>
        <w:ind w:left="259" w:hanging="259"/>
      </w:pPr>
      <w:r>
        <w:t>White, H. (2000). A Reality Check for Data Snooping. Econometrica, 68(5), 1097–1126. https://doi.org/10.1111/1468-0262.00152</w:t>
      </w:r>
    </w:p>
    <w:sectPr w:rsidR="00FC693F" w:rsidRPr="0006063C" w:rsidSect="00034616">
      <w:footerReference w:type="default" r:id="rId9"/>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Research Paper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