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3A0F6B"/>
          <w:sz w:val="64"/>
          <w:szCs w:val="64"/>
        </w:rPr>
        <w:t xml:space="preserve">The Periodic Table of Elements</w:t>
      </w:r>
    </w:p>
    <w:p>
      <w:pPr>
        <w:pBdr>
          <w:bottom w:val="single" w:color="9D4EDD" w:sz="6" w:space="1"/>
        </w:pBdr>
        <w:spacing w:before="0" w:after="200"/>
      </w:pPr>
      <w:r>
        <w:rPr>
          <w:rFonts w:ascii="Arial" w:cs="Arial" w:eastAsia="Arial" w:hAnsi="Arial"/>
          <w:i/>
          <w:iCs/>
          <w:color w:val="555555"/>
          <w:sz w:val="28"/>
          <w:szCs w:val="28"/>
        </w:rPr>
        <w:t xml:space="preserve">Chemistry's master organizer — a map of all matter arranged by atomic structure</w:t>
      </w:r>
    </w:p>
    <w:p>
      <w:pPr>
        <w:spacing w:before="200" w:after="80"/>
      </w:pPr>
      <w:r>
        <w:rPr>
          <w:rFonts w:ascii="Arial" w:cs="Arial" w:eastAsia="Arial" w:hAnsi="Arial"/>
          <w:b/>
          <w:bCs/>
          <w:color w:val="3A0F6B"/>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Elements confirmed</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118 elements (as of 2016, through Oganesson, element 118)</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Created by</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Dmitri Mendeleev (1869) — predicted undiscovered elements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Organization</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Increasing atomic number (protons); periodic repetition of properties</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Lightest element</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Hydrogen (H) — atomic number 1</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Heaviest natural</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Uranium (U) — atomic number 92</w:t>
            </w:r>
          </w:p>
        </w:tc>
      </w:tr>
      <w:tr>
        <w:tc>
          <w:tcPr>
            <w:tcW w:type="dxa" w:w="2800"/>
            <w:tcBorders>
              <w:top w:val="single" w:color="BBBBBB" w:sz="1"/>
              <w:left w:val="single" w:color="BBBBBB" w:sz="1"/>
              <w:bottom w:val="single" w:color="BBBBBB" w:sz="1"/>
              <w:right w:val="single" w:color="BBBBBB" w:sz="1"/>
            </w:tcBorders>
            <w:shd w:fill="D8B4FE" w:val="clear"/>
            <w:tcMar>
              <w:top w:type="dxa" w:w="60"/>
              <w:left w:type="dxa" w:w="120"/>
              <w:bottom w:type="dxa" w:w="60"/>
              <w:right w:type="dxa" w:w="120"/>
            </w:tcMar>
          </w:tcPr>
          <w:p>
            <w:r>
              <w:rPr>
                <w:rFonts w:ascii="Arial" w:cs="Arial" w:eastAsia="Arial" w:hAnsi="Arial"/>
                <w:b/>
                <w:bCs/>
                <w:color w:val="3A0F6B"/>
                <w:sz w:val="20"/>
                <w:szCs w:val="20"/>
              </w:rPr>
              <w:t xml:space="preserve">Groups/Periods</w:t>
            </w:r>
          </w:p>
        </w:tc>
        <w:tc>
          <w:tcPr>
            <w:tcW w:type="dxa" w:w="6560"/>
            <w:tcBorders>
              <w:top w:val="single" w:color="BBBBBB" w:sz="1"/>
              <w:left w:val="single" w:color="BBBBBB" w:sz="1"/>
              <w:bottom w:val="single" w:color="BBBBBB" w:sz="1"/>
              <w:right w:val="single" w:color="BBBBBB" w:sz="1"/>
            </w:tcBorders>
            <w:shd w:fill="FAF5FF" w:val="clear"/>
            <w:tcMar>
              <w:top w:type="dxa" w:w="60"/>
              <w:left w:type="dxa" w:w="120"/>
              <w:bottom w:type="dxa" w:w="60"/>
              <w:right w:type="dxa" w:w="120"/>
            </w:tcMar>
          </w:tcPr>
          <w:p>
            <w:r>
              <w:rPr>
                <w:rFonts w:ascii="Arial" w:cs="Arial" w:eastAsia="Arial" w:hAnsi="Arial"/>
                <w:sz w:val="20"/>
                <w:szCs w:val="20"/>
              </w:rPr>
              <w:t xml:space="preserve">18 groups (columns) × 7 periods (rows) + lanthanides/actinides</w:t>
            </w:r>
          </w:p>
        </w:tc>
      </w:tr>
    </w:tbl>
    <w:p>
      <w:pPr>
        <w:spacing w:before="200" w:after="0"/>
      </w:pPr>
    </w:p>
    <w:p>
      <w:pP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7B2FBE"/>
          <w:sz w:val="30"/>
          <w:szCs w:val="30"/>
        </w:rPr>
        <w:t xml:space="preserve">Overview</w:t>
      </w:r>
    </w:p>
    <w:p>
      <w:pPr>
        <w:spacing w:before="80" w:after="160"/>
        <w:jc w:val="both"/>
      </w:pPr>
      <w:r>
        <w:rPr>
          <w:rFonts w:ascii="Arial" w:cs="Arial" w:eastAsia="Arial" w:hAnsi="Arial"/>
          <w:sz w:val="24"/>
          <w:szCs w:val="24"/>
        </w:rPr>
        <w:t xml:space="preserve">The periodic table of elements is a tabular arrangement of the chemical elements organized by atomic number (number of protons), electron configuration, and recurring chemical properties. It is the most powerful organizing tool in chemistry, revealing the underlying order in the diversity of matter and predicting properties of elements based on their position.</w:t>
      </w:r>
    </w:p>
    <w:p>
      <w:pPr>
        <w:spacing w:before="80" w:after="160"/>
        <w:jc w:val="both"/>
      </w:pPr>
      <w:r>
        <w:rPr>
          <w:rFonts w:ascii="Arial" w:cs="Arial" w:eastAsia="Arial" w:hAnsi="Arial"/>
          <w:sz w:val="24"/>
          <w:szCs w:val="24"/>
        </w:rPr>
        <w:t xml:space="preserve">The periodic table was conceived by Russian chemist Dmitri Mendeleev in 1869, who arranged the 63 known elements by atomic mass and noticed periodic repetition of properties. He brilliantly left gaps for undiscovered elements and predicted their properties with remarkable accuracy — three of his predicted elements (gallium, scandium, and germanium) were discovered within 15 years with properties matching his predictions.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'The Periodic Table — A Tour of the Elements' (add embed link here)</w:t>
      </w:r>
    </w:p>
    <w:p>
      <w:pPr>
        <w:pStyle w:val="Heading2"/>
      </w:pPr>
      <w:r>
        <w:rPr>
          <w:rFonts w:ascii="Arial" w:cs="Arial" w:eastAsia="Arial" w:hAnsi="Arial"/>
          <w:b/>
          <w:bCs/>
          <w:color w:val="7B2FBE"/>
          <w:sz w:val="30"/>
          <w:szCs w:val="30"/>
        </w:rPr>
        <w:t xml:space="preserve">Structure of the Table</w:t>
      </w:r>
    </w:p>
    <w:p>
      <w:pPr>
        <w:spacing w:before="80" w:after="160"/>
        <w:jc w:val="both"/>
      </w:pPr>
      <w:r>
        <w:rPr>
          <w:rFonts w:ascii="Arial" w:cs="Arial" w:eastAsia="Arial" w:hAnsi="Arial"/>
          <w:sz w:val="24"/>
          <w:szCs w:val="24"/>
        </w:rPr>
        <w:t xml:space="preserve">Elements are arranged in rows (periods) and columns (groups). A period corresponds to a set of elements having the same highest electron energy shell. Properties change systematically across a period. A group contains elements with the same number of valence electrons (outermost shell electrons) and therefore similar chemical properties.</w:t>
      </w:r>
    </w:p>
    <w:p>
      <w:pPr>
        <w:spacing w:before="80" w:after="160"/>
        <w:jc w:val="both"/>
      </w:pPr>
      <w:r>
        <w:rPr>
          <w:rFonts w:ascii="Arial" w:cs="Arial" w:eastAsia="Arial" w:hAnsi="Arial"/>
          <w:sz w:val="24"/>
          <w:szCs w:val="24"/>
        </w:rPr>
        <w:t xml:space="preserve">Moving across a period, atomic radius generally decreases (more protons attract electrons more strongly), ionization energy increases, and electronegativity increases. Moving down a group, atomic radius increases (more electron shells), ionization energy decreases, and metallic character increases. These trends allow prediction of chemical behavior from position alone.</w:t>
      </w:r>
    </w:p>
    <w:p>
      <w:pPr>
        <w:pStyle w:val="Heading2"/>
      </w:pPr>
      <w:r>
        <w:rPr>
          <w:rFonts w:ascii="Arial" w:cs="Arial" w:eastAsia="Arial" w:hAnsi="Arial"/>
          <w:b/>
          <w:bCs/>
          <w:color w:val="7B2FBE"/>
          <w:sz w:val="30"/>
          <w:szCs w:val="30"/>
        </w:rPr>
        <w:t xml:space="preserve">Groups and Their Properties</w:t>
      </w:r>
    </w:p>
    <w:p>
      <w:pPr>
        <w:spacing w:before="80" w:after="160"/>
        <w:jc w:val="both"/>
      </w:pPr>
      <w:r>
        <w:rPr>
          <w:rFonts w:ascii="Arial" w:cs="Arial" w:eastAsia="Arial" w:hAnsi="Arial"/>
          <w:sz w:val="24"/>
          <w:szCs w:val="24"/>
        </w:rPr>
        <w:t xml:space="preserve">Group 1 (alkali metals): lithium, sodium, potassium, etc. — soft, highly reactive metals that react vigorously with water. Group 2 (alkaline earth metals): beryllium, magnesium, calcium — harder and less reactive than Group 1. Group 17 (halogens): fluorine, chlorine, bromine, iodine — highly reactive nonmetals that readily form salts with metals. Group 18 (noble gases): helium, neon, argon, etc. — colorless, odorless, extremely unreactive due to full valence electron shells.</w:t>
      </w:r>
    </w:p>
    <w:p>
      <w:pPr>
        <w:spacing w:before="80" w:after="160"/>
        <w:jc w:val="both"/>
      </w:pPr>
      <w:r>
        <w:rPr>
          <w:rFonts w:ascii="Arial" w:cs="Arial" w:eastAsia="Arial" w:hAnsi="Arial"/>
          <w:sz w:val="24"/>
          <w:szCs w:val="24"/>
        </w:rPr>
        <w:t xml:space="preserve">The transition metals (Groups 3–12) form a central block including iron, copper, gold, silver, and platinum. They are typically hard, high-melting, and can form colored ions in solution. They are the backbone of industrial metallurgy. The lanthanides and actinides are f-block elements placed below the main table; lanthanides are rare earth elements crucial for electronics and green energy technology; actinides include uranium and plutonium.</w:t>
      </w:r>
    </w:p>
    <w:p>
      <w:pPr>
        <w:pStyle w:val="Heading3"/>
      </w:pPr>
      <w:r>
        <w:rPr>
          <w:rFonts w:ascii="Arial" w:cs="Arial" w:eastAsia="Arial" w:hAnsi="Arial"/>
          <w:b/>
          <w:bCs/>
          <w:color w:val="6A0DAD"/>
          <w:sz w:val="26"/>
          <w:szCs w:val="26"/>
        </w:rPr>
        <w:t xml:space="preserve">The Atomic Theory Behind the Table</w:t>
      </w:r>
    </w:p>
    <w:p>
      <w:pPr>
        <w:spacing w:before="80" w:after="160"/>
        <w:jc w:val="both"/>
      </w:pPr>
      <w:r>
        <w:rPr>
          <w:rFonts w:ascii="Arial" w:cs="Arial" w:eastAsia="Arial" w:hAnsi="Arial"/>
          <w:sz w:val="24"/>
          <w:szCs w:val="24"/>
        </w:rPr>
        <w:t xml:space="preserve">The periodic table's structure is explained by quantum mechanics. Each period corresponds to filling a new principal electron shell. Periods 1–2 fill s and p orbitals; Period 4 onward introduces d-orbital (transition metal) filling; Period 6 introduces f-orbital (lanthanide) filling. The chemical properties of elements are determined by the number of valence electrons, which repeats with a period of 2, 8, 8, 18, 18, 32 as shells are filled — explaining the periodic law.</w:t>
      </w:r>
    </w:p>
    <w:p>
      <w:pPr>
        <w:pStyle w:val="Heading2"/>
      </w:pPr>
      <w:r>
        <w:rPr>
          <w:rFonts w:ascii="Arial" w:cs="Arial" w:eastAsia="Arial" w:hAnsi="Arial"/>
          <w:b/>
          <w:bCs/>
          <w:color w:val="7B2FBE"/>
          <w:sz w:val="30"/>
          <w:szCs w:val="30"/>
        </w:rPr>
        <w:t xml:space="preserve">Metals, Nonmetals, and Metalloids</w:t>
      </w:r>
    </w:p>
    <w:p>
      <w:pPr>
        <w:spacing w:before="80" w:after="160"/>
        <w:jc w:val="both"/>
      </w:pPr>
      <w:r>
        <w:rPr>
          <w:rFonts w:ascii="Arial" w:cs="Arial" w:eastAsia="Arial" w:hAnsi="Arial"/>
          <w:sz w:val="24"/>
          <w:szCs w:val="24"/>
        </w:rPr>
        <w:t xml:space="preserve">About 75–80% of the elements are metals — characterized by metallic luster, high electrical and thermal conductivity, malleability, ductility, and tendency to lose electrons in chemical reactions. The bulk of the periodic table to the left and bottom is occupied by metals.</w:t>
      </w:r>
    </w:p>
    <w:p>
      <w:pPr>
        <w:spacing w:before="80" w:after="160"/>
        <w:jc w:val="both"/>
      </w:pPr>
      <w:r>
        <w:rPr>
          <w:rFonts w:ascii="Arial" w:cs="Arial" w:eastAsia="Arial" w:hAnsi="Arial"/>
          <w:sz w:val="24"/>
          <w:szCs w:val="24"/>
        </w:rPr>
        <w:t xml:space="preserve">Nonmetals are found in the upper right of the table. They are poor conductors, often gaseous or brittle solids at room temperature, and tend to gain electrons. Key nonmetals include carbon (the basis of organic chemistry), nitrogen, oxygen, phosphorus, and sulfur — the elements of life. Metalloids (silicon, germanium, arsenic, etc.) have intermediate properties and are critical as semiconductors in electronics.</w:t>
      </w:r>
    </w:p>
    <w:p>
      <w:pPr>
        <w:pStyle w:val="Heading2"/>
      </w:pPr>
      <w:r>
        <w:rPr>
          <w:rFonts w:ascii="Arial" w:cs="Arial" w:eastAsia="Arial" w:hAnsi="Arial"/>
          <w:b/>
          <w:bCs/>
          <w:color w:val="7B2FBE"/>
          <w:sz w:val="30"/>
          <w:szCs w:val="30"/>
        </w:rPr>
        <w:t xml:space="preserve">Isotopes and Nuclear Properties</w:t>
      </w:r>
    </w:p>
    <w:p>
      <w:pPr>
        <w:spacing w:before="80" w:after="160"/>
        <w:jc w:val="both"/>
      </w:pPr>
      <w:r>
        <w:rPr>
          <w:rFonts w:ascii="Arial" w:cs="Arial" w:eastAsia="Arial" w:hAnsi="Arial"/>
          <w:sz w:val="24"/>
          <w:szCs w:val="24"/>
        </w:rPr>
        <w:t xml:space="preserve">Isotopes are atoms of the same element (same atomic number, same chemical properties) with different numbers of neutrons and therefore different atomic masses. Many elements have multiple stable isotopes; others have radioactive isotopes (radioisotopes) that decay by emitting radiation.</w:t>
      </w:r>
    </w:p>
    <w:p>
      <w:pPr>
        <w:spacing w:before="80" w:after="160"/>
        <w:jc w:val="both"/>
      </w:pPr>
      <w:r>
        <w:rPr>
          <w:rFonts w:ascii="Arial" w:cs="Arial" w:eastAsia="Arial" w:hAnsi="Arial"/>
          <w:sz w:val="24"/>
          <w:szCs w:val="24"/>
        </w:rPr>
        <w:t xml:space="preserve">Radioisotopes have important applications: radiocarbon dating (carbon-14) dates organic materials up to ~50,000 years old; uranium-lead dating ages rocks billions of years old; radioactive isotopes are used in medical diagnostics (PET scans, thyroid imaging), radiation therapy, and nuclear power. Elements 93–118 (transuranium elements) are all synthetic, produced in nuclear reactors or particle accelerators, and are radioactive with short half-lives.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'How to Read the Periodic Table — A Complete Guide' (add embed link here)</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Science Encyclopedia | Article: The Periodic Table of Elements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3A0F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7B2FB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6A0D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2026-03-11T08:33:27.731Z</dcterms:created>
  <dcterms:modified xsi:type="dcterms:W3CDTF">2026-03-11T08:33:27.731Z</dcterms:modified>
</cp:coreProperties>
</file>

<file path=docProps/custom.xml><?xml version="1.0" encoding="utf-8"?>
<Properties xmlns="http://schemas.openxmlformats.org/officeDocument/2006/custom-properties" xmlns:vt="http://schemas.openxmlformats.org/officeDocument/2006/docPropsVTypes"/>
</file>