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405C4AD2" w:rsidR="004D72B5" w:rsidRPr="004D1814" w:rsidRDefault="009303D9" w:rsidP="009D0019">
      <w:pPr>
        <w:pStyle w:val="Abstract"/>
        <w:ind w:firstLine="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transmit and receive points</w:t>
      </w:r>
      <w:r w:rsidR="002B229E">
        <w:t xml:space="preserve"> at 1 GHz</w:t>
      </w:r>
      <w:r w:rsidR="0099611F">
        <w:t xml:space="preserve">. Diffraction is made to only occur at two </w:t>
      </w:r>
      <w:r w:rsidR="00077145">
        <w:t xml:space="preserve">corner </w:t>
      </w:r>
      <w:r w:rsidR="0099611F">
        <w:t xml:space="preserve">points, and path loss/gain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does not consider reflection,</w:t>
      </w:r>
      <w:r w:rsidR="008C0386">
        <w:t xml:space="preserve"> and defines </w:t>
      </w:r>
      <w:r w:rsidR="00247F55">
        <w:t>the diffraction interfaces to be perfect electrical conductors.</w:t>
      </w:r>
      <w:r w:rsidR="009020DA">
        <w:t xml:space="preserve"> 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565EFCDB" w:rsidR="009303D9" w:rsidRPr="004D72B5" w:rsidRDefault="004D72B5" w:rsidP="00972203">
      <w:pPr>
        <w:pStyle w:val="Keywords"/>
      </w:pPr>
      <w:r w:rsidRPr="004D72B5">
        <w:t>Keywords—</w:t>
      </w:r>
      <w:r w:rsidR="00041DD9">
        <w:t xml:space="preserve">wireless communications, path gain, </w:t>
      </w:r>
      <w:r w:rsidR="001E3ECD">
        <w:t>diffraction</w:t>
      </w:r>
    </w:p>
    <w:p w14:paraId="3B0CC343" w14:textId="79018CC0" w:rsidR="009303D9" w:rsidRPr="00D632BE" w:rsidRDefault="009303D9" w:rsidP="006B6B66">
      <w:pPr>
        <w:pStyle w:val="Heading1"/>
      </w:pPr>
      <w:r w:rsidRPr="00D632BE">
        <w:t>Introduction</w:t>
      </w:r>
    </w:p>
    <w:p w14:paraId="37F1B3DE" w14:textId="4E8E1886"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Internet-of-Things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Specific </w:t>
      </w:r>
      <w:r w:rsidR="009605E2">
        <w:rPr>
          <w:lang w:val="en-US"/>
        </w:rPr>
        <w:t>attention must be given t</w:t>
      </w:r>
      <w:r w:rsidR="002F753F">
        <w:rPr>
          <w:lang w:val="en-US"/>
        </w:rPr>
        <w:t>o</w:t>
      </w:r>
      <w:r w:rsidR="009605E2">
        <w:rPr>
          <w:lang w:val="en-US"/>
        </w:rPr>
        <w:t xml:space="preserve">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m</w:t>
      </w:r>
      <w:proofErr w:type="spellStart"/>
      <w:r w:rsidR="00061452">
        <w:rPr>
          <w:lang w:val="en-US"/>
        </w:rPr>
        <w:t>mWave</w:t>
      </w:r>
      <w:proofErr w:type="spellEnd"/>
      <w:r w:rsidR="00061452">
        <w:rPr>
          <w:lang w:val="en-US"/>
        </w:rPr>
        <w:t xml:space="preser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 xml:space="preserve">In another </w:t>
      </w:r>
      <w:proofErr w:type="spellStart"/>
      <w:r w:rsidR="006A761E">
        <w:rPr>
          <w:lang w:val="en-US"/>
        </w:rPr>
        <w:t>mmWave</w:t>
      </w:r>
      <w:proofErr w:type="spellEnd"/>
      <w:r w:rsidR="006A761E">
        <w:rPr>
          <w:lang w:val="en-US"/>
        </w:rPr>
        <w:t xml:space="preser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the system model of path losses of a traffic intersection with set points of diffraction off of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43541832" w:rsidR="00693939" w:rsidRPr="009D0019" w:rsidRDefault="00693939" w:rsidP="00043867">
      <w:pPr>
        <w:pStyle w:val="BodyTex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 xml:space="preserve">to a real-life type of situation. Furthermore, it </w:t>
      </w:r>
      <w:r w:rsidR="00F310BD">
        <w:rPr>
          <w:lang w:val="en-US"/>
        </w:rPr>
        <w:t xml:space="preserve"> </w:t>
      </w:r>
      <w:r w:rsidR="002B229E">
        <w:rPr>
          <w:lang w:val="en-US"/>
        </w:rPr>
        <w:t xml:space="preserve"> </w:t>
      </w:r>
    </w:p>
    <w:p w14:paraId="1B9AE385" w14:textId="75CCE789" w:rsidR="009303D9" w:rsidRPr="006B6B66" w:rsidRDefault="009605E2" w:rsidP="006B6B66">
      <w:pPr>
        <w:pStyle w:val="Heading1"/>
      </w:pPr>
      <w:r>
        <w:t>Formulation</w:t>
      </w:r>
    </w:p>
    <w:p w14:paraId="0DAE4E05" w14:textId="33C01E39"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2870D372">
            <wp:extent cx="3195955" cy="2385060"/>
            <wp:effectExtent l="0" t="0" r="4445"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195955" cy="238506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t xml:space="preserve"> </w:t>
      </w:r>
      <w:r>
        <w:tab/>
      </w:r>
      <w:r>
        <w:rPr>
          <w:rFonts w:ascii="Times New Roman" w:hAnsi="Times New Roman" w:cs="Times New Roman"/>
          <w:i/>
        </w:rPr>
        <w:t>β= 2πf/c</w:t>
      </w:r>
      <w:r>
        <w:tab/>
        <w:t>(2)</w:t>
      </w:r>
    </w:p>
    <w:p w14:paraId="29BD7194" w14:textId="080CD451" w:rsidR="00486860" w:rsidRDefault="007A6292" w:rsidP="007A6292">
      <w:pPr>
        <w:jc w:val="both"/>
      </w:pPr>
      <w:r>
        <w:lastRenderedPageBreak/>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1BBFF6BB"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w:t>
      </w:r>
      <w:proofErr w:type="spellStart"/>
      <w:r w:rsidR="00904B1D">
        <w:t>Zhengqing</w:t>
      </w:r>
      <w:proofErr w:type="spellEnd"/>
      <w:r w:rsidR="00904B1D">
        <w:t xml:space="preserve"> Yun.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3409293" w14:textId="2BE8581C" w:rsidR="00EE0DFB" w:rsidRDefault="00D66CBC" w:rsidP="00EE0DFB">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4B0C6BE" w14:textId="1CC53C4B" w:rsidR="00EE0DFB" w:rsidRDefault="00EE0DFB" w:rsidP="00EE0DFB">
      <w:pPr>
        <w:pStyle w:val="BodyText"/>
        <w:spacing w:line="12pt" w:lineRule="exact"/>
        <w:rPr>
          <w:lang w:val="en-US"/>
        </w:rPr>
      </w:pP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4AE72EF7">
            <wp:extent cx="3188335" cy="2894330"/>
            <wp:effectExtent l="0" t="0" r="0" b="127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894330"/>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56206EB8">
            <wp:extent cx="3196590" cy="2886075"/>
            <wp:effectExtent l="0" t="0" r="381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2886075"/>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lastRenderedPageBreak/>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17AA5FBB" w14:textId="5945911B" w:rsidR="002D573E" w:rsidRDefault="002D573E" w:rsidP="00E7596C">
      <w:pPr>
        <w:pStyle w:val="BodyText"/>
        <w:rPr>
          <w:lang w:val="en-US"/>
        </w:rPr>
      </w:pPr>
      <w:r>
        <w:rPr>
          <w:lang w:val="en-US"/>
        </w:rPr>
        <w:t xml:space="preserve">During this exercise, it is found that the signal diminishes with distance. Diffraction maintains a key part in </w:t>
      </w:r>
    </w:p>
    <w:p w14:paraId="5853627C" w14:textId="169BB6B3" w:rsidR="00C6647D" w:rsidRPr="00C6647D" w:rsidRDefault="00C6647D" w:rsidP="00FF333D">
      <w:pPr>
        <w:pStyle w:val="BodyTex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w:t>
      </w:r>
      <w:proofErr w:type="spellStart"/>
      <w:r>
        <w:rPr>
          <w:lang w:val="en-US"/>
        </w:rPr>
        <w:t>Zhengqing</w:t>
      </w:r>
      <w:proofErr w:type="spellEnd"/>
      <w:r>
        <w:rPr>
          <w:lang w:val="en-US"/>
        </w:rPr>
        <w:t xml:space="preserve"> Yun and the UH </w:t>
      </w:r>
      <w:proofErr w:type="spellStart"/>
      <w:r>
        <w:rPr>
          <w:lang w:val="en-US"/>
        </w:rPr>
        <w:t>M</w:t>
      </w:r>
      <w:r w:rsidRPr="001E3ECD">
        <w:rPr>
          <w:lang w:val="en-US"/>
        </w:rPr>
        <w:t>ā</w:t>
      </w:r>
      <w:r>
        <w:rPr>
          <w:lang w:val="en-US"/>
        </w:rPr>
        <w:t>noa</w:t>
      </w:r>
      <w:proofErr w:type="spellEnd"/>
      <w:r>
        <w:rPr>
          <w:lang w:val="en-US"/>
        </w:rPr>
        <w:t xml:space="preserve">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w:t>
      </w:r>
      <w:r w:rsidRPr="00986645">
        <w:rPr>
          <w:i/>
          <w:iCs/>
        </w:rPr>
        <w:t>.</w:t>
      </w:r>
      <w:r w:rsidRPr="00986645">
        <w:rPr>
          <w:i/>
          <w:iCs/>
        </w:rPr>
        <w:t xml:space="preserve"> Conf</w:t>
      </w:r>
      <w:r w:rsidRPr="00986645">
        <w:rPr>
          <w:i/>
          <w:iCs/>
        </w:rPr>
        <w:t>.</w:t>
      </w:r>
      <w:r w:rsidRPr="00986645">
        <w:rPr>
          <w:i/>
          <w:iCs/>
        </w:rPr>
        <w:t xml:space="preserve">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25DA4BB4" w:rsidR="00B92D72" w:rsidRPr="00077145" w:rsidRDefault="00041DD9" w:rsidP="00077145">
      <w:pPr>
        <w:pStyle w:val="references"/>
        <w:ind w:start="17.70pt" w:hanging="17.70pt"/>
      </w:pPr>
      <w:r>
        <w:t>Z. Yun</w:t>
      </w: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clear;</w:t>
      </w:r>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r w:rsidRPr="00EE0DFB">
        <w:rPr>
          <w:rFonts w:ascii="Courier New" w:hAnsi="Courier New" w:cs="Courier New"/>
          <w:color w:val="000000"/>
          <w:sz w:val="12"/>
          <w:szCs w:val="12"/>
        </w:rPr>
        <w:t>);</w:t>
      </w:r>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%whole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2*pi/wavelength;</w:t>
      </w:r>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Q1x = 50; Q1y = 50; Q2x = 50; Q2y = 110;</w:t>
      </w:r>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[0:.05:500;70*ones(1,10001)];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RAB = sqrt(ab(1,:).^2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exp(-1i*beta.*RAB)./RAB;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(1401:end)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sqrt((Q1x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v2 = [ab(1,:)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 xml:space="preserve">(dot(v1,v2))*180/pi;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phi(1001:end)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[ab(1,:)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(wavelength/4/pi)^2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[20*ones(1,10001);0:.05:500];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RCD = sqrt(cd(1,:).^2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exp(-1i*beta.*RCD)./RCD;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lastRenderedPageBreak/>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(wavelength/4/pi)^2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w:t>
      </w:r>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w:t>
      </w:r>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w:t>
      </w:r>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w:t>
      </w:r>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w:t>
      </w:r>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22857D" w14:textId="77777777" w:rsidR="00E86B6A" w:rsidRDefault="00E86B6A" w:rsidP="001A3B3D">
      <w:r>
        <w:separator/>
      </w:r>
    </w:p>
  </w:endnote>
  <w:endnote w:type="continuationSeparator" w:id="0">
    <w:p w14:paraId="4A13AF4F" w14:textId="77777777" w:rsidR="00E86B6A" w:rsidRDefault="00E86B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2D465D" w14:textId="77777777" w:rsidR="00E86B6A" w:rsidRDefault="00E86B6A" w:rsidP="001A3B3D">
      <w:r>
        <w:separator/>
      </w:r>
    </w:p>
  </w:footnote>
  <w:footnote w:type="continuationSeparator" w:id="0">
    <w:p w14:paraId="0CB6F76D" w14:textId="77777777" w:rsidR="00E86B6A" w:rsidRDefault="00E86B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254A9"/>
    <w:rsid w:val="00233D97"/>
    <w:rsid w:val="00247F55"/>
    <w:rsid w:val="00251B50"/>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72B5"/>
    <w:rsid w:val="004D78DC"/>
    <w:rsid w:val="00501D38"/>
    <w:rsid w:val="0050298E"/>
    <w:rsid w:val="00513333"/>
    <w:rsid w:val="00540B3E"/>
    <w:rsid w:val="00545592"/>
    <w:rsid w:val="00547E73"/>
    <w:rsid w:val="00551B7F"/>
    <w:rsid w:val="00560E3B"/>
    <w:rsid w:val="0056610F"/>
    <w:rsid w:val="00575757"/>
    <w:rsid w:val="00575BCA"/>
    <w:rsid w:val="00581B22"/>
    <w:rsid w:val="005B0344"/>
    <w:rsid w:val="005B29A7"/>
    <w:rsid w:val="005B520E"/>
    <w:rsid w:val="005E2800"/>
    <w:rsid w:val="00623333"/>
    <w:rsid w:val="006347CF"/>
    <w:rsid w:val="00645D22"/>
    <w:rsid w:val="00651A08"/>
    <w:rsid w:val="00654204"/>
    <w:rsid w:val="006636E6"/>
    <w:rsid w:val="00665BC8"/>
    <w:rsid w:val="00670434"/>
    <w:rsid w:val="00693939"/>
    <w:rsid w:val="00696784"/>
    <w:rsid w:val="006A761E"/>
    <w:rsid w:val="006B6B66"/>
    <w:rsid w:val="006D785C"/>
    <w:rsid w:val="006F6D3D"/>
    <w:rsid w:val="00704134"/>
    <w:rsid w:val="00711472"/>
    <w:rsid w:val="00715BEA"/>
    <w:rsid w:val="00716DAA"/>
    <w:rsid w:val="00740EEA"/>
    <w:rsid w:val="00794804"/>
    <w:rsid w:val="007A6292"/>
    <w:rsid w:val="007B33F1"/>
    <w:rsid w:val="007C0308"/>
    <w:rsid w:val="007C2FF2"/>
    <w:rsid w:val="007D6232"/>
    <w:rsid w:val="007F1F99"/>
    <w:rsid w:val="007F768F"/>
    <w:rsid w:val="0080791D"/>
    <w:rsid w:val="0084072B"/>
    <w:rsid w:val="00840B86"/>
    <w:rsid w:val="00847488"/>
    <w:rsid w:val="00873603"/>
    <w:rsid w:val="0088460F"/>
    <w:rsid w:val="008A20EA"/>
    <w:rsid w:val="008A2C7D"/>
    <w:rsid w:val="008C0386"/>
    <w:rsid w:val="008C4B23"/>
    <w:rsid w:val="008F6E2C"/>
    <w:rsid w:val="009020DA"/>
    <w:rsid w:val="009033E7"/>
    <w:rsid w:val="00904B1D"/>
    <w:rsid w:val="00922176"/>
    <w:rsid w:val="009303D9"/>
    <w:rsid w:val="00933C64"/>
    <w:rsid w:val="009605E2"/>
    <w:rsid w:val="00960B79"/>
    <w:rsid w:val="00972203"/>
    <w:rsid w:val="009773B5"/>
    <w:rsid w:val="00986645"/>
    <w:rsid w:val="0099611F"/>
    <w:rsid w:val="009B1B2E"/>
    <w:rsid w:val="009B6752"/>
    <w:rsid w:val="009D0019"/>
    <w:rsid w:val="00A059B3"/>
    <w:rsid w:val="00A14290"/>
    <w:rsid w:val="00A17034"/>
    <w:rsid w:val="00A2760D"/>
    <w:rsid w:val="00A83751"/>
    <w:rsid w:val="00AA3110"/>
    <w:rsid w:val="00AE3409"/>
    <w:rsid w:val="00B11A60"/>
    <w:rsid w:val="00B22613"/>
    <w:rsid w:val="00B2268D"/>
    <w:rsid w:val="00B30935"/>
    <w:rsid w:val="00B4478D"/>
    <w:rsid w:val="00B64F60"/>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6FFC"/>
    <w:rsid w:val="00C80837"/>
    <w:rsid w:val="00C919A4"/>
    <w:rsid w:val="00CA4392"/>
    <w:rsid w:val="00CC27AD"/>
    <w:rsid w:val="00CC393F"/>
    <w:rsid w:val="00CC5F54"/>
    <w:rsid w:val="00CD03F1"/>
    <w:rsid w:val="00D13749"/>
    <w:rsid w:val="00D2176E"/>
    <w:rsid w:val="00D632BE"/>
    <w:rsid w:val="00D66CBC"/>
    <w:rsid w:val="00D72D06"/>
    <w:rsid w:val="00D7522C"/>
    <w:rsid w:val="00D7536F"/>
    <w:rsid w:val="00D76668"/>
    <w:rsid w:val="00D857D0"/>
    <w:rsid w:val="00DA2FC6"/>
    <w:rsid w:val="00DC5ADA"/>
    <w:rsid w:val="00DE0E33"/>
    <w:rsid w:val="00DF0523"/>
    <w:rsid w:val="00E61E12"/>
    <w:rsid w:val="00E7596C"/>
    <w:rsid w:val="00E86B6A"/>
    <w:rsid w:val="00E878F2"/>
    <w:rsid w:val="00EA3DB6"/>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47A6"/>
    <w:rsid w:val="00F9441B"/>
    <w:rsid w:val="00F94628"/>
    <w:rsid w:val="00F96569"/>
    <w:rsid w:val="00FA4C32"/>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1865</TotalTime>
  <Pages>4</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Sahara</cp:lastModifiedBy>
  <cp:revision>41</cp:revision>
  <dcterms:created xsi:type="dcterms:W3CDTF">2019-01-08T18:42:00Z</dcterms:created>
  <dcterms:modified xsi:type="dcterms:W3CDTF">2021-12-12T23:55:00Z</dcterms:modified>
</cp:coreProperties>
</file>