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How Many Radiologists Define the Truth? Inter-observer Variability in the Detection of Interval Change on Longitudinal Chest Radiographs</w:t>
      </w:r>
    </w:p>
    <w:p>
      <w:pPr>
        <w:jc w:val="center"/>
      </w:pPr>
      <w:r>
        <w:rPr>
          <w:i w:val="0"/>
          <w:sz w:val="22"/>
          <w:highlight w:val="yellow"/>
        </w:rPr>
        <w:t>[Author list]</w:t>
      </w:r>
    </w:p>
    <w:p>
      <w:pPr>
        <w:jc w:val="center"/>
      </w:pPr>
      <w:r>
        <w:rPr>
          <w:i/>
          <w:sz w:val="18"/>
          <w:highlight w:val="yellow"/>
        </w:rPr>
        <w:t>[School of Computer Science and Engineering, The Hebrew University of Jerusalem; Department of Radiology, Hadassah Hebrew University Medical Center, Jerusalem, Israel]</w:t>
      </w:r>
    </w:p>
    <w:p>
      <w:pPr>
        <w:jc w:val="center"/>
      </w:pPr>
      <w:r>
        <w:rPr>
          <w:i w:val="0"/>
          <w:sz w:val="18"/>
        </w:rPr>
        <w:t>Corresponding author: Prof. Leo Joskowicz — josko@cs.huji.ac.il</w:t>
      </w:r>
    </w:p>
    <w:p>
      <w:r>
        <w:rPr>
          <w:b/>
        </w:rPr>
        <w:t xml:space="preserve">Placeholder color key: </w:t>
      </w:r>
      <w:r>
        <w:rPr>
          <w:highlight w:val="yellow"/>
        </w:rPr>
        <w:t xml:space="preserve"> TO ADD — real data/values required before submission </w:t>
      </w:r>
      <w:r>
        <w:t xml:space="preserve">   </w:t>
      </w:r>
      <w:r>
        <w:rPr>
          <w:highlight w:val="green"/>
        </w:rPr>
        <w:t xml:space="preserve"> SUGGESTION — optional analysis/addition to consider </w:t>
      </w:r>
      <w:r>
        <w:t xml:space="preserve">   </w:t>
      </w:r>
      <w:r>
        <w:rPr>
          <w:highlight w:val="cyan"/>
        </w:rPr>
        <w:t xml:space="preserve"> DECISION — confirm wording / choice </w:t>
      </w:r>
    </w:p>
    <w:p>
      <w:pPr>
        <w:pStyle w:val="Heading1"/>
      </w:pPr>
      <w:r>
        <w:t>Abstract</w:t>
      </w:r>
    </w:p>
    <w:p>
      <w:r>
        <w:rPr>
          <w:b/>
        </w:rPr>
        <w:t xml:space="preserve">Purpose: </w:t>
      </w:r>
      <w:r>
        <w:t>Comparison of a current chest radiograph with a prior study to identify interval change is one of the most frequent tasks in thoracic imaging, yet the reliability of this judgment across readers is poorly quantified. We aimed to quantify the inter-observer agreement and variability of radiologists in detecting and characterizing interval change on longitudinal chest radiograph (CXR) pairs, and to determine how many reader subgroup size is associated with coverage of the full-panel reference.</w:t>
      </w:r>
    </w:p>
    <w:p>
      <w:r>
        <w:rPr>
          <w:b/>
        </w:rPr>
        <w:t xml:space="preserve">Materials and Methods: </w:t>
      </w:r>
      <w:r>
        <w:t xml:space="preserve">Five </w:t>
      </w:r>
      <w:r>
        <w:rPr>
          <w:highlight w:val="cyan"/>
        </w:rPr>
        <w:t>[board-certified]</w:t>
      </w:r>
      <w:r>
        <w:t xml:space="preserve"> radiologists independently reviewed 100 longitudinal CXR pairs (a prior and a current image from the same patient) </w:t>
      </w:r>
      <w:r>
        <w:rPr>
          <w:highlight w:val="yellow"/>
        </w:rPr>
        <w:t>[ICU/inpatient cohort; retrospective; IRB approval and waiver of consent obtained]</w:t>
      </w:r>
      <w:r>
        <w:t>. Readers marked every region of interval change and classified it as appearance (new), disappearance (resolved), or persistence with a change in size and/or intensity; findings were grouped into positive (new/worsening) and negative (resolved/improving) change. A region marked by at least k readers was assigned consensus level k. Agreement was quantified with a Pairwise Agreement Index (PAI) at the detection and pair levels and with per-reader leave-one-out sensitivity by consensus level. To determine the number of readers required, we measured, for every subgroup of 1–5 readers, the fraction of the full five-reader reference findings the subgroup recovered (coverage), averaged over all subgroups of each size.</w:t>
      </w:r>
    </w:p>
    <w:p>
      <w:r>
        <w:rPr>
          <w:b/>
        </w:rPr>
        <w:t xml:space="preserve">Results: </w:t>
      </w:r>
      <w:r>
        <w:t>Readers marked a mean of 1.68 change findings per pair (range 1.45–1.97). The mean pairwise agreement between two readers was 0.55 at the detection level (range 0.46–0.64) and 0.62 at the pair level (range 0.52–0.70); agreement was higher for positive than for negative change. Of 185 positive change findings, 45% were reported by a single reader and only 15% by all five (negative: 40% solo, 9% unanimous). Per-reader leave-one-out sensitivity rose with consensus, from 0.46 at level 1 to 0.89 at level 4 for positive change. A single reader recovered a mean of 49% of the full five-reader reference; three readers recovered 81% (range across triplets, 71%–91%).</w:t>
      </w:r>
    </w:p>
    <w:p>
      <w:r>
        <w:rPr>
          <w:b/>
        </w:rPr>
        <w:t xml:space="preserve">Conclusions: </w:t>
      </w:r>
      <w:r>
        <w:t>Radiologist agreement on interval change on chest radiographs is moderate and many findings are reported by only one reader. Three readers provided a pragmatic trade-off between annotation effort and coverage, recovering a mean of 81% of findings identified by the full five-reader panel.</w:t>
      </w:r>
    </w:p>
    <w:p>
      <w:r>
        <w:rPr>
          <w:b/>
        </w:rPr>
        <w:t>Key Points</w:t>
      </w:r>
    </w:p>
    <w:p>
      <w:pPr>
        <w:pStyle w:val="ListBullet"/>
      </w:pPr>
      <w:r>
        <w:t>Inter-observer agreement for interval change on chest radiographs is moderate (mean pairwise detection agreement 0.55) and highest for new/worsening findings.</w:t>
      </w:r>
    </w:p>
    <w:p>
      <w:pPr>
        <w:pStyle w:val="ListBullet"/>
      </w:pPr>
      <w:r>
        <w:t>Nearly half of all change findings (45% positive, 40% negative) were reported by only one of five readers.</w:t>
      </w:r>
    </w:p>
    <w:p>
      <w:pPr>
        <w:pStyle w:val="ListBullet"/>
      </w:pPr>
      <w:r>
        <w:t>Three-reader subgroups recovered a mean of 81% of the five-reader reference (range, 71%–91%); full coverage was observed only for the five-reader panel.</w:t>
      </w:r>
    </w:p>
    <w:p>
      <w:pPr>
        <w:pStyle w:val="Heading1"/>
      </w:pPr>
      <w:r>
        <w:t>1. Introduction</w:t>
      </w:r>
    </w:p>
    <w:p>
      <w:r>
        <w:t>Serial comparison of chest radiographs is among the highest-volume interpretive tasks in radiology, particularly in intensive-care and inpatient settings, where daily films are used to track lines and tubes, effusions, consolidation, edema, and pneumothorax. Clinical decisions frequently turn on whether a finding is new, resolved, larger, or smaller relative to the prior study.</w:t>
      </w:r>
    </w:p>
    <w:p>
      <w:r>
        <w:t xml:space="preserve">Despite the ubiquity of this task, the reliability of interval-change judgments across radiologists has received far less attention than single-image detection or quantitative measurement. Prior inter-observer studies in CT have shown that variability is large and that two or three observers may not capture its full range </w:t>
      </w:r>
      <w:r>
        <w:rPr>
          <w:highlight w:val="cyan"/>
        </w:rPr>
        <w:t>[Joskowicz 2019 Eur Radiol; Olesinski 2026 J Thorac Imaging]</w:t>
      </w:r>
      <w:r>
        <w:t>. Whether the same holds for the comparative, detection-level task of interval change on radiographs is unknown, yet it directly determines what should count as ground truth and how many readers are needed to define it.</w:t>
      </w:r>
    </w:p>
    <w:p>
      <w:r>
        <w:t>In this study we quantify the inter-observer agreement and variability of five radiologists detecting interval change on 100 longitudinal CXR pairs, and we introduce a subgroup analysis that measures how completely groups of one to five readers reproduce the full-panel reference.</w:t>
      </w:r>
    </w:p>
    <w:p>
      <w:pPr>
        <w:pStyle w:val="Heading1"/>
      </w:pPr>
      <w:r>
        <w:t>2. Materials and Methods</w:t>
      </w:r>
    </w:p>
    <w:p>
      <w:pPr>
        <w:pStyle w:val="Heading2"/>
      </w:pPr>
      <w:r>
        <w:t>2.1 Study population</w:t>
      </w:r>
    </w:p>
    <w:p>
      <w:r>
        <w:rPr>
          <w:highlight w:val="cyan"/>
        </w:rPr>
        <w:t>[Retrospective]</w:t>
      </w:r>
      <w:r>
        <w:t xml:space="preserve"> analysis of 100 longitudinal chest radiograph pairs from </w:t>
      </w:r>
      <w:r>
        <w:rPr>
          <w:highlight w:val="yellow"/>
        </w:rPr>
        <w:t>[N patients]</w:t>
      </w:r>
      <w:r>
        <w:t xml:space="preserve"> imaged at </w:t>
      </w:r>
      <w:r>
        <w:rPr>
          <w:highlight w:val="yellow"/>
        </w:rPr>
        <w:t>[institution]</w:t>
      </w:r>
      <w:r>
        <w:t xml:space="preserve"> between </w:t>
      </w:r>
      <w:r>
        <w:rPr>
          <w:highlight w:val="yellow"/>
        </w:rPr>
        <w:t>[dates]</w:t>
      </w:r>
      <w:r>
        <w:t xml:space="preserve">. Each pair comprised a prior and a current </w:t>
      </w:r>
      <w:r>
        <w:rPr>
          <w:highlight w:val="cyan"/>
        </w:rPr>
        <w:t>[AP/portable]</w:t>
      </w:r>
      <w:r>
        <w:t xml:space="preserve"> radiograph from the same patient </w:t>
      </w:r>
      <w:r>
        <w:rPr>
          <w:highlight w:val="yellow"/>
        </w:rPr>
        <w:t>[selection criteria: consecutive ICU studies with an interpretable prior within X days]</w:t>
      </w:r>
      <w:r>
        <w:t xml:space="preserve">. </w:t>
      </w:r>
      <w:r>
        <w:rPr>
          <w:highlight w:val="yellow"/>
        </w:rPr>
        <w:t>[IRB approval number; informed consent waived.]</w:t>
      </w:r>
      <w:r>
        <w:t xml:space="preserve"> Patient demographics are summarized in </w:t>
      </w:r>
      <w:r>
        <w:rPr>
          <w:highlight w:val="green"/>
        </w:rPr>
        <w:t>[Table S1]</w:t>
      </w:r>
      <w:r>
        <w:t>.</w:t>
      </w:r>
    </w:p>
    <w:p>
      <w:pPr>
        <w:pStyle w:val="Heading2"/>
      </w:pPr>
      <w:r>
        <w:t>2.2 Readers and reading protocol</w:t>
      </w:r>
    </w:p>
    <w:p>
      <w:r>
        <w:t>Five radiologists (</w:t>
      </w:r>
      <w:r>
        <w:rPr>
          <w:highlight w:val="cyan"/>
        </w:rPr>
        <w:t>[R1–R5]</w:t>
      </w:r>
      <w:r>
        <w:t xml:space="preserve">; </w:t>
      </w:r>
      <w:r>
        <w:rPr>
          <w:highlight w:val="yellow"/>
        </w:rPr>
        <w:t>[years of experience]</w:t>
      </w:r>
      <w:r>
        <w:t>) independently reviewed all 100 pairs on a dedicated annotation workstation, blinded to one another and to clinical information beyond the two images. For each pair, a reader delineated every region of interval change with an elliptical marker and labeled it Appearance (new), Disappearance (resolved), or Persistence (present on both, with an annotated change in size and intensity). Each region was reduced to a signed change: positive (appearance, or persistence with increased size/intensity) or negative (disappearance, or persistence with decreased size/intensity). Persistence without change was excluded.</w:t>
      </w:r>
    </w:p>
    <w:p>
      <w:pPr>
        <w:pStyle w:val="Heading2"/>
      </w:pPr>
      <w:r>
        <w:t>2.3 Reference standard and consensus levels</w:t>
      </w:r>
    </w:p>
    <w:p>
      <w:r>
        <w:t>Annotations were rasterized to the current-image space and grouped into connected components (findings). Each finding was assigned a consensus level equal to the number of readers (1–5) who independently marked an overlapping region. Consensus level 1 is the union of all reader findings; consensus level 5 comprises only unanimous findings.</w:t>
      </w:r>
    </w:p>
    <w:p>
      <w:pPr>
        <w:pStyle w:val="Heading2"/>
      </w:pPr>
      <w:r>
        <w:t>2.4 Agreement, variability, and subgroup metrics</w:t>
      </w:r>
    </w:p>
    <w:p>
      <w:pPr>
        <w:pStyle w:val="ListBullet"/>
      </w:pPr>
      <w:r>
        <w:t>Pairwise Agreement Index (PAI): for two readers, the per-detection PAI is 2M/(2M + U), where M is the number of matched (overlapping) findings and U the number of unmatched findings; the per-pair PAI averages agreement over the 100 image pairs.</w:t>
      </w:r>
    </w:p>
    <w:p>
      <w:pPr>
        <w:pStyle w:val="ListBullet"/>
      </w:pPr>
      <w:r>
        <w:t>Human-Matched Detection Rate (HMDR): the fraction of a reader's findings overlapping a finding of at least one other reader; Unmatched Detections Per Pair (UDPP): the mean number of a reader's solo findings per pair.</w:t>
      </w:r>
    </w:p>
    <w:p>
      <w:pPr>
        <w:pStyle w:val="ListBullet"/>
      </w:pPr>
      <w:r>
        <w:t>Sensitivity at consensus level (leave-one-out): for each reader, the fraction of the other four readers' consensus findings, at each consensus level, that the reader also marked.</w:t>
      </w:r>
    </w:p>
    <w:p>
      <w:pPr>
        <w:pStyle w:val="ListBullet"/>
      </w:pPr>
      <w:r>
        <w:t>Reader-subgroup coverage: for every subgroup of size m (1–5), the fraction of the full five-reader reference findings recovered by the subgroup (a finding is recovered if any subgroup member marked it), averaged over all C(5, m) subgroups. Coverage is 1.0 by construction at m = 5; its rise with m quantifies how many readers are needed to characterize the coverage-effort relationship.</w:t>
      </w:r>
    </w:p>
    <w:p>
      <w:pPr>
        <w:pStyle w:val="Heading2"/>
      </w:pPr>
      <w:r>
        <w:t>2.5 Statistical analysis</w:t>
      </w:r>
    </w:p>
    <w:p>
      <w:r>
        <w:t xml:space="preserve">Agreement metrics are reported as means with ranges across reader pairs; subgroup coverage as the mean with the min–max envelope across subgroups of each size. </w:t>
      </w:r>
      <w:r>
        <w:rPr>
          <w:highlight w:val="green"/>
        </w:rPr>
        <w:t>[Bootstrap 95% confidence intervals over image pairs to be added.]</w:t>
      </w:r>
      <w:r>
        <w:t xml:space="preserve"> Analyses were performed in Python </w:t>
      </w:r>
      <w:r>
        <w:rPr>
          <w:highlight w:val="yellow"/>
        </w:rPr>
        <w:t>[3.x]</w:t>
      </w:r>
      <w:r>
        <w:t xml:space="preserve"> with NumPy, SciPy, and scikit-image.</w:t>
      </w:r>
    </w:p>
    <w:p>
      <w:pPr>
        <w:pStyle w:val="Heading1"/>
      </w:pPr>
      <w:r>
        <w:t>3. Results</w:t>
      </w:r>
    </w:p>
    <w:p>
      <w:pPr>
        <w:pStyle w:val="Heading2"/>
      </w:pPr>
      <w:r>
        <w:t>3.1 Finding burden</w:t>
      </w:r>
    </w:p>
    <w:p>
      <w:r>
        <w:t>Across 100 pairs the five readers marked a mean of 1.68 change findings per pair, with per-reader totals of 145–197 (mean 1.45–1.97 per pair; maximum 4–6 on a single pair)—a 1.36-fold difference in reporting rate between the least and most prolific reader (Table 1).</w:t>
      </w:r>
    </w:p>
    <w:p>
      <w:r>
        <w:t>Table 1. Change-finding burden per reader (100 pairs).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Reader</w:t>
            </w:r>
          </w:p>
        </w:tc>
        <w:tc>
          <w:tcPr>
            <w:tcW w:type="dxa" w:w="1728"/>
          </w:tcPr>
          <w:p>
            <w:r/>
            <w:r>
              <w:rPr>
                <w:b/>
              </w:rPr>
              <w:t>Total findings</w:t>
            </w:r>
          </w:p>
        </w:tc>
        <w:tc>
          <w:tcPr>
            <w:tcW w:type="dxa" w:w="1728"/>
          </w:tcPr>
          <w:p>
            <w:r/>
            <w:r>
              <w:rPr>
                <w:b/>
              </w:rPr>
              <w:t>Mean per pair</w:t>
            </w:r>
          </w:p>
        </w:tc>
        <w:tc>
          <w:tcPr>
            <w:tcW w:type="dxa" w:w="1728"/>
          </w:tcPr>
          <w:p>
            <w:r/>
            <w:r>
              <w:rPr>
                <w:b/>
              </w:rPr>
              <w:t>SD</w:t>
            </w:r>
          </w:p>
        </w:tc>
        <w:tc>
          <w:tcPr>
            <w:tcW w:type="dxa" w:w="1728"/>
          </w:tcPr>
          <w:p>
            <w:r/>
            <w:r>
              <w:rPr>
                <w:b/>
              </w:rPr>
              <w:t>Max per pair</w:t>
            </w:r>
          </w:p>
        </w:tc>
      </w:tr>
      <w:tr>
        <w:tc>
          <w:tcPr>
            <w:tcW w:type="dxa" w:w="1728"/>
          </w:tcPr>
          <w:p>
            <w:r>
              <w:t>R1</w:t>
            </w:r>
          </w:p>
        </w:tc>
        <w:tc>
          <w:tcPr>
            <w:tcW w:type="dxa" w:w="1728"/>
          </w:tcPr>
          <w:p>
            <w:r>
              <w:t>148</w:t>
            </w:r>
          </w:p>
        </w:tc>
        <w:tc>
          <w:tcPr>
            <w:tcW w:type="dxa" w:w="1728"/>
          </w:tcPr>
          <w:p>
            <w:r>
              <w:t>1.48</w:t>
            </w:r>
          </w:p>
        </w:tc>
        <w:tc>
          <w:tcPr>
            <w:tcW w:type="dxa" w:w="1728"/>
          </w:tcPr>
          <w:p>
            <w:r>
              <w:t>0.77</w:t>
            </w:r>
          </w:p>
        </w:tc>
        <w:tc>
          <w:tcPr>
            <w:tcW w:type="dxa" w:w="1728"/>
          </w:tcPr>
          <w:p>
            <w:r>
              <w:t>4</w:t>
            </w:r>
          </w:p>
        </w:tc>
      </w:tr>
      <w:tr>
        <w:tc>
          <w:tcPr>
            <w:tcW w:type="dxa" w:w="1728"/>
          </w:tcPr>
          <w:p>
            <w:r>
              <w:t>R2</w:t>
            </w:r>
          </w:p>
        </w:tc>
        <w:tc>
          <w:tcPr>
            <w:tcW w:type="dxa" w:w="1728"/>
          </w:tcPr>
          <w:p>
            <w:r>
              <w:t>185</w:t>
            </w:r>
          </w:p>
        </w:tc>
        <w:tc>
          <w:tcPr>
            <w:tcW w:type="dxa" w:w="1728"/>
          </w:tcPr>
          <w:p>
            <w:r>
              <w:t>1.85</w:t>
            </w:r>
          </w:p>
        </w:tc>
        <w:tc>
          <w:tcPr>
            <w:tcW w:type="dxa" w:w="1728"/>
          </w:tcPr>
          <w:p>
            <w:r>
              <w:t>1.04</w:t>
            </w:r>
          </w:p>
        </w:tc>
        <w:tc>
          <w:tcPr>
            <w:tcW w:type="dxa" w:w="1728"/>
          </w:tcPr>
          <w:p>
            <w:r>
              <w:t>6</w:t>
            </w:r>
          </w:p>
        </w:tc>
      </w:tr>
      <w:tr>
        <w:tc>
          <w:tcPr>
            <w:tcW w:type="dxa" w:w="1728"/>
          </w:tcPr>
          <w:p>
            <w:r>
              <w:t>R3</w:t>
            </w:r>
          </w:p>
        </w:tc>
        <w:tc>
          <w:tcPr>
            <w:tcW w:type="dxa" w:w="1728"/>
          </w:tcPr>
          <w:p>
            <w:r>
              <w:t>145</w:t>
            </w:r>
          </w:p>
        </w:tc>
        <w:tc>
          <w:tcPr>
            <w:tcW w:type="dxa" w:w="1728"/>
          </w:tcPr>
          <w:p>
            <w:r>
              <w:t>1.45</w:t>
            </w:r>
          </w:p>
        </w:tc>
        <w:tc>
          <w:tcPr>
            <w:tcW w:type="dxa" w:w="1728"/>
          </w:tcPr>
          <w:p>
            <w:r>
              <w:t>0.8</w:t>
            </w:r>
          </w:p>
        </w:tc>
        <w:tc>
          <w:tcPr>
            <w:tcW w:type="dxa" w:w="1728"/>
          </w:tcPr>
          <w:p>
            <w:r>
              <w:t>4</w:t>
            </w:r>
          </w:p>
        </w:tc>
      </w:tr>
      <w:tr>
        <w:tc>
          <w:tcPr>
            <w:tcW w:type="dxa" w:w="1728"/>
          </w:tcPr>
          <w:p>
            <w:r>
              <w:t>R4</w:t>
            </w:r>
          </w:p>
        </w:tc>
        <w:tc>
          <w:tcPr>
            <w:tcW w:type="dxa" w:w="1728"/>
          </w:tcPr>
          <w:p>
            <w:r>
              <w:t>166</w:t>
            </w:r>
          </w:p>
        </w:tc>
        <w:tc>
          <w:tcPr>
            <w:tcW w:type="dxa" w:w="1728"/>
          </w:tcPr>
          <w:p>
            <w:r>
              <w:t>1.66</w:t>
            </w:r>
          </w:p>
        </w:tc>
        <w:tc>
          <w:tcPr>
            <w:tcW w:type="dxa" w:w="1728"/>
          </w:tcPr>
          <w:p>
            <w:r>
              <w:t>0.95</w:t>
            </w:r>
          </w:p>
        </w:tc>
        <w:tc>
          <w:tcPr>
            <w:tcW w:type="dxa" w:w="1728"/>
          </w:tcPr>
          <w:p>
            <w:r>
              <w:t>5</w:t>
            </w:r>
          </w:p>
        </w:tc>
      </w:tr>
      <w:tr>
        <w:tc>
          <w:tcPr>
            <w:tcW w:type="dxa" w:w="1728"/>
          </w:tcPr>
          <w:p>
            <w:r>
              <w:t>R5</w:t>
            </w:r>
          </w:p>
        </w:tc>
        <w:tc>
          <w:tcPr>
            <w:tcW w:type="dxa" w:w="1728"/>
          </w:tcPr>
          <w:p>
            <w:r>
              <w:t>197</w:t>
            </w:r>
          </w:p>
        </w:tc>
        <w:tc>
          <w:tcPr>
            <w:tcW w:type="dxa" w:w="1728"/>
          </w:tcPr>
          <w:p>
            <w:r>
              <w:t>1.97</w:t>
            </w:r>
          </w:p>
        </w:tc>
        <w:tc>
          <w:tcPr>
            <w:tcW w:type="dxa" w:w="1728"/>
          </w:tcPr>
          <w:p>
            <w:r>
              <w:t>0.84</w:t>
            </w:r>
          </w:p>
        </w:tc>
        <w:tc>
          <w:tcPr>
            <w:tcW w:type="dxa" w:w="1728"/>
          </w:tcPr>
          <w:p>
            <w:r>
              <w:t>4</w:t>
            </w:r>
          </w:p>
        </w:tc>
      </w:tr>
    </w:tbl>
    <w:p>
      <w:pPr>
        <w:pStyle w:val="Heading2"/>
      </w:pPr>
      <w:r>
        <w:t>3.2 Pairwise agreement</w:t>
      </w:r>
    </w:p>
    <w:p>
      <w:r>
        <w:t>The mean per-detection PAI between two readers was 0.55 (range 0.46–0.64); the mean per-pair PAI was 0.62 (range 0.52–0.70). The highest-agreeing reader pair concurred on only ~64% of individual detections, and the lowest on ~46% (Table 2, Figure 1). Agreement was higher for positive change (mean per-detection PAI 0.57) than for negative change (0.51), indicating that new or worsening findings are marked more reproducibly than resolving ones.</w:t>
      </w:r>
    </w:p>
    <w:p>
      <w:r>
        <w:t>Table 2. Pairwise Agreement Index (per detection, all change).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r>
          </w:p>
        </w:tc>
        <w:tc>
          <w:tcPr>
            <w:tcW w:type="dxa" w:w="1440"/>
          </w:tcPr>
          <w:p>
            <w:r/>
            <w:r>
              <w:rPr>
                <w:b/>
              </w:rPr>
              <w:t>R1</w:t>
            </w:r>
          </w:p>
        </w:tc>
        <w:tc>
          <w:tcPr>
            <w:tcW w:type="dxa" w:w="1440"/>
          </w:tcPr>
          <w:p>
            <w:r/>
            <w:r>
              <w:rPr>
                <w:b/>
              </w:rPr>
              <w:t>R2</w:t>
            </w:r>
          </w:p>
        </w:tc>
        <w:tc>
          <w:tcPr>
            <w:tcW w:type="dxa" w:w="1440"/>
          </w:tcPr>
          <w:p>
            <w:r/>
            <w:r>
              <w:rPr>
                <w:b/>
              </w:rPr>
              <w:t>R3</w:t>
            </w:r>
          </w:p>
        </w:tc>
        <w:tc>
          <w:tcPr>
            <w:tcW w:type="dxa" w:w="1440"/>
          </w:tcPr>
          <w:p>
            <w:r/>
            <w:r>
              <w:rPr>
                <w:b/>
              </w:rPr>
              <w:t>R4</w:t>
            </w:r>
          </w:p>
        </w:tc>
        <w:tc>
          <w:tcPr>
            <w:tcW w:type="dxa" w:w="1440"/>
          </w:tcPr>
          <w:p>
            <w:r/>
            <w:r>
              <w:rPr>
                <w:b/>
              </w:rPr>
              <w:t>R5</w:t>
            </w:r>
          </w:p>
        </w:tc>
      </w:tr>
      <w:tr>
        <w:tc>
          <w:tcPr>
            <w:tcW w:type="dxa" w:w="1440"/>
          </w:tcPr>
          <w:p>
            <w:r>
              <w:t>R1</w:t>
            </w:r>
          </w:p>
        </w:tc>
        <w:tc>
          <w:tcPr>
            <w:tcW w:type="dxa" w:w="1440"/>
          </w:tcPr>
          <w:p>
            <w:r>
              <w:t>—</w:t>
            </w:r>
          </w:p>
        </w:tc>
        <w:tc>
          <w:tcPr>
            <w:tcW w:type="dxa" w:w="1440"/>
          </w:tcPr>
          <w:p>
            <w:r>
              <w:t>0.47</w:t>
            </w:r>
          </w:p>
        </w:tc>
        <w:tc>
          <w:tcPr>
            <w:tcW w:type="dxa" w:w="1440"/>
          </w:tcPr>
          <w:p>
            <w:r>
              <w:t>0.59</w:t>
            </w:r>
          </w:p>
        </w:tc>
        <w:tc>
          <w:tcPr>
            <w:tcW w:type="dxa" w:w="1440"/>
          </w:tcPr>
          <w:p>
            <w:r>
              <w:t>0.51</w:t>
            </w:r>
          </w:p>
        </w:tc>
        <w:tc>
          <w:tcPr>
            <w:tcW w:type="dxa" w:w="1440"/>
          </w:tcPr>
          <w:p>
            <w:r>
              <w:t>0.59</w:t>
            </w:r>
          </w:p>
        </w:tc>
      </w:tr>
      <w:tr>
        <w:tc>
          <w:tcPr>
            <w:tcW w:type="dxa" w:w="1440"/>
          </w:tcPr>
          <w:p>
            <w:r>
              <w:t>R2</w:t>
            </w:r>
          </w:p>
        </w:tc>
        <w:tc>
          <w:tcPr>
            <w:tcW w:type="dxa" w:w="1440"/>
          </w:tcPr>
          <w:p>
            <w:r>
              <w:t>0.47</w:t>
            </w:r>
          </w:p>
        </w:tc>
        <w:tc>
          <w:tcPr>
            <w:tcW w:type="dxa" w:w="1440"/>
          </w:tcPr>
          <w:p>
            <w:r>
              <w:t>—</w:t>
            </w:r>
          </w:p>
        </w:tc>
        <w:tc>
          <w:tcPr>
            <w:tcW w:type="dxa" w:w="1440"/>
          </w:tcPr>
          <w:p>
            <w:r>
              <w:t>0.5</w:t>
            </w:r>
          </w:p>
        </w:tc>
        <w:tc>
          <w:tcPr>
            <w:tcW w:type="dxa" w:w="1440"/>
          </w:tcPr>
          <w:p>
            <w:r>
              <w:t>0.46</w:t>
            </w:r>
          </w:p>
        </w:tc>
        <w:tc>
          <w:tcPr>
            <w:tcW w:type="dxa" w:w="1440"/>
          </w:tcPr>
          <w:p>
            <w:r>
              <w:t>0.5</w:t>
            </w:r>
          </w:p>
        </w:tc>
      </w:tr>
      <w:tr>
        <w:tc>
          <w:tcPr>
            <w:tcW w:type="dxa" w:w="1440"/>
          </w:tcPr>
          <w:p>
            <w:r>
              <w:t>R3</w:t>
            </w:r>
          </w:p>
        </w:tc>
        <w:tc>
          <w:tcPr>
            <w:tcW w:type="dxa" w:w="1440"/>
          </w:tcPr>
          <w:p>
            <w:r>
              <w:t>0.59</w:t>
            </w:r>
          </w:p>
        </w:tc>
        <w:tc>
          <w:tcPr>
            <w:tcW w:type="dxa" w:w="1440"/>
          </w:tcPr>
          <w:p>
            <w:r>
              <w:t>0.5</w:t>
            </w:r>
          </w:p>
        </w:tc>
        <w:tc>
          <w:tcPr>
            <w:tcW w:type="dxa" w:w="1440"/>
          </w:tcPr>
          <w:p>
            <w:r>
              <w:t>—</w:t>
            </w:r>
          </w:p>
        </w:tc>
        <w:tc>
          <w:tcPr>
            <w:tcW w:type="dxa" w:w="1440"/>
          </w:tcPr>
          <w:p>
            <w:r>
              <w:t>0.57</w:t>
            </w:r>
          </w:p>
        </w:tc>
        <w:tc>
          <w:tcPr>
            <w:tcW w:type="dxa" w:w="1440"/>
          </w:tcPr>
          <w:p>
            <w:r>
              <w:t>0.63</w:t>
            </w:r>
          </w:p>
        </w:tc>
      </w:tr>
      <w:tr>
        <w:tc>
          <w:tcPr>
            <w:tcW w:type="dxa" w:w="1440"/>
          </w:tcPr>
          <w:p>
            <w:r>
              <w:t>R4</w:t>
            </w:r>
          </w:p>
        </w:tc>
        <w:tc>
          <w:tcPr>
            <w:tcW w:type="dxa" w:w="1440"/>
          </w:tcPr>
          <w:p>
            <w:r>
              <w:t>0.51</w:t>
            </w:r>
          </w:p>
        </w:tc>
        <w:tc>
          <w:tcPr>
            <w:tcW w:type="dxa" w:w="1440"/>
          </w:tcPr>
          <w:p>
            <w:r>
              <w:t>0.46</w:t>
            </w:r>
          </w:p>
        </w:tc>
        <w:tc>
          <w:tcPr>
            <w:tcW w:type="dxa" w:w="1440"/>
          </w:tcPr>
          <w:p>
            <w:r>
              <w:t>0.57</w:t>
            </w:r>
          </w:p>
        </w:tc>
        <w:tc>
          <w:tcPr>
            <w:tcW w:type="dxa" w:w="1440"/>
          </w:tcPr>
          <w:p>
            <w:r>
              <w:t>—</w:t>
            </w:r>
          </w:p>
        </w:tc>
        <w:tc>
          <w:tcPr>
            <w:tcW w:type="dxa" w:w="1440"/>
          </w:tcPr>
          <w:p>
            <w:r>
              <w:t>0.64</w:t>
            </w:r>
          </w:p>
        </w:tc>
      </w:tr>
      <w:tr>
        <w:tc>
          <w:tcPr>
            <w:tcW w:type="dxa" w:w="1440"/>
          </w:tcPr>
          <w:p>
            <w:r>
              <w:t>R5</w:t>
            </w:r>
          </w:p>
        </w:tc>
        <w:tc>
          <w:tcPr>
            <w:tcW w:type="dxa" w:w="1440"/>
          </w:tcPr>
          <w:p>
            <w:r>
              <w:t>0.59</w:t>
            </w:r>
          </w:p>
        </w:tc>
        <w:tc>
          <w:tcPr>
            <w:tcW w:type="dxa" w:w="1440"/>
          </w:tcPr>
          <w:p>
            <w:r>
              <w:t>0.5</w:t>
            </w:r>
          </w:p>
        </w:tc>
        <w:tc>
          <w:tcPr>
            <w:tcW w:type="dxa" w:w="1440"/>
          </w:tcPr>
          <w:p>
            <w:r>
              <w:t>0.63</w:t>
            </w:r>
          </w:p>
        </w:tc>
        <w:tc>
          <w:tcPr>
            <w:tcW w:type="dxa" w:w="1440"/>
          </w:tcPr>
          <w:p>
            <w:r>
              <w:t>0.64</w:t>
            </w:r>
          </w:p>
        </w:tc>
        <w:tc>
          <w:tcPr>
            <w:tcW w:type="dxa" w:w="1440"/>
          </w:tcPr>
          <w:p>
            <w:r>
              <w:t>—</w:t>
            </w:r>
          </w:p>
        </w:tc>
      </w:tr>
    </w:tbl>
    <w:p>
      <w:pPr>
        <w:jc w:val="center"/>
      </w:pPr>
      <w:r>
        <w:drawing>
          <wp:inline xmlns:a="http://schemas.openxmlformats.org/drawingml/2006/main" xmlns:pic="http://schemas.openxmlformats.org/drawingml/2006/picture">
            <wp:extent cx="3931920" cy="3539013"/>
            <wp:docPr id="1" name="Picture 1"/>
            <wp:cNvGraphicFramePr>
              <a:graphicFrameLocks noChangeAspect="1"/>
            </wp:cNvGraphicFramePr>
            <a:graphic>
              <a:graphicData uri="http://schemas.openxmlformats.org/drawingml/2006/picture">
                <pic:pic>
                  <pic:nvPicPr>
                    <pic:cNvPr id="0" name="per_label_agreement_all_humans.png"/>
                    <pic:cNvPicPr/>
                  </pic:nvPicPr>
                  <pic:blipFill>
                    <a:blip r:embed="rId9"/>
                    <a:stretch>
                      <a:fillRect/>
                    </a:stretch>
                  </pic:blipFill>
                  <pic:spPr>
                    <a:xfrm>
                      <a:off x="0" y="0"/>
                      <a:ext cx="3931920" cy="3539013"/>
                    </a:xfrm>
                    <a:prstGeom prst="rect"/>
                  </pic:spPr>
                </pic:pic>
              </a:graphicData>
            </a:graphic>
          </wp:inline>
        </w:drawing>
      </w:r>
    </w:p>
    <w:p>
      <w:r>
        <w:rPr>
          <w:i/>
          <w:sz w:val="18"/>
        </w:rPr>
        <w:t>Figure 1a. Pairwise Agreement Index per detection (all change), five radiologists.</w:t>
      </w:r>
    </w:p>
    <w:p>
      <w:pPr>
        <w:jc w:val="center"/>
      </w:pPr>
      <w:r>
        <w:drawing>
          <wp:inline xmlns:a="http://schemas.openxmlformats.org/drawingml/2006/main" xmlns:pic="http://schemas.openxmlformats.org/drawingml/2006/picture">
            <wp:extent cx="3931920" cy="3559633"/>
            <wp:docPr id="2" name="Picture 2"/>
            <wp:cNvGraphicFramePr>
              <a:graphicFrameLocks noChangeAspect="1"/>
            </wp:cNvGraphicFramePr>
            <a:graphic>
              <a:graphicData uri="http://schemas.openxmlformats.org/drawingml/2006/picture">
                <pic:pic>
                  <pic:nvPicPr>
                    <pic:cNvPr id="0" name="per_pair_agreement_all_humans.png"/>
                    <pic:cNvPicPr/>
                  </pic:nvPicPr>
                  <pic:blipFill>
                    <a:blip r:embed="rId10"/>
                    <a:stretch>
                      <a:fillRect/>
                    </a:stretch>
                  </pic:blipFill>
                  <pic:spPr>
                    <a:xfrm>
                      <a:off x="0" y="0"/>
                      <a:ext cx="3931920" cy="3559633"/>
                    </a:xfrm>
                    <a:prstGeom prst="rect"/>
                  </pic:spPr>
                </pic:pic>
              </a:graphicData>
            </a:graphic>
          </wp:inline>
        </w:drawing>
      </w:r>
    </w:p>
    <w:p>
      <w:r>
        <w:rPr>
          <w:i/>
          <w:sz w:val="18"/>
        </w:rPr>
        <w:t>Figure 1b. Pairwise Agreement Index per pair (all change), five radiologists.</w:t>
      </w:r>
    </w:p>
    <w:p>
      <w:pPr>
        <w:pStyle w:val="Heading2"/>
      </w:pPr>
      <w:r>
        <w:t>3.3 Consensus structure and disagreement</w:t>
      </w:r>
    </w:p>
    <w:p>
      <w:r>
        <w:t>Disagreement was dominated by low-consensus findings. Of 185 positive change findings, 101 (55%) reached consensus level 2, 76 (41%) level 3, 52 (28%) level 4, and only 27 (15%) were unanimous; 45% (83/185) were solo findings marked by a single reader. Negative change followed the same pattern: of 139 findings, 84 (60%) reached level 2 and only 13 (9%) were unanimous, with 40% (55/139) solo (Figure 2). Between 3% and 28% of each reader's findings were unmatched by any peer (HMDR 0.72–0.97; Table 4).</w:t>
      </w:r>
    </w:p>
    <w:p>
      <w:pPr>
        <w:jc w:val="center"/>
      </w:pPr>
      <w:r>
        <w:drawing>
          <wp:inline xmlns:a="http://schemas.openxmlformats.org/drawingml/2006/main" xmlns:pic="http://schemas.openxmlformats.org/drawingml/2006/picture">
            <wp:extent cx="5943600" cy="2371294"/>
            <wp:docPr id="3" name="Picture 3"/>
            <wp:cNvGraphicFramePr>
              <a:graphicFrameLocks noChangeAspect="1"/>
            </wp:cNvGraphicFramePr>
            <a:graphic>
              <a:graphicData uri="http://schemas.openxmlformats.org/drawingml/2006/picture">
                <pic:pic>
                  <pic:nvPicPr>
                    <pic:cNvPr id="0" name="recall_by_consensus_level_humans.png"/>
                    <pic:cNvPicPr/>
                  </pic:nvPicPr>
                  <pic:blipFill>
                    <a:blip r:embed="rId11"/>
                    <a:stretch>
                      <a:fillRect/>
                    </a:stretch>
                  </pic:blipFill>
                  <pic:spPr>
                    <a:xfrm>
                      <a:off x="0" y="0"/>
                      <a:ext cx="5943600" cy="2371294"/>
                    </a:xfrm>
                    <a:prstGeom prst="rect"/>
                  </pic:spPr>
                </pic:pic>
              </a:graphicData>
            </a:graphic>
          </wp:inline>
        </w:drawing>
      </w:r>
    </w:p>
    <w:p>
      <w:r>
        <w:rPr>
          <w:i/>
          <w:sz w:val="18"/>
        </w:rPr>
        <w:t>Figure 2. Per-reader leave-one-out sensitivity as a function of consensus level, for positive (left) and negative (right) change. Sensitivity rises steeply as more readers agree.</w:t>
      </w:r>
    </w:p>
    <w:p>
      <w:r>
        <w:t>Table 4. Corroboration of each reader's findings.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Reader</w:t>
            </w:r>
          </w:p>
        </w:tc>
        <w:tc>
          <w:tcPr>
            <w:tcW w:type="dxa" w:w="1728"/>
          </w:tcPr>
          <w:p>
            <w:r/>
            <w:r>
              <w:rPr>
                <w:b/>
              </w:rPr>
              <w:t>HMDR (pos)</w:t>
            </w:r>
          </w:p>
        </w:tc>
        <w:tc>
          <w:tcPr>
            <w:tcW w:type="dxa" w:w="1728"/>
          </w:tcPr>
          <w:p>
            <w:r/>
            <w:r>
              <w:rPr>
                <w:b/>
              </w:rPr>
              <w:t>HMDR (neg)</w:t>
            </w:r>
          </w:p>
        </w:tc>
        <w:tc>
          <w:tcPr>
            <w:tcW w:type="dxa" w:w="1728"/>
          </w:tcPr>
          <w:p>
            <w:r/>
            <w:r>
              <w:rPr>
                <w:b/>
              </w:rPr>
              <w:t>UDPP (pos)</w:t>
            </w:r>
          </w:p>
        </w:tc>
        <w:tc>
          <w:tcPr>
            <w:tcW w:type="dxa" w:w="1728"/>
          </w:tcPr>
          <w:p>
            <w:r/>
            <w:r>
              <w:rPr>
                <w:b/>
              </w:rPr>
              <w:t>UDPP (neg)</w:t>
            </w:r>
          </w:p>
        </w:tc>
      </w:tr>
      <w:tr>
        <w:tc>
          <w:tcPr>
            <w:tcW w:type="dxa" w:w="1728"/>
          </w:tcPr>
          <w:p>
            <w:r>
              <w:t>R1</w:t>
            </w:r>
          </w:p>
        </w:tc>
        <w:tc>
          <w:tcPr>
            <w:tcW w:type="dxa" w:w="1728"/>
          </w:tcPr>
          <w:p>
            <w:r>
              <w:t>0.83</w:t>
            </w:r>
          </w:p>
        </w:tc>
        <w:tc>
          <w:tcPr>
            <w:tcW w:type="dxa" w:w="1728"/>
          </w:tcPr>
          <w:p>
            <w:r>
              <w:t>0.85</w:t>
            </w:r>
          </w:p>
        </w:tc>
        <w:tc>
          <w:tcPr>
            <w:tcW w:type="dxa" w:w="1728"/>
          </w:tcPr>
          <w:p>
            <w:r>
              <w:t>0.15</w:t>
            </w:r>
          </w:p>
        </w:tc>
        <w:tc>
          <w:tcPr>
            <w:tcW w:type="dxa" w:w="1728"/>
          </w:tcPr>
          <w:p>
            <w:r>
              <w:t>0.09</w:t>
            </w:r>
          </w:p>
        </w:tc>
      </w:tr>
      <w:tr>
        <w:tc>
          <w:tcPr>
            <w:tcW w:type="dxa" w:w="1728"/>
          </w:tcPr>
          <w:p>
            <w:r>
              <w:t>R2</w:t>
            </w:r>
          </w:p>
        </w:tc>
        <w:tc>
          <w:tcPr>
            <w:tcW w:type="dxa" w:w="1728"/>
          </w:tcPr>
          <w:p>
            <w:r>
              <w:t>0.72</w:t>
            </w:r>
          </w:p>
        </w:tc>
        <w:tc>
          <w:tcPr>
            <w:tcW w:type="dxa" w:w="1728"/>
          </w:tcPr>
          <w:p>
            <w:r>
              <w:t>0.78</w:t>
            </w:r>
          </w:p>
        </w:tc>
        <w:tc>
          <w:tcPr>
            <w:tcW w:type="dxa" w:w="1728"/>
          </w:tcPr>
          <w:p>
            <w:r>
              <w:t>0.3</w:t>
            </w:r>
          </w:p>
        </w:tc>
        <w:tc>
          <w:tcPr>
            <w:tcW w:type="dxa" w:w="1728"/>
          </w:tcPr>
          <w:p>
            <w:r>
              <w:t>0.17</w:t>
            </w:r>
          </w:p>
        </w:tc>
      </w:tr>
      <w:tr>
        <w:tc>
          <w:tcPr>
            <w:tcW w:type="dxa" w:w="1728"/>
          </w:tcPr>
          <w:p>
            <w:r>
              <w:t>R3</w:t>
            </w:r>
          </w:p>
        </w:tc>
        <w:tc>
          <w:tcPr>
            <w:tcW w:type="dxa" w:w="1728"/>
          </w:tcPr>
          <w:p>
            <w:r>
              <w:t>0.97</w:t>
            </w:r>
          </w:p>
        </w:tc>
        <w:tc>
          <w:tcPr>
            <w:tcW w:type="dxa" w:w="1728"/>
          </w:tcPr>
          <w:p>
            <w:r>
              <w:t>0.88</w:t>
            </w:r>
          </w:p>
        </w:tc>
        <w:tc>
          <w:tcPr>
            <w:tcW w:type="dxa" w:w="1728"/>
          </w:tcPr>
          <w:p>
            <w:r>
              <w:t>0.02</w:t>
            </w:r>
          </w:p>
        </w:tc>
        <w:tc>
          <w:tcPr>
            <w:tcW w:type="dxa" w:w="1728"/>
          </w:tcPr>
          <w:p>
            <w:r>
              <w:t>0.08</w:t>
            </w:r>
          </w:p>
        </w:tc>
      </w:tr>
      <w:tr>
        <w:tc>
          <w:tcPr>
            <w:tcW w:type="dxa" w:w="1728"/>
          </w:tcPr>
          <w:p>
            <w:r>
              <w:t>R4</w:t>
            </w:r>
          </w:p>
        </w:tc>
        <w:tc>
          <w:tcPr>
            <w:tcW w:type="dxa" w:w="1728"/>
          </w:tcPr>
          <w:p>
            <w:r>
              <w:t>0.89</w:t>
            </w:r>
          </w:p>
        </w:tc>
        <w:tc>
          <w:tcPr>
            <w:tcW w:type="dxa" w:w="1728"/>
          </w:tcPr>
          <w:p>
            <w:r>
              <w:t>0.88</w:t>
            </w:r>
          </w:p>
        </w:tc>
        <w:tc>
          <w:tcPr>
            <w:tcW w:type="dxa" w:w="1728"/>
          </w:tcPr>
          <w:p>
            <w:r>
              <w:t>0.11</w:t>
            </w:r>
          </w:p>
        </w:tc>
        <w:tc>
          <w:tcPr>
            <w:tcW w:type="dxa" w:w="1728"/>
          </w:tcPr>
          <w:p>
            <w:r>
              <w:t>0.08</w:t>
            </w:r>
          </w:p>
        </w:tc>
      </w:tr>
      <w:tr>
        <w:tc>
          <w:tcPr>
            <w:tcW w:type="dxa" w:w="1728"/>
          </w:tcPr>
          <w:p>
            <w:r>
              <w:t>R5</w:t>
            </w:r>
          </w:p>
        </w:tc>
        <w:tc>
          <w:tcPr>
            <w:tcW w:type="dxa" w:w="1728"/>
          </w:tcPr>
          <w:p>
            <w:r>
              <w:t>0.77</w:t>
            </w:r>
          </w:p>
        </w:tc>
        <w:tc>
          <w:tcPr>
            <w:tcW w:type="dxa" w:w="1728"/>
          </w:tcPr>
          <w:p>
            <w:r>
              <w:t>0.83</w:t>
            </w:r>
          </w:p>
        </w:tc>
        <w:tc>
          <w:tcPr>
            <w:tcW w:type="dxa" w:w="1728"/>
          </w:tcPr>
          <w:p>
            <w:r>
              <w:t>0.26</w:t>
            </w:r>
          </w:p>
        </w:tc>
        <w:tc>
          <w:tcPr>
            <w:tcW w:type="dxa" w:w="1728"/>
          </w:tcPr>
          <w:p>
            <w:r>
              <w:t>0.15</w:t>
            </w:r>
          </w:p>
        </w:tc>
      </w:tr>
    </w:tbl>
    <w:p>
      <w:pPr>
        <w:pStyle w:val="Heading2"/>
      </w:pPr>
      <w:r>
        <w:t>3.4 Agreement rises with consensus</w:t>
      </w:r>
    </w:p>
    <w:p>
      <w:r>
        <w:t>Per-reader leave-one-out sensitivity increased monotonically with consensus level (Figure 2, Table 3). Averaged across readers, sensitivity for positive change rose from 0.46 at consensus level 1 to 0.72, 0.80, and 0.89 at levels 2–4; for negative change from 0.46 to 0.62, 0.82, and 0.85. When only one other reader had seen a finding, a given radiologist reproduced it less than half the time; when all four others agreed, ~85–90% of the time.</w:t>
      </w:r>
    </w:p>
    <w:p>
      <w:r>
        <w:t>Table 3. Mean per-reader leave-one-out sensitivity by consensus level.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Consensus level</w:t>
            </w:r>
          </w:p>
        </w:tc>
        <w:tc>
          <w:tcPr>
            <w:tcW w:type="dxa" w:w="2880"/>
          </w:tcPr>
          <w:p>
            <w:r/>
            <w:r>
              <w:rPr>
                <w:b/>
              </w:rPr>
              <w:t>Positive</w:t>
            </w:r>
          </w:p>
        </w:tc>
        <w:tc>
          <w:tcPr>
            <w:tcW w:type="dxa" w:w="2880"/>
          </w:tcPr>
          <w:p>
            <w:r/>
            <w:r>
              <w:rPr>
                <w:b/>
              </w:rPr>
              <w:t>Negative</w:t>
            </w:r>
          </w:p>
        </w:tc>
      </w:tr>
      <w:tr>
        <w:tc>
          <w:tcPr>
            <w:tcW w:type="dxa" w:w="2880"/>
          </w:tcPr>
          <w:p>
            <w:r>
              <w:t>≥1</w:t>
            </w:r>
          </w:p>
        </w:tc>
        <w:tc>
          <w:tcPr>
            <w:tcW w:type="dxa" w:w="2880"/>
          </w:tcPr>
          <w:p>
            <w:r>
              <w:t>0.46</w:t>
            </w:r>
          </w:p>
        </w:tc>
        <w:tc>
          <w:tcPr>
            <w:tcW w:type="dxa" w:w="2880"/>
          </w:tcPr>
          <w:p>
            <w:r>
              <w:t>0.46</w:t>
            </w:r>
          </w:p>
        </w:tc>
      </w:tr>
      <w:tr>
        <w:tc>
          <w:tcPr>
            <w:tcW w:type="dxa" w:w="2880"/>
          </w:tcPr>
          <w:p>
            <w:r>
              <w:t>≥2</w:t>
            </w:r>
          </w:p>
        </w:tc>
        <w:tc>
          <w:tcPr>
            <w:tcW w:type="dxa" w:w="2880"/>
          </w:tcPr>
          <w:p>
            <w:r>
              <w:t>0.72</w:t>
            </w:r>
          </w:p>
        </w:tc>
        <w:tc>
          <w:tcPr>
            <w:tcW w:type="dxa" w:w="2880"/>
          </w:tcPr>
          <w:p>
            <w:r>
              <w:t>0.62</w:t>
            </w:r>
          </w:p>
        </w:tc>
      </w:tr>
      <w:tr>
        <w:tc>
          <w:tcPr>
            <w:tcW w:type="dxa" w:w="2880"/>
          </w:tcPr>
          <w:p>
            <w:r>
              <w:t>≥3</w:t>
            </w:r>
          </w:p>
        </w:tc>
        <w:tc>
          <w:tcPr>
            <w:tcW w:type="dxa" w:w="2880"/>
          </w:tcPr>
          <w:p>
            <w:r>
              <w:t>0.8</w:t>
            </w:r>
          </w:p>
        </w:tc>
        <w:tc>
          <w:tcPr>
            <w:tcW w:type="dxa" w:w="2880"/>
          </w:tcPr>
          <w:p>
            <w:r>
              <w:t>0.82</w:t>
            </w:r>
          </w:p>
        </w:tc>
      </w:tr>
      <w:tr>
        <w:tc>
          <w:tcPr>
            <w:tcW w:type="dxa" w:w="2880"/>
          </w:tcPr>
          <w:p>
            <w:r>
              <w:t>≥4</w:t>
            </w:r>
          </w:p>
        </w:tc>
        <w:tc>
          <w:tcPr>
            <w:tcW w:type="dxa" w:w="2880"/>
          </w:tcPr>
          <w:p>
            <w:r>
              <w:t>0.89</w:t>
            </w:r>
          </w:p>
        </w:tc>
        <w:tc>
          <w:tcPr>
            <w:tcW w:type="dxa" w:w="2880"/>
          </w:tcPr>
          <w:p>
            <w:r>
              <w:t>0.85</w:t>
            </w:r>
          </w:p>
        </w:tc>
      </w:tr>
    </w:tbl>
    <w:p>
      <w:pPr>
        <w:pStyle w:val="Heading2"/>
      </w:pPr>
      <w:r>
        <w:t>3.5 Reader-subgroup coverage</w:t>
      </w:r>
    </w:p>
    <w:p>
      <w:r>
        <w:t>A single radiologist recovered a mean of 49% (range 42–60%) of the findings identified by the full five-reader panel. Coverage rose to 69% with two readers, 81% with three, and 91% with four (Figure 3, Table 5). The marginal gain from each added reader was +19% for the second reader, +13% for the third, +10% for the fourth, and +9% for the fifth. Three-reader subgroups ranged from 71% to 91% coverage. Positive and negative change showed similar coverage patterns (Figure 3).</w:t>
      </w:r>
    </w:p>
    <w:p>
      <w:r>
        <w:t>Table 5. Reader-subgroup coverage of the full five-reader reference (all change).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 readers</w:t>
            </w:r>
          </w:p>
        </w:tc>
        <w:tc>
          <w:tcPr>
            <w:tcW w:type="dxa" w:w="2160"/>
          </w:tcPr>
          <w:p>
            <w:r/>
            <w:r>
              <w:rPr>
                <w:b/>
              </w:rPr>
              <w:t>Coverage (mean)</w:t>
            </w:r>
          </w:p>
        </w:tc>
        <w:tc>
          <w:tcPr>
            <w:tcW w:type="dxa" w:w="2160"/>
          </w:tcPr>
          <w:p>
            <w:r/>
            <w:r>
              <w:rPr>
                <w:b/>
              </w:rPr>
              <w:t>Range (min–max)</w:t>
            </w:r>
          </w:p>
        </w:tc>
        <w:tc>
          <w:tcPr>
            <w:tcW w:type="dxa" w:w="2160"/>
          </w:tcPr>
          <w:p>
            <w:r/>
            <w:r>
              <w:rPr>
                <w:b/>
              </w:rPr>
              <w:t>Marginal gain</w:t>
            </w:r>
          </w:p>
        </w:tc>
      </w:tr>
      <w:tr>
        <w:tc>
          <w:tcPr>
            <w:tcW w:type="dxa" w:w="2160"/>
          </w:tcPr>
          <w:p>
            <w:r>
              <w:t>1</w:t>
            </w:r>
          </w:p>
        </w:tc>
        <w:tc>
          <w:tcPr>
            <w:tcW w:type="dxa" w:w="2160"/>
          </w:tcPr>
          <w:p>
            <w:r>
              <w:t>0.49</w:t>
            </w:r>
          </w:p>
        </w:tc>
        <w:tc>
          <w:tcPr>
            <w:tcW w:type="dxa" w:w="2160"/>
          </w:tcPr>
          <w:p>
            <w:r>
              <w:t>0.42–0.60</w:t>
            </w:r>
          </w:p>
        </w:tc>
        <w:tc>
          <w:tcPr>
            <w:tcW w:type="dxa" w:w="2160"/>
          </w:tcPr>
          <w:p>
            <w:r>
              <w:t>—</w:t>
            </w:r>
          </w:p>
        </w:tc>
      </w:tr>
      <w:tr>
        <w:tc>
          <w:tcPr>
            <w:tcW w:type="dxa" w:w="2160"/>
          </w:tcPr>
          <w:p>
            <w:r>
              <w:t>2</w:t>
            </w:r>
          </w:p>
        </w:tc>
        <w:tc>
          <w:tcPr>
            <w:tcW w:type="dxa" w:w="2160"/>
          </w:tcPr>
          <w:p>
            <w:r>
              <w:t>0.69</w:t>
            </w:r>
          </w:p>
        </w:tc>
        <w:tc>
          <w:tcPr>
            <w:tcW w:type="dxa" w:w="2160"/>
          </w:tcPr>
          <w:p>
            <w:r>
              <w:t>0.59–0.82</w:t>
            </w:r>
          </w:p>
        </w:tc>
        <w:tc>
          <w:tcPr>
            <w:tcW w:type="dxa" w:w="2160"/>
          </w:tcPr>
          <w:p>
            <w:r>
              <w:t>+19%</w:t>
            </w:r>
          </w:p>
        </w:tc>
      </w:tr>
      <w:tr>
        <w:tc>
          <w:tcPr>
            <w:tcW w:type="dxa" w:w="2160"/>
          </w:tcPr>
          <w:p>
            <w:r>
              <w:t>3</w:t>
            </w:r>
          </w:p>
        </w:tc>
        <w:tc>
          <w:tcPr>
            <w:tcW w:type="dxa" w:w="2160"/>
          </w:tcPr>
          <w:p>
            <w:r>
              <w:t>0.81</w:t>
            </w:r>
          </w:p>
        </w:tc>
        <w:tc>
          <w:tcPr>
            <w:tcW w:type="dxa" w:w="2160"/>
          </w:tcPr>
          <w:p>
            <w:r>
              <w:t>0.71–0.91</w:t>
            </w:r>
          </w:p>
        </w:tc>
        <w:tc>
          <w:tcPr>
            <w:tcW w:type="dxa" w:w="2160"/>
          </w:tcPr>
          <w:p>
            <w:r>
              <w:t>+13%</w:t>
            </w:r>
          </w:p>
        </w:tc>
      </w:tr>
      <w:tr>
        <w:tc>
          <w:tcPr>
            <w:tcW w:type="dxa" w:w="2160"/>
          </w:tcPr>
          <w:p>
            <w:r>
              <w:t>4</w:t>
            </w:r>
          </w:p>
        </w:tc>
        <w:tc>
          <w:tcPr>
            <w:tcW w:type="dxa" w:w="2160"/>
          </w:tcPr>
          <w:p>
            <w:r>
              <w:t>0.91</w:t>
            </w:r>
          </w:p>
        </w:tc>
        <w:tc>
          <w:tcPr>
            <w:tcW w:type="dxa" w:w="2160"/>
          </w:tcPr>
          <w:p>
            <w:r>
              <w:t>0.85–0.97</w:t>
            </w:r>
          </w:p>
        </w:tc>
        <w:tc>
          <w:tcPr>
            <w:tcW w:type="dxa" w:w="2160"/>
          </w:tcPr>
          <w:p>
            <w:r>
              <w:t>+10%</w:t>
            </w:r>
          </w:p>
        </w:tc>
      </w:tr>
      <w:tr>
        <w:tc>
          <w:tcPr>
            <w:tcW w:type="dxa" w:w="2160"/>
          </w:tcPr>
          <w:p>
            <w:r>
              <w:t>5</w:t>
            </w:r>
          </w:p>
        </w:tc>
        <w:tc>
          <w:tcPr>
            <w:tcW w:type="dxa" w:w="2160"/>
          </w:tcPr>
          <w:p>
            <w:r>
              <w:t>1.00</w:t>
            </w:r>
          </w:p>
        </w:tc>
        <w:tc>
          <w:tcPr>
            <w:tcW w:type="dxa" w:w="2160"/>
          </w:tcPr>
          <w:p>
            <w:r>
              <w:t>—</w:t>
            </w:r>
          </w:p>
        </w:tc>
        <w:tc>
          <w:tcPr>
            <w:tcW w:type="dxa" w:w="2160"/>
          </w:tcPr>
          <w:p>
            <w:r>
              <w:t>+9%</w:t>
            </w:r>
          </w:p>
        </w:tc>
      </w:tr>
    </w:tbl>
    <w:p>
      <w:pPr>
        <w:jc w:val="center"/>
      </w:pPr>
      <w:r>
        <w:drawing>
          <wp:inline xmlns:a="http://schemas.openxmlformats.org/drawingml/2006/main" xmlns:pic="http://schemas.openxmlformats.org/drawingml/2006/picture">
            <wp:extent cx="5669280" cy="3643198"/>
            <wp:docPr id="4" name="Picture 4"/>
            <wp:cNvGraphicFramePr>
              <a:graphicFrameLocks noChangeAspect="1"/>
            </wp:cNvGraphicFramePr>
            <a:graphic>
              <a:graphicData uri="http://schemas.openxmlformats.org/drawingml/2006/picture">
                <pic:pic>
                  <pic:nvPicPr>
                    <pic:cNvPr id="0" name="reader_subgroup_coverage.png"/>
                    <pic:cNvPicPr/>
                  </pic:nvPicPr>
                  <pic:blipFill>
                    <a:blip r:embed="rId12"/>
                    <a:stretch>
                      <a:fillRect/>
                    </a:stretch>
                  </pic:blipFill>
                  <pic:spPr>
                    <a:xfrm>
                      <a:off x="0" y="0"/>
                      <a:ext cx="5669280" cy="3643198"/>
                    </a:xfrm>
                    <a:prstGeom prst="rect"/>
                  </pic:spPr>
                </pic:pic>
              </a:graphicData>
            </a:graphic>
          </wp:inline>
        </w:drawing>
      </w:r>
    </w:p>
    <w:p>
      <w:r>
        <w:rPr>
          <w:i/>
          <w:sz w:val="18"/>
        </w:rPr>
        <w:t>Figure 3. Coverage of the full five-reader reference as a function of subgroup size, for all, positive, and negative change. Points are means over all subgroups of each size; shaded bands show the min–max envelope. Coverage rises with diminishing returns and, by construction, reaches 1.0 only with all five readers.</w:t>
      </w:r>
    </w:p>
    <w:p>
      <w:pPr>
        <w:pStyle w:val="Heading2"/>
      </w:pPr>
      <w:r>
        <w:t>3.6 Corroboration and solo findings by subgroup size</w:t>
      </w:r>
    </w:p>
    <w:p>
      <w:r>
        <w:t>We next asked how corroborated a subgroup's reads are as readers are added. Within a subgroup, the Human-Matched Detection Rate (HMDR)—the fraction of a member's findings independently marked by at least one other member—rose from 0.57 for reader pairs to 0.72 for triplets, 0.79 for quadruplets, and 0.83 for the full panel (a lone reader has no corroboration by definition). Conversely, the number of unmatched (solo) findings per reader per pair (UDPP) fell from 1.68 for a single reader to 0.72 for pairs, 0.47 for triplets, and 0.28 for the full panel (Figure 4, Table 6).</w:t>
      </w:r>
    </w:p>
    <w:p>
      <w:r>
        <w:t>Table 6. Subgroup corroboration (HMDR) and solo-finding rate (UDPP), all change (mean [min–max]).</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 readers</w:t>
            </w:r>
          </w:p>
        </w:tc>
        <w:tc>
          <w:tcPr>
            <w:tcW w:type="dxa" w:w="1728"/>
          </w:tcPr>
          <w:p>
            <w:r/>
            <w:r>
              <w:rPr>
                <w:b/>
              </w:rPr>
              <w:t>HMDR (mean)</w:t>
            </w:r>
          </w:p>
        </w:tc>
        <w:tc>
          <w:tcPr>
            <w:tcW w:type="dxa" w:w="1728"/>
          </w:tcPr>
          <w:p>
            <w:r/>
            <w:r>
              <w:rPr>
                <w:b/>
              </w:rPr>
              <w:t>HMDR range</w:t>
            </w:r>
          </w:p>
        </w:tc>
        <w:tc>
          <w:tcPr>
            <w:tcW w:type="dxa" w:w="1728"/>
          </w:tcPr>
          <w:p>
            <w:r/>
            <w:r>
              <w:rPr>
                <w:b/>
              </w:rPr>
              <w:t>UDPP (mean)</w:t>
            </w:r>
          </w:p>
        </w:tc>
        <w:tc>
          <w:tcPr>
            <w:tcW w:type="dxa" w:w="1728"/>
          </w:tcPr>
          <w:p>
            <w:r/>
            <w:r>
              <w:rPr>
                <w:b/>
              </w:rPr>
              <w:t>UDPP range</w:t>
            </w:r>
          </w:p>
        </w:tc>
      </w:tr>
      <w:tr>
        <w:tc>
          <w:tcPr>
            <w:tcW w:type="dxa" w:w="1728"/>
          </w:tcPr>
          <w:p>
            <w:r>
              <w:t>1</w:t>
            </w:r>
          </w:p>
        </w:tc>
        <w:tc>
          <w:tcPr>
            <w:tcW w:type="dxa" w:w="1728"/>
          </w:tcPr>
          <w:p>
            <w:r>
              <w:t>0.00</w:t>
            </w:r>
          </w:p>
        </w:tc>
        <w:tc>
          <w:tcPr>
            <w:tcW w:type="dxa" w:w="1728"/>
          </w:tcPr>
          <w:p>
            <w:r>
              <w:t>0.00–0.00</w:t>
            </w:r>
          </w:p>
        </w:tc>
        <w:tc>
          <w:tcPr>
            <w:tcW w:type="dxa" w:w="1728"/>
          </w:tcPr>
          <w:p>
            <w:r>
              <w:t>1.68</w:t>
            </w:r>
          </w:p>
        </w:tc>
        <w:tc>
          <w:tcPr>
            <w:tcW w:type="dxa" w:w="1728"/>
          </w:tcPr>
          <w:p>
            <w:r>
              <w:t>1.45–1.97</w:t>
            </w:r>
          </w:p>
        </w:tc>
      </w:tr>
      <w:tr>
        <w:tc>
          <w:tcPr>
            <w:tcW w:type="dxa" w:w="1728"/>
          </w:tcPr>
          <w:p>
            <w:r>
              <w:t>2</w:t>
            </w:r>
          </w:p>
        </w:tc>
        <w:tc>
          <w:tcPr>
            <w:tcW w:type="dxa" w:w="1728"/>
          </w:tcPr>
          <w:p>
            <w:r>
              <w:t>0.57</w:t>
            </w:r>
          </w:p>
        </w:tc>
        <w:tc>
          <w:tcPr>
            <w:tcW w:type="dxa" w:w="1728"/>
          </w:tcPr>
          <w:p>
            <w:r>
              <w:t>0.48–0.67</w:t>
            </w:r>
          </w:p>
        </w:tc>
        <w:tc>
          <w:tcPr>
            <w:tcW w:type="dxa" w:w="1728"/>
          </w:tcPr>
          <w:p>
            <w:r>
              <w:t>0.72</w:t>
            </w:r>
          </w:p>
        </w:tc>
        <w:tc>
          <w:tcPr>
            <w:tcW w:type="dxa" w:w="1728"/>
          </w:tcPr>
          <w:p>
            <w:r>
              <w:t>0.58–0.91</w:t>
            </w:r>
          </w:p>
        </w:tc>
      </w:tr>
      <w:tr>
        <w:tc>
          <w:tcPr>
            <w:tcW w:type="dxa" w:w="1728"/>
          </w:tcPr>
          <w:p>
            <w:r>
              <w:t>3</w:t>
            </w:r>
          </w:p>
        </w:tc>
        <w:tc>
          <w:tcPr>
            <w:tcW w:type="dxa" w:w="1728"/>
          </w:tcPr>
          <w:p>
            <w:r>
              <w:t>0.72</w:t>
            </w:r>
          </w:p>
        </w:tc>
        <w:tc>
          <w:tcPr>
            <w:tcW w:type="dxa" w:w="1728"/>
          </w:tcPr>
          <w:p>
            <w:r>
              <w:t>0.67–0.77</w:t>
            </w:r>
          </w:p>
        </w:tc>
        <w:tc>
          <w:tcPr>
            <w:tcW w:type="dxa" w:w="1728"/>
          </w:tcPr>
          <w:p>
            <w:r>
              <w:t>0.47</w:t>
            </w:r>
          </w:p>
        </w:tc>
        <w:tc>
          <w:tcPr>
            <w:tcW w:type="dxa" w:w="1728"/>
          </w:tcPr>
          <w:p>
            <w:r>
              <w:t>0.39–0.55</w:t>
            </w:r>
          </w:p>
        </w:tc>
      </w:tr>
      <w:tr>
        <w:tc>
          <w:tcPr>
            <w:tcW w:type="dxa" w:w="1728"/>
          </w:tcPr>
          <w:p>
            <w:r>
              <w:t>4</w:t>
            </w:r>
          </w:p>
        </w:tc>
        <w:tc>
          <w:tcPr>
            <w:tcW w:type="dxa" w:w="1728"/>
          </w:tcPr>
          <w:p>
            <w:r>
              <w:t>0.79</w:t>
            </w:r>
          </w:p>
        </w:tc>
        <w:tc>
          <w:tcPr>
            <w:tcW w:type="dxa" w:w="1728"/>
          </w:tcPr>
          <w:p>
            <w:r>
              <w:t>0.77–0.81</w:t>
            </w:r>
          </w:p>
        </w:tc>
        <w:tc>
          <w:tcPr>
            <w:tcW w:type="dxa" w:w="1728"/>
          </w:tcPr>
          <w:p>
            <w:r>
              <w:t>0.35</w:t>
            </w:r>
          </w:p>
        </w:tc>
        <w:tc>
          <w:tcPr>
            <w:tcW w:type="dxa" w:w="1728"/>
          </w:tcPr>
          <w:p>
            <w:r>
              <w:t>0.30–0.38</w:t>
            </w:r>
          </w:p>
        </w:tc>
      </w:tr>
      <w:tr>
        <w:tc>
          <w:tcPr>
            <w:tcW w:type="dxa" w:w="1728"/>
          </w:tcPr>
          <w:p>
            <w:r>
              <w:t>5</w:t>
            </w:r>
          </w:p>
        </w:tc>
        <w:tc>
          <w:tcPr>
            <w:tcW w:type="dxa" w:w="1728"/>
          </w:tcPr>
          <w:p>
            <w:r>
              <w:t>0.83</w:t>
            </w:r>
          </w:p>
        </w:tc>
        <w:tc>
          <w:tcPr>
            <w:tcW w:type="dxa" w:w="1728"/>
          </w:tcPr>
          <w:p>
            <w:r>
              <w:t>0.83–0.83</w:t>
            </w:r>
          </w:p>
        </w:tc>
        <w:tc>
          <w:tcPr>
            <w:tcW w:type="dxa" w:w="1728"/>
          </w:tcPr>
          <w:p>
            <w:r>
              <w:t>0.28</w:t>
            </w:r>
          </w:p>
        </w:tc>
        <w:tc>
          <w:tcPr>
            <w:tcW w:type="dxa" w:w="1728"/>
          </w:tcPr>
          <w:p>
            <w:r>
              <w:t>0.28–0.28</w:t>
            </w:r>
          </w:p>
        </w:tc>
      </w:tr>
    </w:tbl>
    <w:p>
      <w:pPr>
        <w:jc w:val="center"/>
      </w:pPr>
      <w:r>
        <w:drawing>
          <wp:inline xmlns:a="http://schemas.openxmlformats.org/drawingml/2006/main" xmlns:pic="http://schemas.openxmlformats.org/drawingml/2006/picture">
            <wp:extent cx="5943600" cy="2256058"/>
            <wp:docPr id="5" name="Picture 5"/>
            <wp:cNvGraphicFramePr>
              <a:graphicFrameLocks noChangeAspect="1"/>
            </wp:cNvGraphicFramePr>
            <a:graphic>
              <a:graphicData uri="http://schemas.openxmlformats.org/drawingml/2006/picture">
                <pic:pic>
                  <pic:nvPicPr>
                    <pic:cNvPr id="0" name="reader_subgroup_hmdr_udpp.png"/>
                    <pic:cNvPicPr/>
                  </pic:nvPicPr>
                  <pic:blipFill>
                    <a:blip r:embed="rId13"/>
                    <a:stretch>
                      <a:fillRect/>
                    </a:stretch>
                  </pic:blipFill>
                  <pic:spPr>
                    <a:xfrm>
                      <a:off x="0" y="0"/>
                      <a:ext cx="5943600" cy="2256058"/>
                    </a:xfrm>
                    <a:prstGeom prst="rect"/>
                  </pic:spPr>
                </pic:pic>
              </a:graphicData>
            </a:graphic>
          </wp:inline>
        </w:drawing>
      </w:r>
    </w:p>
    <w:p>
      <w:r>
        <w:rPr>
          <w:i/>
          <w:sz w:val="18"/>
        </w:rPr>
        <w:t>Figure 4. Within-subgroup corroboration (HMDR, left) and solo-finding rate (UDPP, right) as a function of subgroup size. As readers are added, findings are increasingly corroborated and solo findings decline, with the largest change occurring up to three readers.</w:t>
      </w:r>
    </w:p>
    <w:p>
      <w:pPr>
        <w:pStyle w:val="Heading1"/>
      </w:pPr>
      <w:r>
        <w:t>4. Discussion</w:t>
      </w:r>
    </w:p>
    <w:p>
      <w:r>
        <w:t>In a multi-reader study of interval change on 100 longitudinal chest radiographs, radiologist agreement was moderate, with many low-consensus findings: nearly half of all changes were reported by a single reader and fewer than one in six were unanimous. Sensitivity increased with the number of independent readers identifying a finding.</w:t>
      </w:r>
    </w:p>
    <w:p>
      <w:r>
        <w:t>Reader-subgroup coverage increased from 68.6% for two-reader subsets to 81.3% for three-reader subsets; adding a fourth reader increased mean coverage by 10.2 percentage points. The 71%–91% coverage range across triplets shows that performance depends on which readers are selected. No threshold for an adequate reference standard was predefined, and full coverage is expected only when all five readers define the reference. These data support three readers as a pragmatic compromise for this cohort, rather than demonstrating an adequate or universally sufficient panel size.</w:t>
      </w:r>
    </w:p>
    <w:p>
      <w:r>
        <w:t xml:space="preserve">For quality assurance, the high proportion of solo findings indicates that the reported pattern of interval change can differ materially between readers. For reference-standard construction, a single-reader annotation does not represent the full five-reader union in this cohort. Reporting consensus level and the panel composition makes that uncertainty visible. </w:t>
      </w:r>
      <w:r>
        <w:rPr>
          <w:highlight w:val="green"/>
        </w:rPr>
        <w:t>[A companion analysis evaluates an automated change-detection method against this consensus.]</w:t>
      </w:r>
    </w:p>
    <w:p>
      <w:r>
        <w:t xml:space="preserve">Limitations. This was a </w:t>
      </w:r>
      <w:r>
        <w:rPr>
          <w:highlight w:val="cyan"/>
        </w:rPr>
        <w:t>[single-center, retrospective]</w:t>
      </w:r>
      <w:r>
        <w:t xml:space="preserve"> study of 100 pairs read by five radiologists. Reader experience was </w:t>
      </w:r>
      <w:r>
        <w:rPr>
          <w:highlight w:val="yellow"/>
        </w:rPr>
        <w:t>[not stratified]</w:t>
      </w:r>
      <w:r>
        <w:t xml:space="preserve">; annotations used elliptical region markers rather than pixel-wise contours, which may merge or split adjacent findings. The cohort was enriched for </w:t>
      </w:r>
      <w:r>
        <w:rPr>
          <w:highlight w:val="cyan"/>
        </w:rPr>
        <w:t>[ICU studies]</w:t>
      </w:r>
      <w:r>
        <w:t>, which may over-represent devices and rapidly evolving findings and limit generalizability. Finally, the reference is defined by the readers themselves; consensus level and subgroup coverage are pragmatic surrogates for truth, not an independent gold standard, and coverage necessarily reaches 1.0 only at the full panel size.</w:t>
      </w:r>
    </w:p>
    <w:p>
      <w:pPr>
        <w:pStyle w:val="Heading1"/>
      </w:pPr>
      <w:r>
        <w:t>5. Conclusions</w:t>
      </w:r>
    </w:p>
    <w:p>
      <w:r>
        <w:t>Radiologist agreement on interval change on chest radiographs is moderate and graded, and nearly half of all identified changes are seen by a single reader. In this cohort, three readers recovered a mean of 81% of the five-reader reference, representing a pragmatic trade-off between annotation effort and coverage rather than a formally established threshold for a reference standard.</w:t>
      </w:r>
    </w:p>
    <w:p>
      <w:pPr>
        <w:pStyle w:val="Heading1"/>
      </w:pPr>
      <w:r>
        <w:t>Supplementary figures</w:t>
      </w:r>
    </w:p>
    <w:p>
      <w:r>
        <w:t>Per-reader sensitivity-at-consensus curves and the positive/negative PAI heatmaps:</w:t>
      </w:r>
    </w:p>
    <w:p>
      <w:pPr>
        <w:jc w:val="center"/>
      </w:pPr>
      <w:r>
        <w:drawing>
          <wp:inline xmlns:a="http://schemas.openxmlformats.org/drawingml/2006/main" xmlns:pic="http://schemas.openxmlformats.org/drawingml/2006/picture">
            <wp:extent cx="3291840" cy="2980158"/>
            <wp:docPr id="6" name="Picture 6"/>
            <wp:cNvGraphicFramePr>
              <a:graphicFrameLocks noChangeAspect="1"/>
            </wp:cNvGraphicFramePr>
            <a:graphic>
              <a:graphicData uri="http://schemas.openxmlformats.org/drawingml/2006/picture">
                <pic:pic>
                  <pic:nvPicPr>
                    <pic:cNvPr id="0" name="per_label_agreement_pos_humans.png"/>
                    <pic:cNvPicPr/>
                  </pic:nvPicPr>
                  <pic:blipFill>
                    <a:blip r:embed="rId14"/>
                    <a:stretch>
                      <a:fillRect/>
                    </a:stretch>
                  </pic:blipFill>
                  <pic:spPr>
                    <a:xfrm>
                      <a:off x="0" y="0"/>
                      <a:ext cx="3291840" cy="2980158"/>
                    </a:xfrm>
                    <a:prstGeom prst="rect"/>
                  </pic:spPr>
                </pic:pic>
              </a:graphicData>
            </a:graphic>
          </wp:inline>
        </w:drawing>
      </w:r>
    </w:p>
    <w:p>
      <w:r>
        <w:rPr>
          <w:i/>
          <w:sz w:val="18"/>
        </w:rPr>
        <w:t>Supplementary Figure S1. PAI per detection (positive change).</w:t>
      </w:r>
    </w:p>
    <w:p>
      <w:pPr>
        <w:jc w:val="center"/>
      </w:pPr>
      <w:r>
        <w:drawing>
          <wp:inline xmlns:a="http://schemas.openxmlformats.org/drawingml/2006/main" xmlns:pic="http://schemas.openxmlformats.org/drawingml/2006/picture">
            <wp:extent cx="3291840" cy="2980158"/>
            <wp:docPr id="7" name="Picture 7"/>
            <wp:cNvGraphicFramePr>
              <a:graphicFrameLocks noChangeAspect="1"/>
            </wp:cNvGraphicFramePr>
            <a:graphic>
              <a:graphicData uri="http://schemas.openxmlformats.org/drawingml/2006/picture">
                <pic:pic>
                  <pic:nvPicPr>
                    <pic:cNvPr id="0" name="per_label_agreement_neg_humans.png"/>
                    <pic:cNvPicPr/>
                  </pic:nvPicPr>
                  <pic:blipFill>
                    <a:blip r:embed="rId15"/>
                    <a:stretch>
                      <a:fillRect/>
                    </a:stretch>
                  </pic:blipFill>
                  <pic:spPr>
                    <a:xfrm>
                      <a:off x="0" y="0"/>
                      <a:ext cx="3291840" cy="2980158"/>
                    </a:xfrm>
                    <a:prstGeom prst="rect"/>
                  </pic:spPr>
                </pic:pic>
              </a:graphicData>
            </a:graphic>
          </wp:inline>
        </w:drawing>
      </w:r>
    </w:p>
    <w:p>
      <w:r>
        <w:rPr>
          <w:i/>
          <w:sz w:val="18"/>
        </w:rPr>
        <w:t>Supplementary Figure S2. PAI per detection (negative change).</w:t>
      </w:r>
    </w:p>
    <w:p>
      <w:pPr>
        <w:jc w:val="center"/>
      </w:pPr>
      <w:r>
        <w:drawing>
          <wp:inline xmlns:a="http://schemas.openxmlformats.org/drawingml/2006/main" xmlns:pic="http://schemas.openxmlformats.org/drawingml/2006/picture">
            <wp:extent cx="3291840" cy="2980158"/>
            <wp:docPr id="8" name="Picture 8"/>
            <wp:cNvGraphicFramePr>
              <a:graphicFrameLocks noChangeAspect="1"/>
            </wp:cNvGraphicFramePr>
            <a:graphic>
              <a:graphicData uri="http://schemas.openxmlformats.org/drawingml/2006/picture">
                <pic:pic>
                  <pic:nvPicPr>
                    <pic:cNvPr id="0" name="per_pair_agreement_pos_humans.png"/>
                    <pic:cNvPicPr/>
                  </pic:nvPicPr>
                  <pic:blipFill>
                    <a:blip r:embed="rId16"/>
                    <a:stretch>
                      <a:fillRect/>
                    </a:stretch>
                  </pic:blipFill>
                  <pic:spPr>
                    <a:xfrm>
                      <a:off x="0" y="0"/>
                      <a:ext cx="3291840" cy="2980158"/>
                    </a:xfrm>
                    <a:prstGeom prst="rect"/>
                  </pic:spPr>
                </pic:pic>
              </a:graphicData>
            </a:graphic>
          </wp:inline>
        </w:drawing>
      </w:r>
    </w:p>
    <w:p>
      <w:r>
        <w:rPr>
          <w:i/>
          <w:sz w:val="18"/>
        </w:rPr>
        <w:t>Supplementary Figure S3. PAI per pair (positive change).</w:t>
      </w:r>
    </w:p>
    <w:p>
      <w:pPr>
        <w:jc w:val="center"/>
      </w:pPr>
      <w:r>
        <w:drawing>
          <wp:inline xmlns:a="http://schemas.openxmlformats.org/drawingml/2006/main" xmlns:pic="http://schemas.openxmlformats.org/drawingml/2006/picture">
            <wp:extent cx="3291840" cy="2980158"/>
            <wp:docPr id="9" name="Picture 9"/>
            <wp:cNvGraphicFramePr>
              <a:graphicFrameLocks noChangeAspect="1"/>
            </wp:cNvGraphicFramePr>
            <a:graphic>
              <a:graphicData uri="http://schemas.openxmlformats.org/drawingml/2006/picture">
                <pic:pic>
                  <pic:nvPicPr>
                    <pic:cNvPr id="0" name="per_pair_agreement_neg_humans.png"/>
                    <pic:cNvPicPr/>
                  </pic:nvPicPr>
                  <pic:blipFill>
                    <a:blip r:embed="rId17"/>
                    <a:stretch>
                      <a:fillRect/>
                    </a:stretch>
                  </pic:blipFill>
                  <pic:spPr>
                    <a:xfrm>
                      <a:off x="0" y="0"/>
                      <a:ext cx="3291840" cy="2980158"/>
                    </a:xfrm>
                    <a:prstGeom prst="rect"/>
                  </pic:spPr>
                </pic:pic>
              </a:graphicData>
            </a:graphic>
          </wp:inline>
        </w:drawing>
      </w:r>
    </w:p>
    <w:p>
      <w:r>
        <w:rPr>
          <w:i/>
          <w:sz w:val="18"/>
        </w:rPr>
        <w:t>Supplementary Figure S4. PAI per pair (negative change).</w:t>
      </w:r>
    </w:p>
    <w:p>
      <w:pPr>
        <w:jc w:val="center"/>
      </w:pPr>
      <w:r>
        <w:rPr>
          <w:i/>
          <w:sz w:val="16"/>
        </w:rPr>
        <w:t>Draft v3 (human readers only). Reader labels R1–R5 are anonymized. Source metrics: ov_results_human_only/human_ov_metrics.json.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