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40"/>
          <w:szCs w:val="40"/>
        </w:rPr>
        <w:t xml:space="preserve">State-of-the-Art Code Embedding Models</w:t>
      </w:r>
    </w:p>
    <w:p>
      <w:pPr>
        <w:spacing w:after="60"/>
        <w:jc w:val="center"/>
      </w:pPr>
      <w:r>
        <w:rPr>
          <w:rFonts w:ascii="Arial" w:cs="Arial" w:eastAsia="Arial" w:hAnsi="Arial"/>
          <w:color w:val="555555"/>
          <w:sz w:val="24"/>
          <w:szCs w:val="24"/>
        </w:rPr>
        <w:t xml:space="preserve">A Comparative Report on Five Leading Approaches</w:t>
      </w:r>
    </w:p>
    <w:p>
      <w:pPr>
        <w:spacing w:after="80"/>
        <w:jc w:val="center"/>
      </w:pPr>
      <w:r>
        <w:rPr>
          <w:rFonts w:ascii="Arial" w:cs="Arial" w:eastAsia="Arial" w:hAnsi="Arial"/>
          <w:color w:val="888888"/>
          <w:sz w:val="20"/>
          <w:szCs w:val="20"/>
        </w:rPr>
        <w:t xml:space="preserve">March 2026</w:t>
      </w:r>
    </w:p>
    <w:p>
      <w:pPr>
        <w:pBdr>
          <w:bottom w:val="single" w:color="1B3A5C" w:sz="6" w:space="8"/>
        </w:pBdr>
        <w:spacing w:after="200"/>
        <w:jc w:val="center"/>
      </w:pPr>
      <w:r>
        <w:rPr>
          <w:rFonts w:ascii="Arial" w:cs="Arial" w:eastAsia="Arial" w:hAnsi="Arial"/>
          <w:i/>
          <w:iCs/>
          <w:color w:val="666666"/>
          <w:sz w:val="18"/>
          <w:szCs w:val="18"/>
        </w:rPr>
        <w:t xml:space="preserve">Filter Criteria: Code retrieval evaluation • Cross-modal NL ↔ Code • Locally deployable</w:t>
      </w:r>
    </w:p>
    <w:p>
      <w:pPr>
        <w:pStyle w:val="Heading1"/>
      </w:pPr>
      <w:r>
        <w:t xml:space="preserve">1. Introduction</w:t>
      </w:r>
    </w:p>
    <w:p>
      <w:pPr>
        <w:spacing w:after="120"/>
      </w:pPr>
      <w:r>
        <w:t xml:space="preserve">Code embedding models transform source code and natural language into shared vector representations, enabling semantic search across the NL↔code boundary. As AI-powered development environments such as GitHub Copilot, Cursor, and Claude Code have become mainstream, the quality of the underlying code retrieval system is a decisive factor in user productivity. This report surveys five state-of-the-art code embedding models selected by three criteria: (a) the paper explicitly evaluates on code retrieval benchmarks (not only code generation), (b) the model is tested in cross-modal settings where natural language queries retrieve code or vice-versa, and (c) the model weights are openly available and can run locally on reasonable hardware (a single consumer GPU or a small server).</w:t>
      </w:r>
    </w:p>
    <w:p>
      <w:pPr>
        <w:spacing w:after="120"/>
      </w:pPr>
      <w:r>
        <w:t xml:space="preserve">The primary benchmarks referenced throughout are </w:t>
      </w:r>
      <w:r>
        <w:rPr>
          <w:b/>
          <w:bCs/>
        </w:rPr>
        <w:t xml:space="preserve">CoIR</w:t>
      </w:r>
      <w:r>
        <w:t xml:space="preserve"> (Code Information Retrieval Benchmark, ACL 2025), which spans ten datasets across eight retrieval tasks, and </w:t>
      </w:r>
      <w:r>
        <w:rPr>
          <w:b/>
          <w:bCs/>
        </w:rPr>
        <w:t xml:space="preserve">CodeSearchNet</w:t>
      </w:r>
      <w:r>
        <w:t xml:space="preserve">, the long-standing function-level NL→code retrieval benchmark covering six programming languages. Performance is typically reported as nDCG@10 (CoIR) or MRR (CodeSearchNet).</w:t>
      </w:r>
    </w:p>
    <w:p>
      <w:pPr>
        <w:pStyle w:val="Heading1"/>
      </w:pPr>
      <w:r>
        <w:t xml:space="preserve">2. Model Summaries</w:t>
      </w:r>
    </w:p>
    <w:p>
      <w:pPr>
        <w:pStyle w:val="Heading2"/>
      </w:pPr>
      <w:r>
        <w:t xml:space="preserve">2.1 Jina Embeddings v2 Base Code</w:t>
      </w:r>
    </w:p>
    <w:p>
      <w:pPr>
        <w:spacing w:after="40"/>
      </w:pPr>
      <w:r>
        <w:rPr>
          <w:b/>
          <w:bCs/>
        </w:rPr>
        <w:t xml:space="preserve">Paper: </w:t>
      </w:r>
      <w:r>
        <w:rPr>
          <w:i/>
          <w:iCs/>
        </w:rPr>
        <w:t xml:space="preserve">Jina Embeddings 2: 8192-Token General-Purpose Text Embeddings for Long Documents</w:t>
      </w:r>
      <w:r>
        <w:t xml:space="preserve"> (Günther et al., arXiv 2310.19923, Oct 2023)</w:t>
      </w:r>
    </w:p>
    <w:p>
      <w:pPr>
        <w:spacing w:after="100"/>
      </w:pPr>
      <w:r>
        <w:t xml:space="preserve">Jina Embeddings v2 Base Code is a 161M-parameter BERT-variant encoder (JinaBERT) that supports 8192 token context through symmetric bidirectional ALiBi attention. The backbone is pretrained on GitHub code data and then fine-tuned on over 150 million coding question–answer and docstring–source code pairs collected from diverse domains. It produces 768-dimensional dense embeddings and supports English plus 30 programming languages. On CodeSearchNet, it leads in 9 of 15 sub-benchmarks. Its compact size allows inference on a single consumer GPU with minimal memory overhead, making it one of the most accessible code embedding models available. The model uses mean pooling for sentence-level representation and is fully compatible with the sentence-transformers library.</w:t>
      </w:r>
    </w:p>
    <w:p>
      <w:pPr>
        <w:pStyle w:val="Heading2"/>
      </w:pPr>
      <w:r>
        <w:t xml:space="preserve">2.2 CodeXEmbed (SFR-Embedding-Code)</w:t>
      </w:r>
    </w:p>
    <w:p>
      <w:pPr>
        <w:spacing w:after="40"/>
      </w:pPr>
      <w:r>
        <w:rPr>
          <w:b/>
          <w:bCs/>
        </w:rPr>
        <w:t xml:space="preserve">Paper: </w:t>
      </w:r>
      <w:r>
        <w:rPr>
          <w:i/>
          <w:iCs/>
        </w:rPr>
        <w:t xml:space="preserve">CodeXEmbed: A Generalist Embedding Model Family for Multilingual and Multi-task Code Retrieval</w:t>
      </w:r>
      <w:r>
        <w:t xml:space="preserve"> (Liu et al., arXiv 2411.12644, Nov 2024)</w:t>
      </w:r>
    </w:p>
    <w:p>
      <w:pPr>
        <w:spacing w:after="100"/>
      </w:pPr>
      <w:r>
        <w:t xml:space="preserve">CodeXEmbed is a family of code embedding models from Salesforce spanning 400M, 2B, and 7B parameters. The training pipeline unifies multiple programming languages and transforms diverse code-related tasks—text-to-code, code-to-text, code-to-code, and hybrid retrieval—into a common retrieval framework. The 7B variant achieved first place on the CoIR leaderboard (as of Feb 2025), surpassing the previous leader Voyage-Code-002 by over 20%. The models are initialised from existing LLMs (GTE, Gemma-2, and Qwen-2.5 respectively) and employ bidirectional attention with LoRA fine-tuning for the larger variants. Critically, CodeXEmbed is also competitive on the general-purpose BeIR text retrieval benchmark, demonstrating that a code-focused model need not sacrifice text retrieval quality. The 400M variant runs comfortably on a single 8 GB GPU; the 2B model fits on a 16 GB card.</w:t>
      </w:r>
    </w:p>
    <w:p>
      <w:pPr>
        <w:pStyle w:val="Heading2"/>
      </w:pPr>
      <w:r>
        <w:t xml:space="preserve">2.3 Jina Code Embeddings (0.5B / 1.5B)</w:t>
      </w:r>
    </w:p>
    <w:p>
      <w:pPr>
        <w:spacing w:after="40"/>
      </w:pPr>
      <w:r>
        <w:rPr>
          <w:b/>
          <w:bCs/>
        </w:rPr>
        <w:t xml:space="preserve">Paper: </w:t>
      </w:r>
      <w:r>
        <w:rPr>
          <w:i/>
          <w:iCs/>
        </w:rPr>
        <w:t xml:space="preserve">Efficient Code Embeddings from Code Generation Models</w:t>
      </w:r>
      <w:r>
        <w:t xml:space="preserve"> (Kryvosheieva et al., arXiv 2508.21290, Aug 2025)</w:t>
      </w:r>
    </w:p>
    <w:p>
      <w:pPr>
        <w:spacing w:after="100"/>
      </w:pPr>
      <w:r>
        <w:t xml:space="preserve">This work introduces jina-code-embeddings-0.5b (494M) and jina-code-embeddings-1.5b (1.54B), built on Qwen2.5-Coder backbones. The key insight is repurposing autoregressive decoder models—originally designed for code generation—as embedding encoders via last-token pooling. The authors show that last-token pooling outperforms mean pooling and latent attention pooling for decoder-only architectures. The models use task-specific instruction prefixes (NL2Code, Code2Code, Code2NL, Code2Completion, TechQA) chosen at inference time, and support Matryoshka Representation Learning to truncate embeddings from 1536 dimensions down to 128 with minimal quality loss. Despite being far smaller than competing 7B models, they achieve state-of-the-art scores on CoIR tasks, validating that code generation pretraining transfers effectively to code embedding. The 0.5B model runs on a laptop GPU.</w:t>
      </w:r>
    </w:p>
    <w:p>
      <w:r>
        <w:br w:type="page"/>
      </w:r>
    </w:p>
    <w:p>
      <w:pPr>
        <w:pStyle w:val="Heading2"/>
      </w:pPr>
      <w:r>
        <w:t xml:space="preserve">2.4 CoRNStack / CodeRankEmbed</w:t>
      </w:r>
    </w:p>
    <w:p>
      <w:pPr>
        <w:spacing w:after="40"/>
      </w:pPr>
      <w:r>
        <w:rPr>
          <w:b/>
          <w:bCs/>
        </w:rPr>
        <w:t xml:space="preserve">Paper: </w:t>
      </w:r>
      <w:r>
        <w:rPr>
          <w:i/>
          <w:iCs/>
        </w:rPr>
        <w:t xml:space="preserve">CoRNStack: High-Quality Contrastive Data for Better Code Retrieval and Reranking</w:t>
      </w:r>
      <w:r>
        <w:t xml:space="preserve"> (Suresh, Reddy et al., arXiv 2412.01007, ICLR 2025)</w:t>
      </w:r>
    </w:p>
    <w:p>
      <w:pPr>
        <w:spacing w:after="100"/>
      </w:pPr>
      <w:r>
        <w:t xml:space="preserve">CoRNStack takes a data-centric approach: rather than scaling model parameters, it curates a large-scale, high-quality contrastive dataset from The Stack V2 via a dual consistency filtering step that removes noisy (text, code) pairs, combined with curriculum-based hard-negative mining. The resulting CodeRankEmbed model is a 137M-parameter bi-encoder (fine-tuned from Arctic-Embed-M) that outperforms models ten times its size, including CodeSage-Large (1.3B) and Voyage-Code-002, across CodeSearchNet, AdvTest, and CoIR. The paper also introduces CodeRankLLM, a 7B listwise code reranker—the first LLM fine-tuned specifically for code reranking. A combined retriever+reranker pipeline significantly improves function localisation on SWE-Bench-Lite GitHub issues. The 137M retriever has negligible hardware requirements and runs in real time on CPU.</w:t>
      </w:r>
    </w:p>
    <w:p>
      <w:pPr>
        <w:pStyle w:val="Heading2"/>
      </w:pPr>
      <w:r>
        <w:t xml:space="preserve">2.5 Qodo-Embed-1</w:t>
      </w:r>
    </w:p>
    <w:p>
      <w:pPr>
        <w:spacing w:after="40"/>
      </w:pPr>
      <w:r>
        <w:rPr>
          <w:b/>
          <w:bCs/>
        </w:rPr>
        <w:t xml:space="preserve">Reference: </w:t>
      </w:r>
      <w:r>
        <w:rPr>
          <w:i/>
          <w:iCs/>
        </w:rPr>
        <w:t xml:space="preserve">State-of-the-Art Code Retrieval With Efficient Code Embedding Models</w:t>
      </w:r>
      <w:r>
        <w:t xml:space="preserve"> (Qodo, May 2025, technical blog + model release)</w:t>
      </w:r>
    </w:p>
    <w:p>
      <w:pPr>
        <w:spacing w:after="100"/>
      </w:pPr>
      <w:r>
        <w:t xml:space="preserve">Qodo-Embed-1 is a code embedding model family from Qodo (formerly Codium) available in 1.5B and 7B variants, fine-tuned from Qwen2 backbones. Its distinguishing contribution is a synthetic data generation pipeline: an LLM generates natural-language queries that correspond to given code snippets, producing high-quality NL–code training pairs that address the chronic semantic mismatch between developer queries and raw code. On the CoIR benchmark, the 1.5B model scores 68.53, surpassing larger 7B competitors; the 7B variant reaches 71.5, setting a new high-water mark among open models at the time of release. Qodo-Embed-1 is explicitly positioned for retrieval-augmented code generation (Code-RAG) pipelines. The 1.5B model fits on an 11 GB consumer GPU, making it practical for local development use.</w:t>
      </w:r>
    </w:p>
    <w:p>
      <w:pPr>
        <w:pStyle w:val="Heading1"/>
      </w:pPr>
      <w:r>
        <w:t xml:space="preserve">3. Comparative Summary</w:t>
      </w:r>
    </w:p>
    <w:p>
      <w:pPr>
        <w:spacing w:after="120"/>
      </w:pPr>
      <w:r>
        <w:t xml:space="preserve">The following table summarises the key properties of each model against the three selection criteria.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300"/>
        <w:gridCol w:w="1340"/>
        <w:gridCol w:w="1300"/>
        <w:gridCol w:w="1500"/>
        <w:gridCol w:w="150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Params</w:t>
            </w:r>
          </w:p>
        </w:tc>
        <w:tc>
          <w:tcPr>
            <w:tcW w:type="dxa" w:w="1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Architecture</w:t>
            </w:r>
          </w:p>
        </w:tc>
        <w:tc>
          <w:tcPr>
            <w:tcW w:type="dxa" w:w="1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 Retrieval Bench.</w:t>
            </w:r>
          </w:p>
        </w:tc>
        <w:tc>
          <w:tcPr>
            <w:tcW w:type="dxa" w:w="1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NL↔Code</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 GPU VRAM</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CoIR Avg.</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Jina v2 Base Code</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161M</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BERT (ALiBi)</w:t>
            </w:r>
          </w:p>
        </w:tc>
        <w:tc>
          <w:tcPr>
            <w:tcW w:type="dxa" w:w="1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CSN, CoIR</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 GB</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 (pre-CoIR)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CodeXEmbed-7B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400M–7B</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LLM + BiAttn</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CoIR, BeIR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4–28 GB</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71.0 (7B)</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Jina Code Embed 1.5B</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494M–1.5B</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Decoder (LTP)</w:t>
            </w:r>
          </w:p>
        </w:tc>
        <w:tc>
          <w:tcPr>
            <w:tcW w:type="dxa" w:w="1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CoIR, CSN</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2–10 GB</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SOTA (2025)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CoRNStack (CREmbed)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137M</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Bi-Encoder</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CSN, CoIR, AdvTest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&lt;1 GB</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Best avg.</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Qodo-Embed-1</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1.5B–7B</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LLM (Qwen2)</w:t>
            </w:r>
          </w:p>
        </w:tc>
        <w:tc>
          <w:tcPr>
            <w:tcW w:type="dxa" w:w="1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CoIR</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6–28 GB</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68.5–71.5</w:t>
            </w:r>
          </w:p>
        </w:tc>
      </w:tr>
    </w:tbl>
    <w:p>
      <w:pPr>
        <w:spacing w:before="80" w:after="60"/>
      </w:pPr>
      <w:r>
        <w:rPr>
          <w:b/>
          <w:bCs/>
          <w:sz w:val="18"/>
          <w:szCs w:val="18"/>
        </w:rPr>
        <w:t xml:space="preserve">Table Notes: </w:t>
      </w:r>
      <w:r>
        <w:rPr>
          <w:color w:val="666666"/>
          <w:sz w:val="18"/>
          <w:szCs w:val="18"/>
        </w:rPr>
        <w:t xml:space="preserve">CSN = CodeSearchNet; LTP = Last-Token Pooling; BiAttn = Bidirectional Attention; CREmbed = CodeRankEmbed. VRAM estimates assume FP16/BF16 inference.</w:t>
      </w:r>
    </w:p>
    <w:p>
      <w:pPr>
        <w:pStyle w:val="Heading1"/>
      </w:pPr>
      <w:r>
        <w:t xml:space="preserve">4. Key Observations and Trends</w:t>
      </w:r>
    </w:p>
    <w:p>
      <w:pPr>
        <w:spacing w:after="100"/>
      </w:pPr>
      <w:r>
        <w:rPr>
          <w:b/>
          <w:bCs/>
        </w:rPr>
        <w:t xml:space="preserve">Data quality trumps model scale. </w:t>
      </w:r>
      <w:r>
        <w:t xml:space="preserve">CoRNStack’s 137M-parameter encoder outperforms 1.3B+ models because its training data is aggressively filtered and enriched with hard negatives. Similarly, Qodo-Embed-1 at 1.5B beats many 7B baselines by leveraging LLM-generated synthetic NL–code pairs. This pattern is consistent with the broader embedding literature, where recent work (F2LLM, LGAI-Embedding) shows diminishing returns from parameter scaling alone.</w:t>
      </w:r>
    </w:p>
    <w:p>
      <w:pPr>
        <w:spacing w:after="100"/>
      </w:pPr>
      <w:r>
        <w:rPr>
          <w:b/>
          <w:bCs/>
        </w:rPr>
        <w:t xml:space="preserve">Decoder-only architectures are viable for embeddings. </w:t>
      </w:r>
      <w:r>
        <w:t xml:space="preserve">Jina Code Embeddings demonstrates that autoregressive code-generation backbones (Qwen2.5-Coder) can produce high-quality embeddings when combined with last-token pooling and task-specific instruction prefixes. This finding opens a pathway for recycling abundant code-generation checkpoints into embedding models, reducing the need for separate encoder pretraining.</w:t>
      </w:r>
    </w:p>
    <w:p>
      <w:pPr>
        <w:spacing w:after="100"/>
      </w:pPr>
      <w:r>
        <w:rPr>
          <w:b/>
          <w:bCs/>
        </w:rPr>
        <w:t xml:space="preserve">The NL↔Code gap remains a central challenge. </w:t>
      </w:r>
      <w:r>
        <w:t xml:space="preserve">Every model in this survey addresses the fundamental vocabulary mismatch between natural language queries and programming-language syntax. Solutions range from joint pretraining on docstring–code pairs (Jina v2, CodeXEmbed), to consistency-filtered contrastive learning (CoRNStack), to LLM-generated query–code pairs (Qodo-Embed). The emergence of CoIR as a standardised multi-task code retrieval benchmark (ACL 2025) has accelerated progress by exposing weaknesses that CodeSearchNet alone could not reveal.</w:t>
      </w:r>
    </w:p>
    <w:p>
      <w:pPr>
        <w:spacing w:after="100"/>
      </w:pPr>
      <w:r>
        <w:rPr>
          <w:b/>
          <w:bCs/>
        </w:rPr>
        <w:t xml:space="preserve">Matryoshka Representation Learning (MRL) is becoming standard. </w:t>
      </w:r>
      <w:r>
        <w:t xml:space="preserve">Both Jina Code Embeddings and CodeXEmbed support truncating embedding dimensions at inference time. This is critical for production deployment where index size and search latency must be balanced against recall quality—a single model can serve different quality–cost trade-off points without retraining.</w:t>
      </w:r>
    </w:p>
    <w:p>
      <w:r>
        <w:br w:type="page"/>
      </w:r>
    </w:p>
    <w:p>
      <w:pPr>
        <w:pStyle w:val="Heading1"/>
      </w:pPr>
      <w:r>
        <w:t xml:space="preserve">5. Practical Recommendations</w:t>
      </w:r>
    </w:p>
    <w:p>
      <w:pPr>
        <w:spacing w:after="80"/>
      </w:pPr>
      <w:r>
        <w:t xml:space="preserve">Selecting the right model depends on the deployment context:</w:t>
      </w:r>
    </w:p>
    <w:p>
      <w:pPr>
        <w:pStyle w:val="ListParagraph"/>
        <w:numPr>
          <w:ilvl w:val="0"/>
          <w:numId w:val="2"/>
        </w:numPr>
        <w:spacing w:after="80"/>
      </w:pPr>
      <w:r>
        <w:rPr>
          <w:b/>
          <w:bCs/>
        </w:rPr>
        <w:t xml:space="preserve">Minimal hardware / CPU inference: </w:t>
      </w:r>
      <w:r>
        <w:t xml:space="preserve">CodeRankEmbed (137M) from the CoRNStack paper is the clear choice. It delivers top-tier retrieval quality at a fraction of the compute cost and fits comfortably in CPU-only environments.</w:t>
      </w:r>
    </w:p>
    <w:p>
      <w:pPr>
        <w:pStyle w:val="ListParagraph"/>
        <w:numPr>
          <w:ilvl w:val="0"/>
          <w:numId w:val="2"/>
        </w:numPr>
        <w:spacing w:after="80"/>
      </w:pPr>
      <w:r>
        <w:rPr>
          <w:b/>
          <w:bCs/>
        </w:rPr>
        <w:t xml:space="preserve">Long-context code search (whole files, classes): </w:t>
      </w:r>
      <w:r>
        <w:t xml:space="preserve">Jina Embeddings v2 Base Code with its 8192-token context window handles complete class definitions and multi-function files without chunking, a significant advantage over 512-token models.</w:t>
      </w:r>
    </w:p>
    <w:p>
      <w:pPr>
        <w:pStyle w:val="ListParagraph"/>
        <w:numPr>
          <w:ilvl w:val="0"/>
          <w:numId w:val="2"/>
        </w:numPr>
        <w:spacing w:after="80"/>
      </w:pPr>
      <w:r>
        <w:rPr>
          <w:b/>
          <w:bCs/>
        </w:rPr>
        <w:t xml:space="preserve">Maximum retrieval quality (single GPU): </w:t>
      </w:r>
      <w:r>
        <w:t xml:space="preserve">Jina Code Embeddings 1.5B or Qodo-Embed-1 at 1.5B both achieve near-top-of-leaderboard scores on CoIR while fitting on an 11 GB consumer GPU.</w:t>
      </w:r>
    </w:p>
    <w:p>
      <w:pPr>
        <w:pStyle w:val="ListParagraph"/>
        <w:numPr>
          <w:ilvl w:val="0"/>
          <w:numId w:val="2"/>
        </w:numPr>
        <w:spacing w:after="80"/>
      </w:pPr>
      <w:r>
        <w:rPr>
          <w:b/>
          <w:bCs/>
        </w:rPr>
        <w:t xml:space="preserve">Combined code + text retrieval: </w:t>
      </w:r>
      <w:r>
        <w:t xml:space="preserve">CodeXEmbed offers the best versatility, maintaining competitive scores on both CoIR and BeIR, making it suitable for unified RAG systems that index documentation alongside code.</w:t>
      </w:r>
    </w:p>
    <w:p>
      <w:pPr>
        <w:pStyle w:val="ListParagraph"/>
        <w:numPr>
          <w:ilvl w:val="0"/>
          <w:numId w:val="2"/>
        </w:numPr>
        <w:spacing w:after="120"/>
      </w:pPr>
      <w:r>
        <w:rPr>
          <w:b/>
          <w:bCs/>
        </w:rPr>
        <w:t xml:space="preserve">Production pipeline with reranking: </w:t>
      </w:r>
      <w:r>
        <w:t xml:space="preserve">The CoRNStack retriever+reranker combination provides the strongest end-to-end results for real-world tasks such as GitHub issue localisation, thanks to CodeRankLLM’s ability to refine initial retrieval results.</w:t>
      </w:r>
    </w:p>
    <w:p>
      <w:pPr>
        <w:pStyle w:val="Heading1"/>
      </w:pPr>
      <w:r>
        <w:t xml:space="preserve">6. Conclusion</w:t>
      </w:r>
    </w:p>
    <w:p>
      <w:pPr>
        <w:spacing w:after="120"/>
      </w:pPr>
      <w:r>
        <w:t xml:space="preserve">Code embedding is undergoing rapid maturation, driven by better benchmarks (CoIR), novel training strategies (synthetic data, consistency filtering, decoder-to-encoder transfer), and practical efficiency techniques (MRL, last-token pooling). The five models surveyed here collectively demonstrate that the field has moved well beyond CodeSearchNet-era baselines. A 137M model with the right data can outperform a 7B model with mediocre data, and decoder-only code generation checkpoints can be repurposed as embedding backbones with minimal overhead. For researchers and engineers building code search or Code-RAG systems, the choice among these models is now one of deployment constraints rather than fundamental capability gaps—all five deliver strong cross-modal NL↔code retrieval when matched to the appropriate hardware and use case.</w:t>
      </w:r>
    </w:p>
    <w:p>
      <w:pPr>
        <w:pStyle w:val="Heading1"/>
      </w:pPr>
      <w:r>
        <w:t xml:space="preserve">References</w:t>
      </w:r>
    </w:p>
    <w:p>
      <w:pPr>
        <w:spacing w:after="60"/>
      </w:pPr>
      <w:r>
        <w:rPr>
          <w:rFonts w:ascii="Arial" w:cs="Arial" w:eastAsia="Arial" w:hAnsi="Arial"/>
          <w:color w:val="444444"/>
          <w:sz w:val="18"/>
          <w:szCs w:val="18"/>
        </w:rPr>
        <w:t xml:space="preserve">[1] Günther, M. et al. (2023). Jina Embeddings 2: 8192-Token General-Purpose Text Embeddings for Long Documents. arXiv:2310.19923.</w:t>
      </w:r>
    </w:p>
    <w:p>
      <w:pPr>
        <w:spacing w:after="60"/>
      </w:pPr>
      <w:r>
        <w:rPr>
          <w:rFonts w:ascii="Arial" w:cs="Arial" w:eastAsia="Arial" w:hAnsi="Arial"/>
          <w:color w:val="444444"/>
          <w:sz w:val="18"/>
          <w:szCs w:val="18"/>
        </w:rPr>
        <w:t xml:space="preserve">[2] Liu, Y. et al. (2024). CodeXEmbed: A Generalist Embedding Model Family for Multilingual and Multi-task Code Retrieval. arXiv:2411.12644.</w:t>
      </w:r>
    </w:p>
    <w:p>
      <w:pPr>
        <w:spacing w:after="60"/>
      </w:pPr>
      <w:r>
        <w:rPr>
          <w:rFonts w:ascii="Arial" w:cs="Arial" w:eastAsia="Arial" w:hAnsi="Arial"/>
          <w:color w:val="444444"/>
          <w:sz w:val="18"/>
          <w:szCs w:val="18"/>
        </w:rPr>
        <w:t xml:space="preserve">[3] Kryvosheieva, D. et al. (2025). Efficient Code Embeddings from Code Generation Models. arXiv:2508.21290.</w:t>
      </w:r>
    </w:p>
    <w:p>
      <w:pPr>
        <w:spacing w:after="60"/>
      </w:pPr>
      <w:r>
        <w:rPr>
          <w:rFonts w:ascii="Arial" w:cs="Arial" w:eastAsia="Arial" w:hAnsi="Arial"/>
          <w:color w:val="444444"/>
          <w:sz w:val="18"/>
          <w:szCs w:val="18"/>
        </w:rPr>
        <w:t xml:space="preserve">[4] Suresh, T. et al. (2024). CoRNStack: High-Quality Contrastive Data for Better Code Retrieval and Reranking. arXiv:2412.01007. ICLR 2025.</w:t>
      </w:r>
    </w:p>
    <w:p>
      <w:pPr>
        <w:spacing w:after="60"/>
      </w:pPr>
      <w:r>
        <w:rPr>
          <w:rFonts w:ascii="Arial" w:cs="Arial" w:eastAsia="Arial" w:hAnsi="Arial"/>
          <w:color w:val="444444"/>
          <w:sz w:val="18"/>
          <w:szCs w:val="18"/>
        </w:rPr>
        <w:t xml:space="preserve">[5] Qodo (2025). Qodo-Embed-1: State-of-the-Art Code Retrieval With Efficient Code Embedding Models. qodo.ai/blog.</w:t>
      </w:r>
    </w:p>
    <w:p>
      <w:pPr>
        <w:spacing w:after="60"/>
      </w:pPr>
      <w:r>
        <w:rPr>
          <w:rFonts w:ascii="Arial" w:cs="Arial" w:eastAsia="Arial" w:hAnsi="Arial"/>
          <w:color w:val="444444"/>
          <w:sz w:val="18"/>
          <w:szCs w:val="18"/>
        </w:rPr>
        <w:t xml:space="preserve">[6] Li, X. et al. (2025). CoIR: A Comprehensive Benchmark for Code Information Retrieval Models. ACL 2025.</w:t>
      </w:r>
    </w:p>
    <w:p>
      <w:pPr>
        <w:spacing w:after="60"/>
      </w:pPr>
      <w:r>
        <w:rPr>
          <w:rFonts w:ascii="Arial" w:cs="Arial" w:eastAsia="Arial" w:hAnsi="Arial"/>
          <w:color w:val="444444"/>
          <w:sz w:val="18"/>
          <w:szCs w:val="18"/>
        </w:rPr>
        <w:t xml:space="preserve">[7] Husain, H. et al. (2019). CodeSearchNet Challenge: Evaluating the State of Semantic Code Search. arXiv:1909.09436.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SOTA Code Embedding Models — Comparative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2026-03-31T13:56:35.479Z</dcterms:created>
  <dcterms:modified xsi:type="dcterms:W3CDTF">2026-03-31T13:56:35.480Z</dcterms:modified>
</cp:coreProperties>
</file>

<file path=docProps/custom.xml><?xml version="1.0" encoding="utf-8"?>
<Properties xmlns="http://schemas.openxmlformats.org/officeDocument/2006/custom-properties" xmlns:vt="http://schemas.openxmlformats.org/officeDocument/2006/docPropsVTypes"/>
</file>