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Cardiovascular Clinical Sciences</w:t>
      </w:r>
    </w:p>
    <w:p>
      <w:pPr>
        <w:pStyle w:val="Title"/>
      </w:pPr>
      <w:r>
        <w:t xml:space="preserve">Data Management Plan</w:t>
      </w:r>
    </w:p>
    <w:p>
      <w:pPr>
        <w:spacing w:before="240"/>
        <w:jc w:val="center"/>
      </w:pPr>
      <w:r>
        <w:rPr>
          <w:rFonts w:ascii="Arial" w:cs="Arial" w:eastAsia="Arial" w:hAnsi="Arial"/>
          <w:b/>
          <w:bCs/>
          <w:sz w:val="28"/>
          <w:szCs w:val="28"/>
        </w:rPr>
        <w:t xml:space="preserve">HF-1002-CL-101</w:t>
      </w:r>
    </w:p>
    <w:p>
      <w:pPr>
        <w:spacing w:before="120"/>
        <w:jc w:val="center"/>
      </w:pPr>
      <w:r>
        <w:rPr>
          <w:rFonts w:ascii="Arial" w:cs="Arial" w:eastAsia="Arial" w:hAnsi="Arial"/>
          <w:sz w:val="24"/>
          <w:szCs w:val="24"/>
        </w:rPr>
        <w:t xml:space="preserve">A Phase 1, Open-Label, Sequential Dose-Escalation Study of a Single Intracoronary Infusion of HF-1002 in Adults with Nonischemic Cardiomyopathy and NYHA Class III Heart Failure</w:t>
      </w:r>
    </w:p>
    <w:p>
      <w:pPr>
        <w:spacing w:before="120"/>
        <w:jc w:val="center"/>
      </w:pPr>
      <w:r>
        <w:rPr>
          <w:rFonts w:ascii="Arial" w:cs="Arial" w:eastAsia="Arial" w:hAnsi="Arial"/>
          <w:sz w:val="22"/>
          <w:szCs w:val="22"/>
        </w:rPr>
        <w:t xml:space="preserve">Sponsor: Corvexa Therapeutics, Inc. (fictional)</w:t>
      </w:r>
    </w:p>
    <w:p>
      <w:pPr>
        <w:spacing w:before="240"/>
        <w:jc w:val="center"/>
      </w:pPr>
      <w:r>
        <w:rPr>
          <w:rFonts w:ascii="Arial" w:cs="Arial" w:eastAsia="Arial" w:hAnsi="Arial"/>
          <w:i/>
          <w:iCs/>
        </w:rPr>
        <w:t xml:space="preserve">Version 1.0</w:t>
      </w:r>
    </w:p>
    <w:p>
      <w:pPr>
        <w:spacing w:after="240" w:before="120"/>
        <w:jc w:val="center"/>
      </w:pPr>
      <w:r>
        <w:rPr>
          <w:rFonts w:ascii="Arial" w:cs="Arial" w:eastAsia="Arial" w:hAnsi="Arial"/>
          <w:i/>
          <w:iCs/>
        </w:rPr>
        <w:t xml:space="preserve">Effective Date: 06-Jun-2026</w:t>
      </w:r>
    </w:p>
    <w:p>
      <w:pPr>
        <w:spacing w:after="120" w:before="120"/>
        <w:jc w:val="center"/>
      </w:pPr>
      <w:r>
        <w:rPr>
          <w:rFonts w:ascii="Arial" w:cs="Arial" w:eastAsia="Arial" w:hAnsi="Arial"/>
          <w:b/>
          <w:bCs/>
          <w:color w:val="FF0000"/>
          <w:sz w:val="24"/>
          <w:szCs w:val="24"/>
        </w:rPr>
        <w:t xml:space="preserve">CONFIDENTIAL</w:t>
      </w:r>
    </w:p>
    <w:p>
      <w:pPr>
        <w:spacing w:before="120"/>
        <w:jc w:val="center"/>
      </w:pPr>
      <w:r>
        <w:rPr>
          <w:rFonts w:ascii="Arial" w:cs="Arial" w:eastAsia="Arial" w:hAnsi="Arial"/>
          <w:i/>
          <w:iCs/>
          <w:color w:val="808080"/>
          <w:sz w:val="18"/>
          <w:szCs w:val="18"/>
        </w:rPr>
        <w:t xml:space="preserve">FICTIONAL DOCUMENT — FOR DEMONSTRATION AND TRAINING ONLY</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numPr>
          <w:ilvl w:val="0"/>
          <w:numId w:val="2"/>
        </w:numPr>
      </w:pPr>
      <w:r>
        <w:rPr>
          <w:rFonts w:ascii="Arial" w:cs="Arial" w:eastAsia="Arial" w:hAnsi="Arial"/>
        </w:rPr>
        <w:t xml:space="preserve">PURPOSE AND SCOPE</w:t>
      </w:r>
    </w:p>
    <w:p>
      <w:pPr>
        <w:pStyle w:val="Heading2"/>
        <w:numPr>
          <w:ilvl w:val="1"/>
          <w:numId w:val="2"/>
        </w:numPr>
      </w:pPr>
      <w:r>
        <w:rPr>
          <w:rFonts w:ascii="Arial" w:cs="Arial" w:eastAsia="Arial" w:hAnsi="Arial"/>
        </w:rPr>
        <w:t xml:space="preserve">Purpose</w:t>
      </w:r>
    </w:p>
    <w:p>
      <w:pPr>
        <w:spacing w:after="120" w:line="276"/>
      </w:pPr>
      <w:r>
        <w:rPr>
          <w:rFonts w:ascii="Arial" w:cs="Arial" w:eastAsia="Arial" w:hAnsi="Arial"/>
          <w:sz w:val="22"/>
          <w:szCs w:val="22"/>
        </w:rPr>
        <w:t xml:space="preserve">This Data Management Plan (DMP) describes the data management activities for study HF-1002-CL-101: A Phase 1, Open-Label, Sequential Dose-Escalation Study of a Single Intracoronary Infusion of HF-1002 in Adults with Nonischemic Cardiomyopathy and NYHA Class III Heart Failure. It defines the processes, systems, and responsibilities for collecting, processing, validating, and managing clinical trial data in accordance with regulatory requirements and sponsor specifications.</w:t>
      </w:r>
    </w:p>
    <w:p>
      <w:pPr>
        <w:pStyle w:val="Heading2"/>
        <w:numPr>
          <w:ilvl w:val="1"/>
          <w:numId w:val="2"/>
        </w:numPr>
      </w:pPr>
      <w:r>
        <w:rPr>
          <w:rFonts w:ascii="Arial" w:cs="Arial" w:eastAsia="Arial" w:hAnsi="Arial"/>
        </w:rPr>
        <w:t xml:space="preserve">Scope</w:t>
      </w:r>
    </w:p>
    <w:p>
      <w:pPr>
        <w:spacing w:after="120" w:line="276"/>
      </w:pPr>
      <w:r>
        <w:rPr>
          <w:rFonts w:ascii="Arial" w:cs="Arial" w:eastAsia="Arial" w:hAnsi="Arial"/>
          <w:sz w:val="22"/>
          <w:szCs w:val="22"/>
        </w:rPr>
        <w:t xml:space="preserve">This DMP applies to all data management activities conducted by Cardiovascular Clinical Sciences (CCS) for study HF-1002-CL-101, including database design and development, data entry and validation, medical coding, query management, SAE reconciliation, database lock procedures, and data transfer and archiving.</w:t>
      </w:r>
    </w:p>
    <w:p>
      <w:pPr>
        <w:pStyle w:val="Heading2"/>
        <w:numPr>
          <w:ilvl w:val="1"/>
          <w:numId w:val="2"/>
        </w:numPr>
      </w:pPr>
      <w:r>
        <w:rPr>
          <w:rFonts w:ascii="Arial" w:cs="Arial" w:eastAsia="Arial" w:hAnsi="Arial"/>
        </w:rPr>
        <w:t xml:space="preserve">Applicable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Document Number</w:t>
            </w:r>
          </w:p>
        </w:tc>
        <w:tc>
          <w:tcPr>
            <w:tcW w:type="dxa" w:w="6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Document Title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HF-1002-CL-101</w:t>
            </w:r>
          </w:p>
        </w:tc>
        <w:tc>
          <w:tcPr>
            <w:tcW w:type="dxa" w:w="6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Study Protocol, Version 1.0 (06-Jun-2026)</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CCS CDM SOP 001</w:t>
            </w:r>
          </w:p>
        </w:tc>
        <w:tc>
          <w:tcPr>
            <w:tcW w:type="dxa" w:w="6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Clinical Data Management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CCS CDM SOP 005</w:t>
            </w:r>
          </w:p>
        </w:tc>
        <w:tc>
          <w:tcPr>
            <w:tcW w:type="dxa" w:w="6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Clinical Data Review</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CCS CDM SOP 006</w:t>
            </w:r>
          </w:p>
        </w:tc>
        <w:tc>
          <w:tcPr>
            <w:tcW w:type="dxa" w:w="6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Coding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CCS SAF SOP 001</w:t>
            </w:r>
          </w:p>
        </w:tc>
        <w:tc>
          <w:tcPr>
            <w:tcW w:type="dxa" w:w="6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Adverse Event Management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ICH E6(R3)</w:t>
            </w:r>
          </w:p>
        </w:tc>
        <w:tc>
          <w:tcPr>
            <w:tcW w:type="dxa" w:w="6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Good Clinical Practice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21 CFR Part 11</w:t>
            </w:r>
          </w:p>
        </w:tc>
        <w:tc>
          <w:tcPr>
            <w:tcW w:type="dxa" w:w="6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Electronic Records; Electronic Signatures</w:t>
            </w:r>
          </w:p>
        </w:tc>
      </w:tr>
    </w:tbl>
    <w:p>
      <w:pPr>
        <w:pStyle w:val="Heading1"/>
        <w:numPr>
          <w:ilvl w:val="0"/>
          <w:numId w:val="2"/>
        </w:numPr>
      </w:pPr>
      <w:r>
        <w:rPr>
          <w:rFonts w:ascii="Arial" w:cs="Arial" w:eastAsia="Arial" w:hAnsi="Arial"/>
        </w:rPr>
        <w:t xml:space="preserve">STUDY INFORMATION</w:t>
      </w:r>
    </w:p>
    <w:p>
      <w:pPr>
        <w:pStyle w:val="Heading2"/>
        <w:numPr>
          <w:ilvl w:val="1"/>
          <w:numId w:val="2"/>
        </w:numPr>
      </w:pPr>
      <w:r>
        <w:rPr>
          <w:rFonts w:ascii="Arial" w:cs="Arial" w:eastAsia="Arial" w:hAnsi="Arial"/>
        </w:rPr>
        <w:t xml:space="preserve">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Item</w:t>
            </w:r>
          </w:p>
        </w:tc>
        <w:tc>
          <w:tcPr>
            <w:tcW w:type="dxa" w:w="67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Description</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Protocol Number</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HF-1002-CL-101</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Protocol Title</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 Phase 1, Open-Label, Sequential Dose-Escalation Study of a Single Intracoronary Infusion of HF-1002 in Adults with Nonischemic Cardiomyopathy and NYHA Class III Heart Failure</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Sponsor</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Corvexa Therapeutics, Inc. (fictional)</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Phase</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1</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Indication</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Chronic nonischemic dilated cardiomyopathy, NYHA class III, LVEF 15–35%</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Study Design</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Open-label, single-arm, multicenter, sequential dose-escalation (3 dose cohorts) with a DLT window through Week 4 and safety review between cohorts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Investigational Product</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HF-1002 (rAAV-Cx encoding cI-1); single antegrade intracoronary infusion</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Planned Enrollment</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Up to 18 evaluable participants (up to 6 per cohort)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Number of Sites</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Up to 4 (USA)</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Study Duration</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12-month primary observation period per participant; long-term follow-up through Month 36</w:t>
            </w:r>
          </w:p>
        </w:tc>
      </w:tr>
    </w:tbl>
    <w:p>
      <w:pPr>
        <w:pStyle w:val="Heading2"/>
        <w:numPr>
          <w:ilvl w:val="1"/>
          <w:numId w:val="2"/>
        </w:numPr>
      </w:pPr>
      <w:r>
        <w:rPr>
          <w:rFonts w:ascii="Arial" w:cs="Arial" w:eastAsia="Arial" w:hAnsi="Arial"/>
        </w:rPr>
        <w:t xml:space="preserve">Protocol Amendments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Amendment</w:t>
            </w:r>
          </w:p>
        </w:tc>
        <w:tc>
          <w:tcPr>
            <w:tcW w:type="dxa" w:w="2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Effective Date</w:t>
            </w:r>
          </w:p>
        </w:tc>
        <w:tc>
          <w:tcPr>
            <w:tcW w:type="dxa" w:w="5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Summary of Changes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Original</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06-Jun-2026</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Initial protocol version</w:t>
            </w:r>
          </w:p>
        </w:tc>
      </w:tr>
    </w:tbl>
    <w:p>
      <w:pPr>
        <w:pStyle w:val="Heading2"/>
        <w:numPr>
          <w:ilvl w:val="1"/>
          <w:numId w:val="2"/>
        </w:numPr>
      </w:pPr>
      <w:r>
        <w:rPr>
          <w:rFonts w:ascii="Arial" w:cs="Arial" w:eastAsia="Arial" w:hAnsi="Arial"/>
        </w:rPr>
        <w:t xml:space="preserve">Study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Milestone</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Planned Date</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Actual Date</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First Subject First Visit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[FSFV date]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Database Go-Live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[date]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Cohort 1 DLT review</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[date]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Last Subject Last Visit (Month 12)</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[LSLV date]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Database Lock</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[DBL date]</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r>
    </w:tbl>
    <w:p>
      <w:pPr>
        <w:pStyle w:val="Heading1"/>
        <w:numPr>
          <w:ilvl w:val="0"/>
          <w:numId w:val="2"/>
        </w:numPr>
      </w:pPr>
      <w:r>
        <w:rPr>
          <w:rFonts w:ascii="Arial" w:cs="Arial" w:eastAsia="Arial" w:hAnsi="Arial"/>
        </w:rPr>
        <w:t xml:space="preserve">ROLES AND RESPONSIBILITIES</w:t>
      </w:r>
    </w:p>
    <w:p>
      <w:pPr>
        <w:pStyle w:val="Heading2"/>
        <w:numPr>
          <w:ilvl w:val="1"/>
          <w:numId w:val="2"/>
        </w:numPr>
      </w:pPr>
      <w:r>
        <w:rPr>
          <w:rFonts w:ascii="Arial" w:cs="Arial" w:eastAsia="Arial" w:hAnsi="Arial"/>
        </w:rPr>
        <w:t xml:space="preserve">CCS Study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Role</w:t>
            </w:r>
          </w:p>
        </w:tc>
        <w:tc>
          <w:tcPr>
            <w:tcW w:type="dxa" w:w="2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Name</w:t>
            </w:r>
          </w:p>
        </w:tc>
        <w:tc>
          <w:tcPr>
            <w:tcW w:type="dxa" w:w="47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Responsibilities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Project Manager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[name]</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Overall project oversight, sponsor communication, timeline management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Clinical Data Manager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[name]</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Database design, edit check development, data review, query management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Coder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[name]</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coding of AEs, medical history, and concomitant medications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Statistical Programmer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[name]</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 transfer specifications, CDISC mapping support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Database Administrator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[name]</w:t>
            </w:r>
          </w:p>
        </w:tc>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EDC system configuration, user access management</w:t>
            </w:r>
          </w:p>
        </w:tc>
      </w:tr>
    </w:tbl>
    <w:p>
      <w:pPr>
        <w:pStyle w:val="Heading2"/>
        <w:numPr>
          <w:ilvl w:val="1"/>
          <w:numId w:val="2"/>
        </w:numPr>
      </w:pPr>
      <w:r>
        <w:rPr>
          <w:rFonts w:ascii="Arial" w:cs="Arial" w:eastAsia="Arial" w:hAnsi="Arial"/>
        </w:rPr>
        <w:t xml:space="preserve">Sponsor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Role</w:t>
            </w:r>
          </w:p>
        </w:tc>
        <w:tc>
          <w:tcPr>
            <w:tcW w:type="dxa" w:w="31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Name</w:t>
            </w:r>
          </w:p>
        </w:tc>
        <w:tc>
          <w:tcPr>
            <w:tcW w:type="dxa" w:w="31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Contact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Monitor</w:t>
            </w:r>
          </w:p>
        </w:tc>
        <w:tc>
          <w:tcPr>
            <w:tcW w:type="dxa" w:w="31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[name]</w:t>
            </w:r>
          </w:p>
        </w:tc>
        <w:tc>
          <w:tcPr>
            <w:tcW w:type="dxa" w:w="31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[email]</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Sponsor Data Manager</w:t>
            </w:r>
          </w:p>
        </w:tc>
        <w:tc>
          <w:tcPr>
            <w:tcW w:type="dxa" w:w="31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[name]</w:t>
            </w:r>
          </w:p>
        </w:tc>
        <w:tc>
          <w:tcPr>
            <w:tcW w:type="dxa" w:w="31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[email]</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Biostatistician</w:t>
            </w:r>
          </w:p>
        </w:tc>
        <w:tc>
          <w:tcPr>
            <w:tcW w:type="dxa" w:w="31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[name]</w:t>
            </w:r>
          </w:p>
        </w:tc>
        <w:tc>
          <w:tcPr>
            <w:tcW w:type="dxa" w:w="31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[email]</w:t>
            </w:r>
          </w:p>
        </w:tc>
      </w:tr>
    </w:tbl>
    <w:p>
      <w:pPr>
        <w:pStyle w:val="Heading2"/>
        <w:numPr>
          <w:ilvl w:val="1"/>
          <w:numId w:val="2"/>
        </w:numPr>
      </w:pPr>
      <w:r>
        <w:rPr>
          <w:rFonts w:ascii="Arial" w:cs="Arial" w:eastAsia="Arial" w:hAnsi="Arial"/>
        </w:rPr>
        <w:t xml:space="preserve">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Activity</w:t>
            </w:r>
          </w:p>
        </w:tc>
        <w:tc>
          <w:tcPr>
            <w:tcW w:type="dxa" w:w="15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CCS CDM</w:t>
            </w:r>
          </w:p>
        </w:tc>
        <w:tc>
          <w:tcPr>
            <w:tcW w:type="dxa" w:w="15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CCS PM</w:t>
            </w:r>
          </w:p>
        </w:tc>
        <w:tc>
          <w:tcPr>
            <w:tcW w:type="dxa" w:w="15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Sponsor</w:t>
            </w:r>
          </w:p>
        </w:tc>
        <w:tc>
          <w:tcPr>
            <w:tcW w:type="dxa" w:w="15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Medical Monitor</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Database Design</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Edit Check Development</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Coding</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Query Resolution</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SAE Reconciliation</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Database Lock</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w:t>
            </w:r>
          </w:p>
        </w:tc>
      </w:tr>
    </w:tbl>
    <w:p>
      <w:pPr>
        <w:spacing w:after="120" w:line="276"/>
      </w:pPr>
      <w:r>
        <w:rPr>
          <w:rFonts w:ascii="Arial" w:cs="Arial" w:eastAsia="Arial" w:hAnsi="Arial"/>
          <w:sz w:val="22"/>
          <w:szCs w:val="22"/>
        </w:rPr>
        <w:t xml:space="preserve">R = Responsible, A = Accountable, C = Consulted, I = Informed.</w:t>
      </w:r>
    </w:p>
    <w:p>
      <w:pPr>
        <w:pStyle w:val="Heading1"/>
        <w:numPr>
          <w:ilvl w:val="0"/>
          <w:numId w:val="2"/>
        </w:numPr>
      </w:pPr>
      <w:r>
        <w:rPr>
          <w:rFonts w:ascii="Arial" w:cs="Arial" w:eastAsia="Arial" w:hAnsi="Arial"/>
        </w:rPr>
        <w:t xml:space="preserve">DATABASE DESIGN</w:t>
      </w:r>
    </w:p>
    <w:p>
      <w:pPr>
        <w:pStyle w:val="Heading2"/>
        <w:numPr>
          <w:ilvl w:val="1"/>
          <w:numId w:val="2"/>
        </w:numPr>
      </w:pPr>
      <w:r>
        <w:rPr>
          <w:rFonts w:ascii="Arial" w:cs="Arial" w:eastAsia="Arial" w:hAnsi="Arial"/>
        </w:rPr>
        <w:t xml:space="preserve">EDC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Item</w:t>
            </w:r>
          </w:p>
        </w:tc>
        <w:tc>
          <w:tcPr>
            <w:tcW w:type="dxa" w:w="67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Specification</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EDC System</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[EDC system — e.g., Medidata Rave / Veeva / Oracle Clinical; to be confirmed]</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Version</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[version]</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Hosting</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[hosting / validation details]</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21 CFR Part 11 Compliance</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Yes</w:t>
            </w:r>
          </w:p>
        </w:tc>
      </w:tr>
    </w:tbl>
    <w:p>
      <w:pPr>
        <w:pStyle w:val="Heading2"/>
        <w:numPr>
          <w:ilvl w:val="1"/>
          <w:numId w:val="2"/>
        </w:numPr>
      </w:pPr>
      <w:r>
        <w:rPr>
          <w:rFonts w:ascii="Arial" w:cs="Arial" w:eastAsia="Arial" w:hAnsi="Arial"/>
        </w:rPr>
        <w:t xml:space="preserve">Database Structure</w:t>
      </w:r>
    </w:p>
    <w:p>
      <w:pPr>
        <w:spacing w:after="120" w:line="276"/>
      </w:pPr>
      <w:r>
        <w:rPr>
          <w:rFonts w:ascii="Arial" w:cs="Arial" w:eastAsia="Arial" w:hAnsi="Arial"/>
          <w:sz w:val="22"/>
          <w:szCs w:val="22"/>
        </w:rPr>
        <w:t xml:space="preserve">The database will be designed based on the approved Case Report Form (CRF) and the protocol schedule of assessments, and will include the following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000"/>
        <w:gridCol w:w="1660"/>
      </w:tblGrid>
      <w:tr>
        <w:trPr>
          <w:tblHeader/>
        </w:trPr>
        <w:tc>
          <w:tcPr>
            <w:tcW w:type="dxa" w:w="27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Domain</w:t>
            </w:r>
          </w:p>
        </w:tc>
        <w:tc>
          <w:tcPr>
            <w:tcW w:type="dxa" w:w="5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Description</w:t>
            </w:r>
          </w:p>
        </w:tc>
        <w:tc>
          <w:tcPr>
            <w:tcW w:type="dxa" w:w="16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Number of Forms</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Demographics</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Subject demographics and baseline characteristics</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 Cardiac History</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Prior and current medical and cardiac conditions, NYHA class</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Concomitant Medications</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Prior and concomitant medications (incl. guideline-directed HF therapy)</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Study Drug Administration</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HF-1002 infusion details, dose (vg), administration procedure</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Adverse Events / DLT</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AE reporting, CTCAE grading, relatedness, DLT assessment</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Efficacy</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NYHA, LVEF (local + central), pVO2 (CPET), 6MWT, MLHFQ, KCCQ</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Laboratory</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Hematology, chemistry incl. liver function (ALT, AST, ALP, bilirubin)</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Biomarkers</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NT-proBNP/BNP, troponin I, complement C3/C4</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Immunogenicity</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Anti-AAV NAb titers; IFNγ ELISpot (capsid, transgene)</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Optional Cardiac Tissue</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Vector genome copies/diploid genome; PLN Ser16 phosphorylation</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r>
        <w:tc>
          <w:tcPr>
            <w:tcW w:type="dxa" w:w="2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Survival / Status</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Long-term follow-up telephone contacts (Months 18, 24, 30, 36)</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[N]</w:t>
            </w:r>
          </w:p>
        </w:tc>
      </w:tr>
    </w:tbl>
    <w:p>
      <w:pPr>
        <w:pStyle w:val="Heading2"/>
        <w:numPr>
          <w:ilvl w:val="1"/>
          <w:numId w:val="2"/>
        </w:numPr>
      </w:pPr>
      <w:r>
        <w:rPr>
          <w:rFonts w:ascii="Arial" w:cs="Arial" w:eastAsia="Arial" w:hAnsi="Arial"/>
        </w:rPr>
        <w:t xml:space="preserve">CRF Development</w:t>
      </w:r>
    </w:p>
    <w:p>
      <w:pPr>
        <w:pStyle w:val="ListParagraph"/>
        <w:numPr>
          <w:ilvl w:val="0"/>
          <w:numId w:val="3"/>
        </w:numPr>
        <w:spacing w:after="60" w:line="276"/>
      </w:pPr>
      <w:r>
        <w:rPr>
          <w:rFonts w:ascii="Arial" w:cs="Arial" w:eastAsia="Arial" w:hAnsi="Arial"/>
          <w:sz w:val="22"/>
          <w:szCs w:val="22"/>
        </w:rPr>
        <w:t xml:space="preserve">The CRF will be developed based on protocol Version 1.0 (06-Jun-2026) and will follow CDASH standards where applicable.</w:t>
      </w:r>
    </w:p>
    <w:p>
      <w:pPr>
        <w:pStyle w:val="ListParagraph"/>
        <w:numPr>
          <w:ilvl w:val="0"/>
          <w:numId w:val="3"/>
        </w:numPr>
        <w:spacing w:after="60" w:line="276"/>
      </w:pPr>
      <w:r>
        <w:rPr>
          <w:rFonts w:ascii="Arial" w:cs="Arial" w:eastAsia="Arial" w:hAnsi="Arial"/>
          <w:sz w:val="22"/>
          <w:szCs w:val="22"/>
        </w:rPr>
        <w:t xml:space="preserve">CRF annotations will be provided for SDTM mapping.</w:t>
      </w:r>
    </w:p>
    <w:p>
      <w:pPr>
        <w:pStyle w:val="ListParagraph"/>
        <w:numPr>
          <w:ilvl w:val="0"/>
          <w:numId w:val="3"/>
        </w:numPr>
        <w:spacing w:after="60" w:line="276"/>
      </w:pPr>
      <w:r>
        <w:rPr>
          <w:rFonts w:ascii="Arial" w:cs="Arial" w:eastAsia="Arial" w:hAnsi="Arial"/>
          <w:sz w:val="22"/>
          <w:szCs w:val="22"/>
        </w:rPr>
        <w:t xml:space="preserve">User acceptance testing (UAT) will be conducted prior to database go-live.</w:t>
      </w:r>
    </w:p>
    <w:p>
      <w:pPr>
        <w:pStyle w:val="Heading2"/>
        <w:numPr>
          <w:ilvl w:val="1"/>
          <w:numId w:val="2"/>
        </w:numPr>
      </w:pPr>
      <w:r>
        <w:rPr>
          <w:rFonts w:ascii="Arial" w:cs="Arial" w:eastAsia="Arial" w:hAnsi="Arial"/>
        </w:rPr>
        <w:t xml:space="preserve">Database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Version</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Effective Date</w:t>
            </w:r>
          </w:p>
        </w:tc>
        <w:tc>
          <w:tcPr>
            <w:tcW w:type="dxa" w:w="4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Summary of Changes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1.0</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[go-live date]</w:t>
            </w:r>
          </w:p>
        </w:tc>
        <w:tc>
          <w:tcPr>
            <w:tcW w:type="dxa" w:w="4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Initial database release</w:t>
            </w:r>
          </w:p>
        </w:tc>
      </w:tr>
    </w:tbl>
    <w:p>
      <w:pPr>
        <w:pStyle w:val="Heading1"/>
        <w:numPr>
          <w:ilvl w:val="0"/>
          <w:numId w:val="2"/>
        </w:numPr>
      </w:pPr>
      <w:r>
        <w:rPr>
          <w:rFonts w:ascii="Arial" w:cs="Arial" w:eastAsia="Arial" w:hAnsi="Arial"/>
        </w:rPr>
        <w:t xml:space="preserve">DATA ENTRY</w:t>
      </w:r>
    </w:p>
    <w:p>
      <w:pPr>
        <w:pStyle w:val="Heading2"/>
        <w:numPr>
          <w:ilvl w:val="1"/>
          <w:numId w:val="2"/>
        </w:numPr>
      </w:pPr>
      <w:r>
        <w:rPr>
          <w:rFonts w:ascii="Arial" w:cs="Arial" w:eastAsia="Arial" w:hAnsi="Arial"/>
        </w:rPr>
        <w:t xml:space="preserve">Data Entry Method</w:t>
      </w:r>
    </w:p>
    <w:p>
      <w:pPr>
        <w:pStyle w:val="ListParagraph"/>
        <w:numPr>
          <w:ilvl w:val="0"/>
          <w:numId w:val="3"/>
        </w:numPr>
        <w:spacing w:after="60" w:line="276"/>
      </w:pPr>
      <w:r>
        <w:rPr>
          <w:rFonts w:ascii="Arial" w:cs="Arial" w:eastAsia="Arial" w:hAnsi="Arial"/>
          <w:sz w:val="22"/>
          <w:szCs w:val="22"/>
        </w:rPr>
        <w:t xml:space="preserve">Primary data entry: direct site entry via the EDC system.</w:t>
      </w:r>
    </w:p>
    <w:p>
      <w:pPr>
        <w:pStyle w:val="ListParagraph"/>
        <w:numPr>
          <w:ilvl w:val="0"/>
          <w:numId w:val="3"/>
        </w:numPr>
        <w:spacing w:after="60" w:line="276"/>
      </w:pPr>
      <w:r>
        <w:rPr>
          <w:rFonts w:ascii="Arial" w:cs="Arial" w:eastAsia="Arial" w:hAnsi="Arial"/>
          <w:sz w:val="22"/>
          <w:szCs w:val="22"/>
        </w:rPr>
        <w:t xml:space="preserve">Double data entry: not applicable (EDC with real-time edit checks).</w:t>
      </w:r>
    </w:p>
    <w:p>
      <w:pPr>
        <w:pStyle w:val="Heading2"/>
        <w:numPr>
          <w:ilvl w:val="1"/>
          <w:numId w:val="2"/>
        </w:numPr>
      </w:pPr>
      <w:r>
        <w:rPr>
          <w:rFonts w:ascii="Arial" w:cs="Arial" w:eastAsia="Arial" w:hAnsi="Arial"/>
        </w:rPr>
        <w:t xml:space="preserve">Data Entry Guidelines</w:t>
      </w:r>
    </w:p>
    <w:p>
      <w:pPr>
        <w:pStyle w:val="ListParagraph"/>
        <w:numPr>
          <w:ilvl w:val="0"/>
          <w:numId w:val="3"/>
        </w:numPr>
        <w:spacing w:after="60" w:line="276"/>
      </w:pPr>
      <w:r>
        <w:rPr>
          <w:rFonts w:ascii="Arial" w:cs="Arial" w:eastAsia="Arial" w:hAnsi="Arial"/>
          <w:sz w:val="22"/>
          <w:szCs w:val="22"/>
        </w:rPr>
        <w:t xml:space="preserve">Sites will enter data within [X] business days of the subject visit.</w:t>
      </w:r>
    </w:p>
    <w:p>
      <w:pPr>
        <w:pStyle w:val="ListParagraph"/>
        <w:numPr>
          <w:ilvl w:val="0"/>
          <w:numId w:val="3"/>
        </w:numPr>
        <w:spacing w:after="60" w:line="276"/>
      </w:pPr>
      <w:r>
        <w:rPr>
          <w:rFonts w:ascii="Arial" w:cs="Arial" w:eastAsia="Arial" w:hAnsi="Arial"/>
          <w:sz w:val="22"/>
          <w:szCs w:val="22"/>
        </w:rPr>
        <w:t xml:space="preserve">All dates will be entered in DD-MMM-YYYY format.</w:t>
      </w:r>
    </w:p>
    <w:p>
      <w:pPr>
        <w:pStyle w:val="ListParagraph"/>
        <w:numPr>
          <w:ilvl w:val="0"/>
          <w:numId w:val="3"/>
        </w:numPr>
        <w:spacing w:after="60" w:line="276"/>
      </w:pPr>
      <w:r>
        <w:rPr>
          <w:rFonts w:ascii="Arial" w:cs="Arial" w:eastAsia="Arial" w:hAnsi="Arial"/>
          <w:sz w:val="22"/>
          <w:szCs w:val="22"/>
        </w:rPr>
        <w:t xml:space="preserve">Partial dates will be handled per the edit check specification.</w:t>
      </w:r>
    </w:p>
    <w:p>
      <w:pPr>
        <w:pStyle w:val="ListParagraph"/>
        <w:numPr>
          <w:ilvl w:val="0"/>
          <w:numId w:val="3"/>
        </w:numPr>
        <w:spacing w:after="60" w:line="276"/>
      </w:pPr>
      <w:r>
        <w:rPr>
          <w:rFonts w:ascii="Arial" w:cs="Arial" w:eastAsia="Arial" w:hAnsi="Arial"/>
          <w:sz w:val="22"/>
          <w:szCs w:val="22"/>
        </w:rPr>
        <w:t xml:space="preserve">Free-text fields should use standard medical terminology.</w:t>
      </w:r>
    </w:p>
    <w:p>
      <w:pPr>
        <w:pStyle w:val="Heading2"/>
        <w:numPr>
          <w:ilvl w:val="1"/>
          <w:numId w:val="2"/>
        </w:numPr>
      </w:pPr>
      <w:r>
        <w:rPr>
          <w:rFonts w:ascii="Arial" w:cs="Arial" w:eastAsia="Arial" w:hAnsi="Arial"/>
        </w:rPr>
        <w:t xml:space="preserve">User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Role</w:t>
            </w:r>
          </w:p>
        </w:tc>
        <w:tc>
          <w:tcPr>
            <w:tcW w:type="dxa" w:w="2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Access Level</w:t>
            </w:r>
          </w:p>
        </w:tc>
        <w:tc>
          <w:tcPr>
            <w:tcW w:type="dxa" w:w="4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Description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Site Investigator</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Read/Write</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All forms for their site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Site Coordinator</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Read/Write</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All forms for their site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CCS CDM</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Read/Write</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All forms, all sites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Sponsor Data Manager</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Read Only</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All forms, all sites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Monitor</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Read Only</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Safety data, all sites</w:t>
            </w:r>
          </w:p>
        </w:tc>
      </w:tr>
    </w:tbl>
    <w:p>
      <w:pPr>
        <w:pStyle w:val="Heading1"/>
        <w:numPr>
          <w:ilvl w:val="0"/>
          <w:numId w:val="2"/>
        </w:numPr>
      </w:pPr>
      <w:r>
        <w:rPr>
          <w:rFonts w:ascii="Arial" w:cs="Arial" w:eastAsia="Arial" w:hAnsi="Arial"/>
        </w:rPr>
        <w:t xml:space="preserve">DATA VALIDATION (EDIT CHECKS)</w:t>
      </w:r>
    </w:p>
    <w:p>
      <w:pPr>
        <w:pStyle w:val="Heading2"/>
        <w:numPr>
          <w:ilvl w:val="1"/>
          <w:numId w:val="2"/>
        </w:numPr>
      </w:pPr>
      <w:r>
        <w:rPr>
          <w:rFonts w:ascii="Arial" w:cs="Arial" w:eastAsia="Arial" w:hAnsi="Arial"/>
        </w:rPr>
        <w:t xml:space="preserve">Edit Check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660"/>
      </w:tblGrid>
      <w:tr>
        <w:trPr>
          <w:tblHeader/>
        </w:trPr>
        <w:tc>
          <w:tcPr>
            <w:tcW w:type="dxa" w:w="2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Category</w:t>
            </w:r>
          </w:p>
        </w:tc>
        <w:tc>
          <w:tcPr>
            <w:tcW w:type="dxa" w:w="51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Description</w:t>
            </w:r>
          </w:p>
        </w:tc>
        <w:tc>
          <w:tcPr>
            <w:tcW w:type="dxa" w:w="16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Query Type</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Range Checks</w:t>
            </w:r>
          </w:p>
        </w:tc>
        <w:tc>
          <w:tcPr>
            <w:tcW w:type="dxa" w:w="51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Values outside expected ranges</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Auto-query</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Consistency Checks</w:t>
            </w:r>
          </w:p>
        </w:tc>
        <w:tc>
          <w:tcPr>
            <w:tcW w:type="dxa" w:w="51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Cross-form data consistency</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Auto-query</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Date Logic</w:t>
            </w:r>
          </w:p>
        </w:tc>
        <w:tc>
          <w:tcPr>
            <w:tcW w:type="dxa" w:w="51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Chronological date validation (e.g., infusion on Day 1, DLT window)</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Auto-query</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Conditional Logic</w:t>
            </w:r>
          </w:p>
        </w:tc>
        <w:tc>
          <w:tcPr>
            <w:tcW w:type="dxa" w:w="51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Required fields based on responses</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Soft/Hard edit</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Liver Function Alerts</w:t>
            </w:r>
          </w:p>
        </w:tc>
        <w:tc>
          <w:tcPr>
            <w:tcW w:type="dxa" w:w="51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ALT/AST/bilirubin elevations aligned to the DLT definition</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Auto-query + flag</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External Data</w:t>
            </w:r>
          </w:p>
        </w:tc>
        <w:tc>
          <w:tcPr>
            <w:tcW w:type="dxa" w:w="51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Lab, central echo, and immunology discrepancies</w:t>
            </w:r>
          </w:p>
        </w:tc>
        <w:tc>
          <w:tcPr>
            <w:tcW w:type="dxa" w:w="1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Manual query</w:t>
            </w:r>
          </w:p>
        </w:tc>
      </w:tr>
    </w:tbl>
    <w:p>
      <w:pPr>
        <w:pStyle w:val="Heading2"/>
        <w:numPr>
          <w:ilvl w:val="1"/>
          <w:numId w:val="2"/>
        </w:numPr>
      </w:pPr>
      <w:r>
        <w:rPr>
          <w:rFonts w:ascii="Arial" w:cs="Arial" w:eastAsia="Arial" w:hAnsi="Arial"/>
        </w:rPr>
        <w:t xml:space="preserve">Edit Check Development</w:t>
      </w:r>
    </w:p>
    <w:p>
      <w:pPr>
        <w:pStyle w:val="ListParagraph"/>
        <w:numPr>
          <w:ilvl w:val="0"/>
          <w:numId w:val="3"/>
        </w:numPr>
        <w:spacing w:after="60" w:line="276"/>
      </w:pPr>
      <w:r>
        <w:rPr>
          <w:rFonts w:ascii="Arial" w:cs="Arial" w:eastAsia="Arial" w:hAnsi="Arial"/>
          <w:sz w:val="22"/>
          <w:szCs w:val="22"/>
        </w:rPr>
        <w:t xml:space="preserve">Edit checks will be developed based on the Edit Check Specification document and tested during UAT prior to database go-live.</w:t>
      </w:r>
    </w:p>
    <w:p>
      <w:pPr>
        <w:pStyle w:val="ListParagraph"/>
        <w:numPr>
          <w:ilvl w:val="0"/>
          <w:numId w:val="3"/>
        </w:numPr>
        <w:spacing w:after="60" w:line="276"/>
      </w:pPr>
      <w:r>
        <w:rPr>
          <w:rFonts w:ascii="Arial" w:cs="Arial" w:eastAsia="Arial" w:hAnsi="Arial"/>
          <w:sz w:val="22"/>
          <w:szCs w:val="22"/>
        </w:rPr>
        <w:t xml:space="preserve">Edit check modifications will require sponsor approval.</w:t>
      </w:r>
    </w:p>
    <w:p>
      <w:pPr>
        <w:pStyle w:val="ListParagraph"/>
        <w:numPr>
          <w:ilvl w:val="0"/>
          <w:numId w:val="3"/>
        </w:numPr>
        <w:spacing w:after="60" w:line="276"/>
      </w:pPr>
      <w:r>
        <w:rPr>
          <w:rFonts w:ascii="Arial" w:cs="Arial" w:eastAsia="Arial" w:hAnsi="Arial"/>
          <w:sz w:val="22"/>
          <w:szCs w:val="22"/>
        </w:rPr>
        <w:t xml:space="preserve">A protocol-specific liver-function alert will flag values meeting the Grade ≥3 hepatotoxicity DLT criterion (ALT or AST &gt;5× ULN, or &gt;3× ULN with total bilirubin &gt;2× ULN) for expedited medical review.</w:t>
      </w:r>
    </w:p>
    <w:p>
      <w:pPr>
        <w:pStyle w:val="Heading2"/>
        <w:numPr>
          <w:ilvl w:val="1"/>
          <w:numId w:val="2"/>
        </w:numPr>
      </w:pPr>
      <w:r>
        <w:rPr>
          <w:rFonts w:ascii="Arial" w:cs="Arial" w:eastAsia="Arial" w:hAnsi="Arial"/>
        </w:rPr>
        <w:t xml:space="preserve">Query Text Conventions</w:t>
      </w:r>
    </w:p>
    <w:p>
      <w:pPr>
        <w:pStyle w:val="ListParagraph"/>
        <w:numPr>
          <w:ilvl w:val="0"/>
          <w:numId w:val="3"/>
        </w:numPr>
        <w:spacing w:after="60" w:line="276"/>
      </w:pPr>
      <w:r>
        <w:rPr>
          <w:rFonts w:ascii="Arial" w:cs="Arial" w:eastAsia="Arial" w:hAnsi="Arial"/>
          <w:sz w:val="22"/>
          <w:szCs w:val="22"/>
        </w:rPr>
        <w:t xml:space="preserve">Queries will use standardized, clear, specific, and actionable text that references the specific data point in question.</w:t>
      </w:r>
    </w:p>
    <w:p>
      <w:pPr>
        <w:pStyle w:val="Heading2"/>
        <w:numPr>
          <w:ilvl w:val="1"/>
          <w:numId w:val="2"/>
        </w:numPr>
      </w:pPr>
      <w:r>
        <w:rPr>
          <w:rFonts w:ascii="Arial" w:cs="Arial" w:eastAsia="Arial" w:hAnsi="Arial"/>
        </w:rPr>
        <w:t xml:space="preserve">Edit Check Specification Reference</w:t>
      </w:r>
    </w:p>
    <w:p>
      <w:pPr>
        <w:spacing w:after="120" w:line="276"/>
      </w:pPr>
      <w:r>
        <w:rPr>
          <w:rFonts w:ascii="Arial" w:cs="Arial" w:eastAsia="Arial" w:hAnsi="Arial"/>
          <w:i/>
          <w:iCs/>
          <w:color w:val="808080"/>
          <w:sz w:val="22"/>
          <w:szCs w:val="22"/>
        </w:rPr>
        <w:t xml:space="preserve">Edit Check Specification: [document reference]</w:t>
      </w:r>
    </w:p>
    <w:p>
      <w:pPr>
        <w:pStyle w:val="Heading1"/>
        <w:numPr>
          <w:ilvl w:val="0"/>
          <w:numId w:val="2"/>
        </w:numPr>
      </w:pPr>
      <w:r>
        <w:rPr>
          <w:rFonts w:ascii="Arial" w:cs="Arial" w:eastAsia="Arial" w:hAnsi="Arial"/>
        </w:rPr>
        <w:t xml:space="preserve">MEDICAL CODING</w:t>
      </w:r>
    </w:p>
    <w:p>
      <w:pPr>
        <w:pStyle w:val="Heading2"/>
        <w:numPr>
          <w:ilvl w:val="1"/>
          <w:numId w:val="2"/>
        </w:numPr>
      </w:pPr>
      <w:r>
        <w:rPr>
          <w:rFonts w:ascii="Arial" w:cs="Arial" w:eastAsia="Arial" w:hAnsi="Arial"/>
        </w:rPr>
        <w:t xml:space="preserve">Coding Dictionaries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60"/>
      </w:tblGrid>
      <w:tr>
        <w:trPr>
          <w:tblHeader/>
        </w:trPr>
        <w:tc>
          <w:tcPr>
            <w:tcW w:type="dxa" w:w="2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Dictionary</w:t>
            </w:r>
          </w:p>
        </w:tc>
        <w:tc>
          <w:tcPr>
            <w:tcW w:type="dxa" w:w="19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Version</w:t>
            </w:r>
          </w:p>
        </w:tc>
        <w:tc>
          <w:tcPr>
            <w:tcW w:type="dxa" w:w="19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Effective Date</w:t>
            </w:r>
          </w:p>
        </w:tc>
        <w:tc>
          <w:tcPr>
            <w:tcW w:type="dxa" w:w="29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Data Coded</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MedDRA</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[version at DBL]</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[date]</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Adverse events, medical history</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WHODrug Global</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[version]</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[date]</w:t>
            </w:r>
          </w:p>
        </w:tc>
        <w:tc>
          <w:tcPr>
            <w:tcW w:type="dxa" w:w="29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Concomitant medications</w:t>
            </w:r>
          </w:p>
        </w:tc>
      </w:tr>
    </w:tbl>
    <w:p>
      <w:pPr>
        <w:pStyle w:val="Heading2"/>
        <w:numPr>
          <w:ilvl w:val="1"/>
          <w:numId w:val="2"/>
        </w:numPr>
      </w:pPr>
      <w:r>
        <w:rPr>
          <w:rFonts w:ascii="Arial" w:cs="Arial" w:eastAsia="Arial" w:hAnsi="Arial"/>
        </w:rPr>
        <w:t xml:space="preserve">Coding Conventions</w:t>
      </w:r>
    </w:p>
    <w:p>
      <w:pPr>
        <w:spacing w:after="120" w:line="276"/>
      </w:pPr>
      <w:r>
        <w:rPr>
          <w:rFonts w:ascii="Arial" w:cs="Arial" w:eastAsia="Arial" w:hAnsi="Arial"/>
          <w:b/>
          <w:bCs/>
          <w:sz w:val="22"/>
          <w:szCs w:val="22"/>
        </w:rPr>
        <w:t xml:space="preserve">Adverse Events and Medical History (MedDRA):</w:t>
      </w:r>
      <w:r>
        <w:rPr>
          <w:rFonts w:ascii="Arial" w:cs="Arial" w:eastAsia="Arial" w:hAnsi="Arial"/>
          <w:sz w:val="22"/>
          <w:szCs w:val="22"/>
        </w:rPr>
        <w:t xml:space="preserve"> code to the Lowest Level Term (LLT) closest to verbatim; use the primary System Organ Class (SOC) unless clinical context indicates otherwise; corresponding Preferred Term (PT) and SOC are auto-assigned.</w:t>
      </w:r>
    </w:p>
    <w:p>
      <w:pPr>
        <w:spacing w:after="120" w:line="276"/>
      </w:pPr>
      <w:r>
        <w:rPr>
          <w:rFonts w:ascii="Arial" w:cs="Arial" w:eastAsia="Arial" w:hAnsi="Arial"/>
          <w:b/>
          <w:bCs/>
          <w:sz w:val="22"/>
          <w:szCs w:val="22"/>
        </w:rPr>
        <w:t xml:space="preserve">Concomitant Medications (WHODrug):</w:t>
      </w:r>
      <w:r>
        <w:rPr>
          <w:rFonts w:ascii="Arial" w:cs="Arial" w:eastAsia="Arial" w:hAnsi="Arial"/>
          <w:sz w:val="22"/>
          <w:szCs w:val="22"/>
        </w:rPr>
        <w:t xml:space="preserve"> code to drug name, formulation, and strength when available; ATC classification auto-assigned; generic names preferred when brand name unknown.</w:t>
      </w:r>
    </w:p>
    <w:p>
      <w:pPr>
        <w:pStyle w:val="Heading2"/>
        <w:numPr>
          <w:ilvl w:val="1"/>
          <w:numId w:val="2"/>
        </w:numPr>
      </w:pPr>
      <w:r>
        <w:rPr>
          <w:rFonts w:ascii="Arial" w:cs="Arial" w:eastAsia="Arial" w:hAnsi="Arial"/>
        </w:rPr>
        <w:t xml:space="preserve">Coding Workflow</w:t>
      </w:r>
    </w:p>
    <w:p>
      <w:pPr>
        <w:pStyle w:val="ListParagraph"/>
        <w:numPr>
          <w:ilvl w:val="0"/>
          <w:numId w:val="3"/>
        </w:numPr>
        <w:spacing w:after="60" w:line="276"/>
      </w:pPr>
      <w:r>
        <w:rPr>
          <w:rFonts w:ascii="Arial" w:cs="Arial" w:eastAsia="Arial" w:hAnsi="Arial"/>
          <w:sz w:val="22"/>
          <w:szCs w:val="22"/>
        </w:rPr>
        <w:t xml:space="preserve">Auto-coding attempted for all verbatim terms.</w:t>
      </w:r>
    </w:p>
    <w:p>
      <w:pPr>
        <w:pStyle w:val="ListParagraph"/>
        <w:numPr>
          <w:ilvl w:val="0"/>
          <w:numId w:val="3"/>
        </w:numPr>
        <w:spacing w:after="60" w:line="276"/>
      </w:pPr>
      <w:r>
        <w:rPr>
          <w:rFonts w:ascii="Arial" w:cs="Arial" w:eastAsia="Arial" w:hAnsi="Arial"/>
          <w:sz w:val="22"/>
          <w:szCs w:val="22"/>
        </w:rPr>
        <w:t xml:space="preserve">Terms failing auto-coding routed for manual coding by the Medical Coder within [X] business days.</w:t>
      </w:r>
    </w:p>
    <w:p>
      <w:pPr>
        <w:pStyle w:val="ListParagraph"/>
        <w:numPr>
          <w:ilvl w:val="0"/>
          <w:numId w:val="3"/>
        </w:numPr>
        <w:spacing w:after="60" w:line="276"/>
      </w:pPr>
      <w:r>
        <w:rPr>
          <w:rFonts w:ascii="Arial" w:cs="Arial" w:eastAsia="Arial" w:hAnsi="Arial"/>
          <w:sz w:val="22"/>
          <w:szCs w:val="22"/>
        </w:rPr>
        <w:t xml:space="preserve">QC review of coded terms.</w:t>
      </w:r>
    </w:p>
    <w:p>
      <w:pPr>
        <w:pStyle w:val="ListParagraph"/>
        <w:numPr>
          <w:ilvl w:val="0"/>
          <w:numId w:val="3"/>
        </w:numPr>
        <w:spacing w:after="60" w:line="276"/>
      </w:pPr>
      <w:r>
        <w:rPr>
          <w:rFonts w:ascii="Arial" w:cs="Arial" w:eastAsia="Arial" w:hAnsi="Arial"/>
          <w:sz w:val="22"/>
          <w:szCs w:val="22"/>
        </w:rPr>
        <w:t xml:space="preserve">Medical Monitor review at defined intervals.</w:t>
      </w:r>
    </w:p>
    <w:p>
      <w:pPr>
        <w:pStyle w:val="ListParagraph"/>
        <w:numPr>
          <w:ilvl w:val="0"/>
          <w:numId w:val="3"/>
        </w:numPr>
        <w:spacing w:after="60" w:line="276"/>
      </w:pPr>
      <w:r>
        <w:rPr>
          <w:rFonts w:ascii="Arial" w:cs="Arial" w:eastAsia="Arial" w:hAnsi="Arial"/>
          <w:sz w:val="22"/>
          <w:szCs w:val="22"/>
        </w:rPr>
        <w:t xml:space="preserve">Final coding approval prior to database lock.</w:t>
      </w:r>
    </w:p>
    <w:p>
      <w:pPr>
        <w:pStyle w:val="Heading2"/>
        <w:numPr>
          <w:ilvl w:val="1"/>
          <w:numId w:val="2"/>
        </w:numPr>
      </w:pPr>
      <w:r>
        <w:rPr>
          <w:rFonts w:ascii="Arial" w:cs="Arial" w:eastAsia="Arial" w:hAnsi="Arial"/>
        </w:rPr>
        <w:t xml:space="preserve">Coding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Milestone</w:t>
            </w:r>
          </w:p>
        </w:tc>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Coding Review Activity</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25% enrollment</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Initial coding review</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50% enrollment</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Interim coding review</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75% enrollment</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Pre-lock coding review</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Pre-DBL</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Final coding approval</w:t>
            </w:r>
          </w:p>
        </w:tc>
      </w:tr>
    </w:tbl>
    <w:p>
      <w:pPr>
        <w:spacing w:after="120" w:line="276"/>
      </w:pPr>
      <w:r>
        <w:rPr>
          <w:rFonts w:ascii="Arial" w:cs="Arial" w:eastAsia="Arial" w:hAnsi="Arial"/>
          <w:sz w:val="22"/>
          <w:szCs w:val="22"/>
        </w:rPr>
        <w:t xml:space="preserve">Reference: CCS CDM SOP 006 (Medical Coding).</w:t>
      </w:r>
    </w:p>
    <w:p>
      <w:pPr>
        <w:pStyle w:val="Heading1"/>
        <w:numPr>
          <w:ilvl w:val="0"/>
          <w:numId w:val="2"/>
        </w:numPr>
      </w:pPr>
      <w:r>
        <w:rPr>
          <w:rFonts w:ascii="Arial" w:cs="Arial" w:eastAsia="Arial" w:hAnsi="Arial"/>
        </w:rPr>
        <w:t xml:space="preserve">DATA REVIEW AND QUERY MANAGEMENT</w:t>
      </w:r>
    </w:p>
    <w:p>
      <w:pPr>
        <w:pStyle w:val="Heading2"/>
        <w:numPr>
          <w:ilvl w:val="1"/>
          <w:numId w:val="2"/>
        </w:numPr>
      </w:pPr>
      <w:r>
        <w:rPr>
          <w:rFonts w:ascii="Arial" w:cs="Arial" w:eastAsia="Arial" w:hAnsi="Arial"/>
        </w:rPr>
        <w:t xml:space="preserve">Data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Activity</w:t>
            </w:r>
          </w:p>
        </w:tc>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Frequency</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Auto-generated query review</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Daily</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Manual data review</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Weekly</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Cross-form consistency review</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Bi-weekly</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review</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Monthly</w:t>
            </w:r>
          </w:p>
        </w:tc>
      </w:tr>
    </w:tbl>
    <w:p>
      <w:pPr>
        <w:pStyle w:val="Heading2"/>
        <w:numPr>
          <w:ilvl w:val="1"/>
          <w:numId w:val="2"/>
        </w:numPr>
      </w:pPr>
      <w:r>
        <w:rPr>
          <w:rFonts w:ascii="Arial" w:cs="Arial" w:eastAsia="Arial" w:hAnsi="Arial"/>
        </w:rPr>
        <w:t xml:space="preserve">Query Management</w:t>
      </w:r>
    </w:p>
    <w:p>
      <w:pPr>
        <w:pStyle w:val="ListParagraph"/>
        <w:numPr>
          <w:ilvl w:val="0"/>
          <w:numId w:val="3"/>
        </w:numPr>
        <w:spacing w:after="60" w:line="276"/>
      </w:pPr>
      <w:r>
        <w:rPr>
          <w:rFonts w:ascii="Arial" w:cs="Arial" w:eastAsia="Arial" w:hAnsi="Arial"/>
          <w:sz w:val="22"/>
          <w:szCs w:val="22"/>
        </w:rPr>
        <w:t xml:space="preserve">Queries are generated automatically based on edit checks; manual queries are created for issues not captured by edit checks.</w:t>
      </w:r>
    </w:p>
    <w:p>
      <w:pPr>
        <w:pStyle w:val="ListParagraph"/>
        <w:numPr>
          <w:ilvl w:val="0"/>
          <w:numId w:val="3"/>
        </w:numPr>
        <w:spacing w:after="60" w:line="276"/>
      </w:pPr>
      <w:r>
        <w:rPr>
          <w:rFonts w:ascii="Arial" w:cs="Arial" w:eastAsia="Arial" w:hAnsi="Arial"/>
          <w:sz w:val="22"/>
          <w:szCs w:val="22"/>
        </w:rPr>
        <w:t xml:space="preserve">Query aging reports are generated weekly; escalation per CCS CDM SOP 005.</w:t>
      </w:r>
    </w:p>
    <w:p>
      <w:pPr>
        <w:pStyle w:val="Heading2"/>
        <w:numPr>
          <w:ilvl w:val="1"/>
          <w:numId w:val="2"/>
        </w:numPr>
      </w:pPr>
      <w:r>
        <w:rPr>
          <w:rFonts w:ascii="Arial" w:cs="Arial" w:eastAsia="Arial" w:hAnsi="Arial"/>
        </w:rPr>
        <w:t xml:space="preserve">Query Resolution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Query Age</w:t>
            </w:r>
          </w:p>
        </w:tc>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Action</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0–7 days</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Standard resolution period</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8–14 days</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First reminder to site</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15–21 days</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Escalation to PM</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&gt;21 days</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Sponsor notification</w:t>
            </w:r>
          </w:p>
        </w:tc>
      </w:tr>
    </w:tbl>
    <w:p>
      <w:pPr>
        <w:pStyle w:val="Heading2"/>
        <w:numPr>
          <w:ilvl w:val="1"/>
          <w:numId w:val="2"/>
        </w:numPr>
      </w:pPr>
      <w:r>
        <w:rPr>
          <w:rFonts w:ascii="Arial" w:cs="Arial" w:eastAsia="Arial" w:hAnsi="Arial"/>
        </w:rPr>
        <w:t xml:space="preserve">Data Review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Listing</w:t>
            </w:r>
          </w:p>
        </w:tc>
        <w:tc>
          <w:tcPr>
            <w:tcW w:type="dxa" w:w="2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Frequency</w:t>
            </w:r>
          </w:p>
        </w:tc>
        <w:tc>
          <w:tcPr>
            <w:tcW w:type="dxa" w:w="4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Recipients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Open Query Report</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Weekly</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 PM, Sponsor</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Query Aging Report</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Weekly</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 PM</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Patient Profile</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As needed</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Monitor, Safety Review Committee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 Discrepancy Listing</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Bi-weekly</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w:t>
            </w:r>
          </w:p>
        </w:tc>
      </w:tr>
    </w:tbl>
    <w:p>
      <w:pPr>
        <w:pStyle w:val="Heading1"/>
        <w:numPr>
          <w:ilvl w:val="0"/>
          <w:numId w:val="2"/>
        </w:numPr>
      </w:pPr>
      <w:r>
        <w:rPr>
          <w:rFonts w:ascii="Arial" w:cs="Arial" w:eastAsia="Arial" w:hAnsi="Arial"/>
        </w:rPr>
        <w:t xml:space="preserve">SAE RECONCILIATION</w:t>
      </w:r>
    </w:p>
    <w:p>
      <w:pPr>
        <w:pStyle w:val="Heading2"/>
        <w:numPr>
          <w:ilvl w:val="1"/>
          <w:numId w:val="2"/>
        </w:numPr>
      </w:pPr>
      <w:r>
        <w:rPr>
          <w:rFonts w:ascii="Arial" w:cs="Arial" w:eastAsia="Arial" w:hAnsi="Arial"/>
        </w:rPr>
        <w:t xml:space="preserve">Reconciliation Process</w:t>
      </w:r>
    </w:p>
    <w:p>
      <w:pPr>
        <w:spacing w:after="120" w:line="276"/>
      </w:pPr>
      <w:r>
        <w:rPr>
          <w:rFonts w:ascii="Arial" w:cs="Arial" w:eastAsia="Arial" w:hAnsi="Arial"/>
          <w:sz w:val="22"/>
          <w:szCs w:val="22"/>
        </w:rPr>
        <w:t xml:space="preserve">SAE reconciliation will be performed between the clinical database and the safety database to ensure consistency of SAE occurrence and coding, event dates, causality assessments, and outcome information. Deaths, cardiac-related hospitalizations, cardiac transplantation, and LVAD implantation are included in scope.</w:t>
      </w:r>
    </w:p>
    <w:p>
      <w:pPr>
        <w:pStyle w:val="Heading2"/>
        <w:numPr>
          <w:ilvl w:val="1"/>
          <w:numId w:val="2"/>
        </w:numPr>
      </w:pPr>
      <w:r>
        <w:rPr>
          <w:rFonts w:ascii="Arial" w:cs="Arial" w:eastAsia="Arial" w:hAnsi="Arial"/>
        </w:rPr>
        <w:t xml:space="preserve">Reconciliation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Milestone</w:t>
            </w:r>
          </w:p>
        </w:tc>
        <w:tc>
          <w:tcPr>
            <w:tcW w:type="dxa" w:w="6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Reconciliation Activity</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Monthly</w:t>
            </w:r>
          </w:p>
        </w:tc>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Ongoing reconciliation</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Pre-Safety Review Committee</w:t>
            </w:r>
          </w:p>
        </w:tc>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Complete reconciliation prior to each escalation review</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Pre-DBL</w:t>
            </w:r>
          </w:p>
        </w:tc>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Final reconciliation and sign-off</w:t>
            </w:r>
          </w:p>
        </w:tc>
      </w:tr>
    </w:tbl>
    <w:p>
      <w:pPr>
        <w:pStyle w:val="Heading2"/>
        <w:numPr>
          <w:ilvl w:val="1"/>
          <w:numId w:val="2"/>
        </w:numPr>
      </w:pPr>
      <w:r>
        <w:rPr>
          <w:rFonts w:ascii="Arial" w:cs="Arial" w:eastAsia="Arial" w:hAnsi="Arial"/>
        </w:rPr>
        <w:t xml:space="preserve">Discrepancy Resolution</w:t>
      </w:r>
    </w:p>
    <w:p>
      <w:pPr>
        <w:pStyle w:val="ListParagraph"/>
        <w:numPr>
          <w:ilvl w:val="0"/>
          <w:numId w:val="3"/>
        </w:numPr>
        <w:spacing w:after="60" w:line="276"/>
      </w:pPr>
      <w:r>
        <w:rPr>
          <w:rFonts w:ascii="Arial" w:cs="Arial" w:eastAsia="Arial" w:hAnsi="Arial"/>
          <w:sz w:val="22"/>
          <w:szCs w:val="22"/>
        </w:rPr>
        <w:t xml:space="preserve">Discrepancies documented in the reconciliation log.</w:t>
      </w:r>
    </w:p>
    <w:p>
      <w:pPr>
        <w:pStyle w:val="ListParagraph"/>
        <w:numPr>
          <w:ilvl w:val="0"/>
          <w:numId w:val="3"/>
        </w:numPr>
        <w:spacing w:after="60" w:line="276"/>
      </w:pPr>
      <w:r>
        <w:rPr>
          <w:rFonts w:ascii="Arial" w:cs="Arial" w:eastAsia="Arial" w:hAnsi="Arial"/>
          <w:sz w:val="22"/>
          <w:szCs w:val="22"/>
        </w:rPr>
        <w:t xml:space="preserve">Clinical database serves as source for event occurrence; safety database serves as source for regulatory coding.</w:t>
      </w:r>
    </w:p>
    <w:p>
      <w:pPr>
        <w:pStyle w:val="ListParagraph"/>
        <w:numPr>
          <w:ilvl w:val="0"/>
          <w:numId w:val="3"/>
        </w:numPr>
        <w:spacing w:after="60" w:line="276"/>
      </w:pPr>
      <w:r>
        <w:rPr>
          <w:rFonts w:ascii="Arial" w:cs="Arial" w:eastAsia="Arial" w:hAnsi="Arial"/>
          <w:sz w:val="22"/>
          <w:szCs w:val="22"/>
        </w:rPr>
        <w:t xml:space="preserve">Resolution within [X] business days.</w:t>
      </w:r>
    </w:p>
    <w:p>
      <w:pPr>
        <w:spacing w:after="120" w:line="276"/>
      </w:pPr>
      <w:r>
        <w:rPr>
          <w:rFonts w:ascii="Arial" w:cs="Arial" w:eastAsia="Arial" w:hAnsi="Arial"/>
          <w:sz w:val="22"/>
          <w:szCs w:val="22"/>
        </w:rPr>
        <w:t xml:space="preserve">Reference: CCS SAF SOP 001 (Adverse Event Management).</w:t>
      </w:r>
    </w:p>
    <w:p>
      <w:pPr>
        <w:pStyle w:val="Heading1"/>
        <w:numPr>
          <w:ilvl w:val="0"/>
          <w:numId w:val="2"/>
        </w:numPr>
      </w:pPr>
      <w:r>
        <w:rPr>
          <w:rFonts w:ascii="Arial" w:cs="Arial" w:eastAsia="Arial" w:hAnsi="Arial"/>
        </w:rPr>
        <w:t xml:space="preserve">EXTERNAL DATA MANAGEMENT</w:t>
      </w:r>
    </w:p>
    <w:p>
      <w:pPr>
        <w:pStyle w:val="Heading2"/>
        <w:numPr>
          <w:ilvl w:val="1"/>
          <w:numId w:val="2"/>
        </w:numPr>
      </w:pPr>
      <w:r>
        <w:rPr>
          <w:rFonts w:ascii="Arial" w:cs="Arial" w:eastAsia="Arial" w:hAnsi="Arial"/>
        </w:rPr>
        <w:t xml:space="preserve">External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3360"/>
        <w:gridCol w:w="1700"/>
      </w:tblGrid>
      <w:tr>
        <w:trPr>
          <w:tblHeader/>
        </w:trPr>
        <w:tc>
          <w:tcPr>
            <w:tcW w:type="dxa" w:w="2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Data Source</w:t>
            </w:r>
          </w:p>
        </w:tc>
        <w:tc>
          <w:tcPr>
            <w:tcW w:type="dxa" w:w="17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Vendor</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Data Type</w:t>
            </w:r>
          </w:p>
        </w:tc>
        <w:tc>
          <w:tcPr>
            <w:tcW w:type="dxa" w:w="17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Transfer Frequency</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Central Echocardiography Core Lab</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[vendor]</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Central LVEF read</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[frequency]</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Central Laboratory</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[vendor]</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Hematology, chemistry/liver, NT-proBNP/BNP, troponin, C3/C4</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[frequency]</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Immunology Laboratory</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[vendor]</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Anti-AAV NAb, IFNγ ELISpot (capsid, transgene)</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[frequency]</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CPET Core Lab (if applicable)</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[vendor]</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Peak VO₂</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[frequency]</w:t>
            </w:r>
          </w:p>
        </w:tc>
      </w:tr>
    </w:tbl>
    <w:p>
      <w:pPr>
        <w:spacing w:after="120" w:line="276"/>
      </w:pPr>
      <w:r>
        <w:rPr>
          <w:rFonts w:ascii="Arial" w:cs="Arial" w:eastAsia="Arial" w:hAnsi="Arial"/>
          <w:sz w:val="22"/>
          <w:szCs w:val="22"/>
        </w:rPr>
        <w:t xml:space="preserve">This is a single-arm, open-label study without randomization; no IVRS/IWRS randomization system is required. Investigational product accountability is managed at the site and captured on study drug forms.</w:t>
      </w:r>
    </w:p>
    <w:p>
      <w:pPr>
        <w:pStyle w:val="Heading2"/>
        <w:numPr>
          <w:ilvl w:val="1"/>
          <w:numId w:val="2"/>
        </w:numPr>
      </w:pPr>
      <w:r>
        <w:rPr>
          <w:rFonts w:ascii="Arial" w:cs="Arial" w:eastAsia="Arial" w:hAnsi="Arial"/>
        </w:rPr>
        <w:t xml:space="preserve">Data Transfer Specifications</w:t>
      </w:r>
    </w:p>
    <w:p>
      <w:pPr>
        <w:pStyle w:val="ListParagraph"/>
        <w:numPr>
          <w:ilvl w:val="0"/>
          <w:numId w:val="3"/>
        </w:numPr>
        <w:spacing w:after="60" w:line="276"/>
      </w:pPr>
      <w:r>
        <w:rPr>
          <w:rFonts w:ascii="Arial" w:cs="Arial" w:eastAsia="Arial" w:hAnsi="Arial"/>
          <w:sz w:val="22"/>
          <w:szCs w:val="22"/>
        </w:rPr>
        <w:t xml:space="preserve">File format: [format — e.g., CSV, SAS transport]; transfer method: [SFTP / secure portal].</w:t>
      </w:r>
    </w:p>
    <w:p>
      <w:pPr>
        <w:pStyle w:val="ListParagraph"/>
        <w:numPr>
          <w:ilvl w:val="0"/>
          <w:numId w:val="3"/>
        </w:numPr>
        <w:spacing w:after="60" w:line="276"/>
      </w:pPr>
      <w:r>
        <w:rPr>
          <w:rFonts w:ascii="Arial" w:cs="Arial" w:eastAsia="Arial" w:hAnsi="Arial"/>
          <w:sz w:val="22"/>
          <w:szCs w:val="22"/>
        </w:rPr>
        <w:t xml:space="preserve">Data validated upon receipt and reconciled with EDC data.</w:t>
      </w:r>
    </w:p>
    <w:p>
      <w:pPr>
        <w:pStyle w:val="Heading2"/>
        <w:numPr>
          <w:ilvl w:val="1"/>
          <w:numId w:val="2"/>
        </w:numPr>
      </w:pPr>
      <w:r>
        <w:rPr>
          <w:rFonts w:ascii="Arial" w:cs="Arial" w:eastAsia="Arial" w:hAnsi="Arial"/>
        </w:rPr>
        <w:t xml:space="preserve">External Data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Data Type</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Reconciliation Frequency</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Responsible Party</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Central echo (LVEF)</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Per transfer</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Laboratory / biomarkers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Weekly</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Immunology (NAb, ELISpot)</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Per transfer</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w:t>
            </w:r>
          </w:p>
        </w:tc>
      </w:tr>
    </w:tbl>
    <w:p>
      <w:pPr>
        <w:pStyle w:val="Heading1"/>
        <w:numPr>
          <w:ilvl w:val="0"/>
          <w:numId w:val="2"/>
        </w:numPr>
      </w:pPr>
      <w:r>
        <w:rPr>
          <w:rFonts w:ascii="Arial" w:cs="Arial" w:eastAsia="Arial" w:hAnsi="Arial"/>
        </w:rPr>
        <w:t xml:space="preserve">DATABASE LOCK PROCEDURES</w:t>
      </w:r>
    </w:p>
    <w:p>
      <w:pPr>
        <w:pStyle w:val="Heading2"/>
        <w:numPr>
          <w:ilvl w:val="1"/>
          <w:numId w:val="2"/>
        </w:numPr>
      </w:pPr>
      <w:r>
        <w:rPr>
          <w:rFonts w:ascii="Arial" w:cs="Arial" w:eastAsia="Arial" w:hAnsi="Arial"/>
        </w:rPr>
        <w:t xml:space="preserve">Pre-Lock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600"/>
        <w:gridCol w:w="2000"/>
      </w:tblGrid>
      <w:tr>
        <w:trPr>
          <w:tblHeader/>
        </w:trPr>
        <w:tc>
          <w:tcPr>
            <w:tcW w:type="dxa" w:w="47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Requirement</w:t>
            </w:r>
          </w:p>
        </w:tc>
        <w:tc>
          <w:tcPr>
            <w:tcW w:type="dxa" w:w="2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Responsible</w:t>
            </w:r>
          </w:p>
        </w:tc>
        <w:tc>
          <w:tcPr>
            <w:tcW w:type="dxa" w:w="2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Sign-off Required</w:t>
            </w:r>
          </w:p>
        </w:tc>
      </w:tr>
      <w:tr>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All queries resolved or documented</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Yes</w:t>
            </w:r>
          </w:p>
        </w:tc>
      </w:tr>
      <w:tr>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coding complete and approved</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Medical Monitor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Yes</w:t>
            </w:r>
          </w:p>
        </w:tc>
      </w:tr>
      <w:tr>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SAE reconciliation complete</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 / Safety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Yes</w:t>
            </w:r>
          </w:p>
        </w:tc>
      </w:tr>
      <w:tr>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External data reconciliation complete</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Yes</w:t>
            </w:r>
          </w:p>
        </w:tc>
      </w:tr>
      <w:tr>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Edit check validation complete</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Yes</w:t>
            </w:r>
          </w:p>
        </w:tc>
      </w:tr>
      <w:tr>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Protocol deviation review complete</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CDM</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Yes</w:t>
            </w:r>
          </w:p>
        </w:tc>
      </w:tr>
      <w:tr>
        <w:tc>
          <w:tcPr>
            <w:tcW w:type="dxa" w:w="4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 listings reviewed</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Sponsor</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Yes</w:t>
            </w:r>
          </w:p>
        </w:tc>
      </w:tr>
    </w:tbl>
    <w:p>
      <w:pPr>
        <w:pStyle w:val="Heading2"/>
        <w:numPr>
          <w:ilvl w:val="1"/>
          <w:numId w:val="2"/>
        </w:numPr>
      </w:pPr>
      <w:r>
        <w:rPr>
          <w:rFonts w:ascii="Arial" w:cs="Arial" w:eastAsia="Arial" w:hAnsi="Arial"/>
        </w:rPr>
        <w:t xml:space="preserve">Database Lock Meeting</w:t>
      </w:r>
    </w:p>
    <w:p>
      <w:pPr>
        <w:pStyle w:val="ListParagraph"/>
        <w:numPr>
          <w:ilvl w:val="0"/>
          <w:numId w:val="3"/>
        </w:numPr>
        <w:spacing w:after="60" w:line="276"/>
      </w:pPr>
      <w:r>
        <w:rPr>
          <w:rFonts w:ascii="Arial" w:cs="Arial" w:eastAsia="Arial" w:hAnsi="Arial"/>
          <w:sz w:val="22"/>
          <w:szCs w:val="22"/>
        </w:rPr>
        <w:t xml:space="preserve">Pre-lock meeting to review the readiness checklist.</w:t>
      </w:r>
    </w:p>
    <w:p>
      <w:pPr>
        <w:pStyle w:val="ListParagraph"/>
        <w:numPr>
          <w:ilvl w:val="0"/>
          <w:numId w:val="3"/>
        </w:numPr>
        <w:spacing w:after="60" w:line="276"/>
      </w:pPr>
      <w:r>
        <w:rPr>
          <w:rFonts w:ascii="Arial" w:cs="Arial" w:eastAsia="Arial" w:hAnsi="Arial"/>
          <w:sz w:val="22"/>
          <w:szCs w:val="22"/>
        </w:rPr>
        <w:t xml:space="preserve">Attendees: CDM, PM, Sponsor DM, Medical Monitor, Biostatistician.</w:t>
      </w:r>
    </w:p>
    <w:p>
      <w:pPr>
        <w:pStyle w:val="ListParagraph"/>
        <w:numPr>
          <w:ilvl w:val="0"/>
          <w:numId w:val="3"/>
        </w:numPr>
        <w:spacing w:after="60" w:line="276"/>
      </w:pPr>
      <w:r>
        <w:rPr>
          <w:rFonts w:ascii="Arial" w:cs="Arial" w:eastAsia="Arial" w:hAnsi="Arial"/>
          <w:sz w:val="22"/>
          <w:szCs w:val="22"/>
        </w:rPr>
        <w:t xml:space="preserve">Lock authorization documented.</w:t>
      </w:r>
    </w:p>
    <w:p>
      <w:pPr>
        <w:pStyle w:val="Heading2"/>
        <w:numPr>
          <w:ilvl w:val="1"/>
          <w:numId w:val="2"/>
        </w:numPr>
      </w:pPr>
      <w:r>
        <w:rPr>
          <w:rFonts w:ascii="Arial" w:cs="Arial" w:eastAsia="Arial" w:hAnsi="Arial"/>
        </w:rPr>
        <w:t xml:space="preserve">Lock Procedures</w:t>
      </w:r>
    </w:p>
    <w:p>
      <w:pPr>
        <w:spacing w:after="120" w:line="276"/>
      </w:pPr>
      <w:r>
        <w:rPr>
          <w:rFonts w:ascii="Arial" w:cs="Arial" w:eastAsia="Arial" w:hAnsi="Arial"/>
          <w:b/>
          <w:bCs/>
          <w:sz w:val="22"/>
          <w:szCs w:val="22"/>
        </w:rPr>
        <w:t xml:space="preserve">Soft Lock:</w:t>
      </w:r>
      <w:r>
        <w:rPr>
          <w:rFonts w:ascii="Arial" w:cs="Arial" w:eastAsia="Arial" w:hAnsi="Arial"/>
          <w:sz w:val="22"/>
          <w:szCs w:val="22"/>
        </w:rPr>
        <w:t xml:space="preserve"> applied after all pre-lock requirements are met; data review and programming begin; limited changes allowed with documentation. </w:t>
      </w:r>
      <w:r>
        <w:rPr>
          <w:rFonts w:ascii="Arial" w:cs="Arial" w:eastAsia="Arial" w:hAnsi="Arial"/>
          <w:b/>
          <w:bCs/>
          <w:sz w:val="22"/>
          <w:szCs w:val="22"/>
        </w:rPr>
        <w:t xml:space="preserve">Hard Lock:</w:t>
      </w:r>
      <w:r>
        <w:rPr>
          <w:rFonts w:ascii="Arial" w:cs="Arial" w:eastAsia="Arial" w:hAnsi="Arial"/>
          <w:sz w:val="22"/>
          <w:szCs w:val="22"/>
        </w:rPr>
        <w:t xml:space="preserve"> final lock after the soft-lock verification period; no further changes permitted; database archived.</w:t>
      </w:r>
    </w:p>
    <w:p>
      <w:pPr>
        <w:pStyle w:val="Heading2"/>
        <w:numPr>
          <w:ilvl w:val="1"/>
          <w:numId w:val="2"/>
        </w:numPr>
      </w:pPr>
      <w:r>
        <w:rPr>
          <w:rFonts w:ascii="Arial" w:cs="Arial" w:eastAsia="Arial" w:hAnsi="Arial"/>
        </w:rPr>
        <w:t xml:space="preserve">Post-Lock Amendments</w:t>
      </w:r>
    </w:p>
    <w:p>
      <w:pPr>
        <w:pStyle w:val="ListParagraph"/>
        <w:numPr>
          <w:ilvl w:val="0"/>
          <w:numId w:val="3"/>
        </w:numPr>
        <w:spacing w:after="60" w:line="276"/>
      </w:pPr>
      <w:r>
        <w:rPr>
          <w:rFonts w:ascii="Arial" w:cs="Arial" w:eastAsia="Arial" w:hAnsi="Arial"/>
          <w:sz w:val="22"/>
          <w:szCs w:val="22"/>
        </w:rPr>
        <w:t xml:space="preserve">Post-lock changes require a formal amendment request, are documented with an audit trail, and the database is re-locked after amendment.</w:t>
      </w:r>
    </w:p>
    <w:p>
      <w:pPr>
        <w:pStyle w:val="Heading2"/>
        <w:numPr>
          <w:ilvl w:val="1"/>
          <w:numId w:val="2"/>
        </w:numPr>
      </w:pPr>
      <w:r>
        <w:rPr>
          <w:rFonts w:ascii="Arial" w:cs="Arial" w:eastAsia="Arial" w:hAnsi="Arial"/>
        </w:rPr>
        <w:t xml:space="preserve">Database Lock Checklist</w:t>
      </w:r>
    </w:p>
    <w:p>
      <w:pPr>
        <w:spacing w:after="120" w:line="276"/>
      </w:pPr>
      <w:r>
        <w:rPr>
          <w:rFonts w:ascii="Arial" w:cs="Arial" w:eastAsia="Arial" w:hAnsi="Arial"/>
          <w:sz w:val="22"/>
          <w:szCs w:val="22"/>
        </w:rPr>
        <w:t xml:space="preserve">See Appendix A for the complete Database Lock Checklist.</w:t>
      </w:r>
    </w:p>
    <w:p>
      <w:pPr>
        <w:pStyle w:val="Heading1"/>
        <w:numPr>
          <w:ilvl w:val="0"/>
          <w:numId w:val="2"/>
        </w:numPr>
      </w:pPr>
      <w:r>
        <w:rPr>
          <w:rFonts w:ascii="Arial" w:cs="Arial" w:eastAsia="Arial" w:hAnsi="Arial"/>
        </w:rPr>
        <w:t xml:space="preserve">DATA TRANSFER</w:t>
      </w:r>
    </w:p>
    <w:p>
      <w:pPr>
        <w:pStyle w:val="Heading2"/>
        <w:numPr>
          <w:ilvl w:val="1"/>
          <w:numId w:val="2"/>
        </w:numPr>
      </w:pPr>
      <w:r>
        <w:rPr>
          <w:rFonts w:ascii="Arial" w:cs="Arial" w:eastAsia="Arial" w:hAnsi="Arial"/>
        </w:rPr>
        <w:t xml:space="preserve">Data Transfer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Item</w:t>
            </w:r>
          </w:p>
        </w:tc>
        <w:tc>
          <w:tcPr>
            <w:tcW w:type="dxa" w:w="67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Specification</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Format</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[SAS transport / CSV]</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Structure</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SDTM and ADaM</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Transfer Method</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[SFTP / secure portal]</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Frequency</w:t>
            </w:r>
          </w:p>
        </w:tc>
        <w:tc>
          <w:tcPr>
            <w:tcW w:type="dxa" w:w="6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[interim cadence]</w:t>
            </w:r>
          </w:p>
        </w:tc>
      </w:tr>
    </w:tbl>
    <w:p>
      <w:pPr>
        <w:pStyle w:val="Heading2"/>
        <w:numPr>
          <w:ilvl w:val="1"/>
          <w:numId w:val="2"/>
        </w:numPr>
      </w:pPr>
      <w:r>
        <w:rPr>
          <w:rFonts w:ascii="Arial" w:cs="Arial" w:eastAsia="Arial" w:hAnsi="Arial"/>
        </w:rPr>
        <w:t xml:space="preserve">Data Transfer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Transfer</w:t>
            </w:r>
          </w:p>
        </w:tc>
        <w:tc>
          <w:tcPr>
            <w:tcW w:type="dxa" w:w="33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Timing</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Recipients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Interim transfer</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[timing]</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Sponsor Biostatistics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Final transfer</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Post-DBL</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Sponsor Biostatistics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CDISC datasets</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Post-DBL + [X] weeks</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Sponsor</w:t>
            </w:r>
          </w:p>
        </w:tc>
      </w:tr>
    </w:tbl>
    <w:p>
      <w:pPr>
        <w:pStyle w:val="Heading2"/>
        <w:numPr>
          <w:ilvl w:val="1"/>
          <w:numId w:val="2"/>
        </w:numPr>
      </w:pPr>
      <w:r>
        <w:rPr>
          <w:rFonts w:ascii="Arial" w:cs="Arial" w:eastAsia="Arial" w:hAnsi="Arial"/>
        </w:rPr>
        <w:t xml:space="preserve">Data Transfer Documentation</w:t>
      </w:r>
    </w:p>
    <w:p>
      <w:pPr>
        <w:pStyle w:val="ListParagraph"/>
        <w:numPr>
          <w:ilvl w:val="0"/>
          <w:numId w:val="3"/>
        </w:numPr>
        <w:spacing w:after="60" w:line="276"/>
      </w:pPr>
      <w:r>
        <w:rPr>
          <w:rFonts w:ascii="Arial" w:cs="Arial" w:eastAsia="Arial" w:hAnsi="Arial"/>
          <w:sz w:val="22"/>
          <w:szCs w:val="22"/>
        </w:rPr>
        <w:t xml:space="preserve">Transfers include a transfer manifest and define-file documentation; receipt confirmation is required.</w:t>
      </w:r>
    </w:p>
    <w:p>
      <w:pPr>
        <w:pStyle w:val="Heading1"/>
        <w:numPr>
          <w:ilvl w:val="0"/>
          <w:numId w:val="2"/>
        </w:numPr>
      </w:pPr>
      <w:r>
        <w:rPr>
          <w:rFonts w:ascii="Arial" w:cs="Arial" w:eastAsia="Arial" w:hAnsi="Arial"/>
        </w:rPr>
        <w:t xml:space="preserve">ARCHIVING</w:t>
      </w:r>
    </w:p>
    <w:p>
      <w:pPr>
        <w:pStyle w:val="Heading2"/>
        <w:numPr>
          <w:ilvl w:val="1"/>
          <w:numId w:val="2"/>
        </w:numPr>
      </w:pPr>
      <w:r>
        <w:rPr>
          <w:rFonts w:ascii="Arial" w:cs="Arial" w:eastAsia="Arial" w:hAnsi="Arial"/>
        </w:rPr>
        <w:t xml:space="preserve">Archive Requirements</w:t>
      </w:r>
    </w:p>
    <w:p>
      <w:pPr>
        <w:spacing w:after="120" w:line="276"/>
      </w:pPr>
      <w:r>
        <w:rPr>
          <w:rFonts w:ascii="Arial" w:cs="Arial" w:eastAsia="Arial" w:hAnsi="Arial"/>
          <w:sz w:val="22"/>
          <w:szCs w:val="22"/>
        </w:rPr>
        <w:t xml:space="preserve">All study data and documentation will be archived in accordance with sponsor requirements, regulatory requirements (21 CFR Part 11), and CCS document retention policies.</w:t>
      </w:r>
    </w:p>
    <w:p>
      <w:pPr>
        <w:pStyle w:val="Heading2"/>
        <w:numPr>
          <w:ilvl w:val="1"/>
          <w:numId w:val="2"/>
        </w:numPr>
      </w:pPr>
      <w:r>
        <w:rPr>
          <w:rFonts w:ascii="Arial" w:cs="Arial" w:eastAsia="Arial" w:hAnsi="Arial"/>
        </w:rPr>
        <w:t xml:space="preserve">Archive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600"/>
        <w:gridCol w:w="3000"/>
      </w:tblGrid>
      <w:tr>
        <w:trPr>
          <w:tblHeader/>
        </w:trPr>
        <w:tc>
          <w:tcPr>
            <w:tcW w:type="dxa" w:w="37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Item</w:t>
            </w:r>
          </w:p>
        </w:tc>
        <w:tc>
          <w:tcPr>
            <w:tcW w:type="dxa" w:w="2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Format</w:t>
            </w:r>
          </w:p>
        </w:tc>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Retention Period</w:t>
            </w:r>
          </w:p>
        </w:tc>
      </w:tr>
      <w:tr>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Final database</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SAS transport</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[X] years</w:t>
            </w:r>
          </w:p>
        </w:tc>
      </w:tr>
      <w:tr>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Audit trail</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PDF</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[X] years</w:t>
            </w:r>
          </w:p>
        </w:tc>
      </w:tr>
      <w:tr>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Edit check specifications</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PDF</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[X] years</w:t>
            </w:r>
          </w:p>
        </w:tc>
      </w:tr>
      <w:tr>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Data Management Plan</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PDF</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[X] years</w:t>
            </w:r>
          </w:p>
        </w:tc>
      </w:tr>
      <w:tr>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Query logs</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PDF</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[X] years</w:t>
            </w:r>
          </w:p>
        </w:tc>
      </w:tr>
      <w:tr>
        <w:tc>
          <w:tcPr>
            <w:tcW w:type="dxa" w:w="3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Reconciliation reports</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PDF</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[X] years</w:t>
            </w:r>
          </w:p>
        </w:tc>
      </w:tr>
    </w:tbl>
    <w:p>
      <w:pPr>
        <w:pStyle w:val="Heading2"/>
        <w:numPr>
          <w:ilvl w:val="1"/>
          <w:numId w:val="2"/>
        </w:numPr>
      </w:pPr>
      <w:r>
        <w:rPr>
          <w:rFonts w:ascii="Arial" w:cs="Arial" w:eastAsia="Arial" w:hAnsi="Arial"/>
        </w:rPr>
        <w:t xml:space="preserve">Archive Location</w:t>
      </w:r>
    </w:p>
    <w:p>
      <w:pPr>
        <w:spacing w:after="120" w:line="276"/>
      </w:pPr>
      <w:r>
        <w:rPr>
          <w:rFonts w:ascii="Arial" w:cs="Arial" w:eastAsia="Arial" w:hAnsi="Arial"/>
          <w:i/>
          <w:iCs/>
          <w:color w:val="808080"/>
          <w:sz w:val="22"/>
          <w:szCs w:val="22"/>
        </w:rPr>
        <w:t xml:space="preserve">Archives will be stored at [archive location] with appropriate access controls.</w:t>
      </w:r>
    </w:p>
    <w:p>
      <w:pPr>
        <w:pStyle w:val="Heading1"/>
        <w:numPr>
          <w:ilvl w:val="0"/>
          <w:numId w:val="2"/>
        </w:numPr>
      </w:pPr>
      <w:r>
        <w:rPr>
          <w:rFonts w:ascii="Arial" w:cs="Arial" w:eastAsia="Arial" w:hAnsi="Arial"/>
        </w:rPr>
        <w:t xml:space="preserve">APPENDICES</w:t>
      </w:r>
    </w:p>
    <w:p>
      <w:pPr>
        <w:pStyle w:val="Heading2"/>
        <w:numPr>
          <w:ilvl w:val="1"/>
          <w:numId w:val="2"/>
        </w:numPr>
      </w:pPr>
      <w:r>
        <w:rPr>
          <w:rFonts w:ascii="Arial" w:cs="Arial" w:eastAsia="Arial" w:hAnsi="Arial"/>
        </w:rPr>
        <w:t xml:space="preserve">Appendix A: Database Lock Checklist</w:t>
      </w:r>
    </w:p>
    <w:p>
      <w:pPr>
        <w:pStyle w:val="ListParagraph"/>
        <w:numPr>
          <w:ilvl w:val="0"/>
          <w:numId w:val="3"/>
        </w:numPr>
        <w:spacing w:after="40" w:line="276"/>
      </w:pPr>
      <w:r>
        <w:rPr>
          <w:rFonts w:ascii="Arial" w:cs="Arial" w:eastAsia="Arial" w:hAnsi="Arial"/>
          <w:sz w:val="22"/>
          <w:szCs w:val="22"/>
        </w:rPr>
        <w:t xml:space="preserve">☐  All CRF pages entered and verified</w:t>
      </w:r>
    </w:p>
    <w:p>
      <w:pPr>
        <w:pStyle w:val="ListParagraph"/>
        <w:numPr>
          <w:ilvl w:val="0"/>
          <w:numId w:val="3"/>
        </w:numPr>
        <w:spacing w:after="40" w:line="276"/>
      </w:pPr>
      <w:r>
        <w:rPr>
          <w:rFonts w:ascii="Arial" w:cs="Arial" w:eastAsia="Arial" w:hAnsi="Arial"/>
          <w:sz w:val="22"/>
          <w:szCs w:val="22"/>
        </w:rPr>
        <w:t xml:space="preserve">☐  All queries resolved or closed with documentation</w:t>
      </w:r>
    </w:p>
    <w:p>
      <w:pPr>
        <w:pStyle w:val="ListParagraph"/>
        <w:numPr>
          <w:ilvl w:val="0"/>
          <w:numId w:val="3"/>
        </w:numPr>
        <w:spacing w:after="40" w:line="276"/>
      </w:pPr>
      <w:r>
        <w:rPr>
          <w:rFonts w:ascii="Arial" w:cs="Arial" w:eastAsia="Arial" w:hAnsi="Arial"/>
          <w:sz w:val="22"/>
          <w:szCs w:val="22"/>
        </w:rPr>
        <w:t xml:space="preserve">☐  Medical coding complete and approved</w:t>
      </w:r>
    </w:p>
    <w:p>
      <w:pPr>
        <w:pStyle w:val="ListParagraph"/>
        <w:numPr>
          <w:ilvl w:val="0"/>
          <w:numId w:val="3"/>
        </w:numPr>
        <w:spacing w:after="40" w:line="276"/>
      </w:pPr>
      <w:r>
        <w:rPr>
          <w:rFonts w:ascii="Arial" w:cs="Arial" w:eastAsia="Arial" w:hAnsi="Arial"/>
          <w:sz w:val="22"/>
          <w:szCs w:val="22"/>
        </w:rPr>
        <w:t xml:space="preserve">☐  SAE reconciliation complete and signed</w:t>
      </w:r>
    </w:p>
    <w:p>
      <w:pPr>
        <w:pStyle w:val="ListParagraph"/>
        <w:numPr>
          <w:ilvl w:val="0"/>
          <w:numId w:val="3"/>
        </w:numPr>
        <w:spacing w:after="40" w:line="276"/>
      </w:pPr>
      <w:r>
        <w:rPr>
          <w:rFonts w:ascii="Arial" w:cs="Arial" w:eastAsia="Arial" w:hAnsi="Arial"/>
          <w:sz w:val="22"/>
          <w:szCs w:val="22"/>
        </w:rPr>
        <w:t xml:space="preserve">☐  External data loaded and reconciled (central echo, labs, immunology)</w:t>
      </w:r>
    </w:p>
    <w:p>
      <w:pPr>
        <w:pStyle w:val="ListParagraph"/>
        <w:numPr>
          <w:ilvl w:val="0"/>
          <w:numId w:val="3"/>
        </w:numPr>
        <w:spacing w:after="40" w:line="276"/>
      </w:pPr>
      <w:r>
        <w:rPr>
          <w:rFonts w:ascii="Arial" w:cs="Arial" w:eastAsia="Arial" w:hAnsi="Arial"/>
          <w:sz w:val="22"/>
          <w:szCs w:val="22"/>
        </w:rPr>
        <w:t xml:space="preserve">☐  Protocol deviations documented</w:t>
      </w:r>
    </w:p>
    <w:p>
      <w:pPr>
        <w:pStyle w:val="ListParagraph"/>
        <w:numPr>
          <w:ilvl w:val="0"/>
          <w:numId w:val="3"/>
        </w:numPr>
        <w:spacing w:after="40" w:line="276"/>
      </w:pPr>
      <w:r>
        <w:rPr>
          <w:rFonts w:ascii="Arial" w:cs="Arial" w:eastAsia="Arial" w:hAnsi="Arial"/>
          <w:sz w:val="22"/>
          <w:szCs w:val="22"/>
        </w:rPr>
        <w:t xml:space="preserve">☐  Edit checks validated (incl. liver-function alert)</w:t>
      </w:r>
    </w:p>
    <w:p>
      <w:pPr>
        <w:pStyle w:val="ListParagraph"/>
        <w:numPr>
          <w:ilvl w:val="0"/>
          <w:numId w:val="3"/>
        </w:numPr>
        <w:spacing w:after="40" w:line="276"/>
      </w:pPr>
      <w:r>
        <w:rPr>
          <w:rFonts w:ascii="Arial" w:cs="Arial" w:eastAsia="Arial" w:hAnsi="Arial"/>
          <w:sz w:val="22"/>
          <w:szCs w:val="22"/>
        </w:rPr>
        <w:t xml:space="preserve">☐  Data listings reviewed by sponsor</w:t>
      </w:r>
    </w:p>
    <w:p>
      <w:pPr>
        <w:pStyle w:val="ListParagraph"/>
        <w:numPr>
          <w:ilvl w:val="0"/>
          <w:numId w:val="3"/>
        </w:numPr>
        <w:spacing w:after="40" w:line="276"/>
      </w:pPr>
      <w:r>
        <w:rPr>
          <w:rFonts w:ascii="Arial" w:cs="Arial" w:eastAsia="Arial" w:hAnsi="Arial"/>
          <w:sz w:val="22"/>
          <w:szCs w:val="22"/>
        </w:rPr>
        <w:t xml:space="preserve">☐  Pre-lock meeting conducted</w:t>
      </w:r>
    </w:p>
    <w:p>
      <w:pPr>
        <w:pStyle w:val="ListParagraph"/>
        <w:numPr>
          <w:ilvl w:val="0"/>
          <w:numId w:val="3"/>
        </w:numPr>
        <w:spacing w:after="40" w:line="276"/>
      </w:pPr>
      <w:r>
        <w:rPr>
          <w:rFonts w:ascii="Arial" w:cs="Arial" w:eastAsia="Arial" w:hAnsi="Arial"/>
          <w:sz w:val="22"/>
          <w:szCs w:val="22"/>
        </w:rPr>
        <w:t xml:space="preserve">☐  Lock authorization obtained</w:t>
      </w:r>
    </w:p>
    <w:p>
      <w:pPr>
        <w:pStyle w:val="Heading2"/>
        <w:numPr>
          <w:ilvl w:val="1"/>
          <w:numId w:val="2"/>
        </w:numPr>
      </w:pPr>
      <w:r>
        <w:rPr>
          <w:rFonts w:ascii="Arial" w:cs="Arial" w:eastAsia="Arial" w:hAnsi="Arial"/>
        </w:rPr>
        <w:t xml:space="preserve">Appendix B: Edit Check Specification</w:t>
      </w:r>
    </w:p>
    <w:p>
      <w:pPr>
        <w:spacing w:after="120" w:line="276"/>
      </w:pPr>
      <w:r>
        <w:rPr>
          <w:rFonts w:ascii="Arial" w:cs="Arial" w:eastAsia="Arial" w:hAnsi="Arial"/>
          <w:i/>
          <w:iCs/>
          <w:color w:val="808080"/>
          <w:sz w:val="22"/>
          <w:szCs w:val="22"/>
        </w:rPr>
        <w:t xml:space="preserve">Reference: [Edit Check Specification document]</w:t>
      </w:r>
    </w:p>
    <w:p>
      <w:pPr>
        <w:pStyle w:val="Heading2"/>
        <w:numPr>
          <w:ilvl w:val="1"/>
          <w:numId w:val="2"/>
        </w:numPr>
      </w:pPr>
      <w:r>
        <w:rPr>
          <w:rFonts w:ascii="Arial" w:cs="Arial" w:eastAsia="Arial" w:hAnsi="Arial"/>
        </w:rPr>
        <w:t xml:space="preserve">Appendix C: Data Transfer Specifications</w:t>
      </w:r>
    </w:p>
    <w:p>
      <w:pPr>
        <w:spacing w:after="120" w:line="276"/>
      </w:pPr>
      <w:r>
        <w:rPr>
          <w:rFonts w:ascii="Arial" w:cs="Arial" w:eastAsia="Arial" w:hAnsi="Arial"/>
          <w:i/>
          <w:iCs/>
          <w:color w:val="808080"/>
          <w:sz w:val="22"/>
          <w:szCs w:val="22"/>
        </w:rPr>
        <w:t xml:space="preserve">Reference: [Data Transfer Specification document]</w:t>
      </w:r>
    </w:p>
    <w:p>
      <w:pPr>
        <w:pStyle w:val="Heading2"/>
        <w:numPr>
          <w:ilvl w:val="1"/>
          <w:numId w:val="2"/>
        </w:numPr>
      </w:pPr>
      <w:r>
        <w:rPr>
          <w:rFonts w:ascii="Arial" w:cs="Arial" w:eastAsia="Arial" w:hAnsi="Arial"/>
        </w:rPr>
        <w:t xml:space="preserve">Appendix D: Coding Conventions</w:t>
      </w:r>
    </w:p>
    <w:p>
      <w:pPr>
        <w:spacing w:after="120" w:line="276"/>
      </w:pPr>
      <w:r>
        <w:rPr>
          <w:rFonts w:ascii="Arial" w:cs="Arial" w:eastAsia="Arial" w:hAnsi="Arial"/>
          <w:sz w:val="22"/>
          <w:szCs w:val="22"/>
        </w:rPr>
        <w:t xml:space="preserve">Reference: CCS standard per CDM SOP 006.</w:t>
      </w:r>
    </w:p>
    <w:p>
      <w:r>
        <w:br w:type="page"/>
      </w:r>
    </w:p>
    <w:p>
      <w:pPr>
        <w:pStyle w:val="Heading1"/>
      </w:pPr>
      <w:r>
        <w:rPr>
          <w:rFonts w:ascii="Arial" w:cs="Arial" w:eastAsia="Arial" w:hAnsi="Arial"/>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660"/>
        <w:gridCol w:w="3400"/>
      </w:tblGrid>
      <w:tr>
        <w:trPr>
          <w:tblHeader/>
        </w:trPr>
        <w:tc>
          <w:tcPr>
            <w:tcW w:type="dxa" w:w="14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Version</w:t>
            </w:r>
          </w:p>
        </w:tc>
        <w:tc>
          <w:tcPr>
            <w:tcW w:type="dxa" w:w="19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Date</w:t>
            </w:r>
          </w:p>
        </w:tc>
        <w:tc>
          <w:tcPr>
            <w:tcW w:type="dxa" w:w="26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Author</w:t>
            </w:r>
          </w:p>
        </w:tc>
        <w:tc>
          <w:tcPr>
            <w:tcW w:type="dxa" w:w="34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Description</w:t>
            </w:r>
          </w:p>
        </w:tc>
      </w:tr>
      <w:tr>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1.0</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06-Jun-2026</w:t>
            </w:r>
          </w:p>
        </w:tc>
        <w:tc>
          <w:tcPr>
            <w:tcW w:type="dxa" w:w="26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iCs/>
                <w:color w:val="808080"/>
                <w:sz w:val="22"/>
                <w:szCs w:val="22"/>
              </w:rPr>
              <w:t xml:space="preserve">[author]</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Initial version</w:t>
            </w:r>
          </w:p>
        </w:tc>
      </w:tr>
    </w:tbl>
    <w:p>
      <w:pPr>
        <w:spacing w:after="160"/>
      </w:pPr>
    </w:p>
    <w:p>
      <w:pPr>
        <w:spacing w:after="80"/>
      </w:pPr>
      <w:r>
        <w:rPr>
          <w:rFonts w:ascii="Arial" w:cs="Arial" w:eastAsia="Arial" w:hAnsi="Arial"/>
          <w:b/>
          <w:bCs/>
          <w:sz w:val="24"/>
          <w:szCs w:val="24"/>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880"/>
        <w:gridCol w:w="1680"/>
      </w:tblGrid>
      <w:tr>
        <w:trPr>
          <w:tblHeader/>
        </w:trPr>
        <w:tc>
          <w:tcPr>
            <w:tcW w:type="dxa" w:w="30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Role</w:t>
            </w:r>
          </w:p>
        </w:tc>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Name</w:t>
            </w:r>
          </w:p>
        </w:tc>
        <w:tc>
          <w:tcPr>
            <w:tcW w:type="dxa" w:w="18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Signature</w:t>
            </w:r>
          </w:p>
        </w:tc>
        <w:tc>
          <w:tcPr>
            <w:tcW w:type="dxa" w:w="1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Date</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CCS Clinical Data Manager</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c>
          <w:tcPr>
            <w:tcW w:type="dxa" w:w="1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CCS Project Manager</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c>
          <w:tcPr>
            <w:tcW w:type="dxa" w:w="1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Sponsor Data Manager</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c>
          <w:tcPr>
            <w:tcW w:type="dxa" w:w="1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bCs/>
                <w:i w:val="false"/>
                <w:iCs w:val="false"/>
                <w:color w:val="000000"/>
                <w:sz w:val="22"/>
                <w:szCs w:val="22"/>
              </w:rPr>
              <w:t xml:space="preserve">Medical Monitor</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c>
          <w:tcPr>
            <w:tcW w:type="dxa" w:w="168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r>
              <w:rPr>
                <w:rFonts w:ascii="Arial" w:cs="Arial" w:eastAsia="Arial" w:hAnsi="Arial"/>
                <w:b w:val="false"/>
                <w:bCs w:val="false"/>
                <w:i w:val="false"/>
                <w:iCs w:val="false"/>
                <w:color w:val="000000"/>
                <w:sz w:val="22"/>
                <w:szCs w:val="22"/>
              </w:rPr>
              <w:t xml:space="preserve"/>
            </w:r>
          </w:p>
        </w:tc>
      </w:tr>
    </w:tbl>
    <w:p>
      <w:pPr>
        <w:spacing w:after="300"/>
      </w:pPr>
    </w:p>
    <w:p>
      <w:pPr>
        <w:spacing w:before="480"/>
        <w:jc w:val="center"/>
      </w:pPr>
      <w:r>
        <w:rPr>
          <w:rFonts w:ascii="Arial" w:cs="Arial" w:eastAsia="Arial" w:hAnsi="Arial"/>
          <w:i/>
          <w:iCs/>
        </w:rPr>
        <w:t xml:space="preserve">End of Document — fictional, for demonstration and training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r>
      <w:rPr>
        <w:rFonts w:ascii="Arial" w:cs="Arial" w:eastAsia="Arial" w:hAnsi="Arial"/>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20"/>
        <w:szCs w:val="20"/>
      </w:rPr>
      <w:t xml:space="preserve">CCS DMP HF-1002-CL-101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32" w:hanging="432"/>
      </w:pPr>
    </w:lvl>
    <w:lvl w:ilvl="1" w15:tentative="1">
      <w:start w:val="1"/>
      <w:numFmt w:val="decimal"/>
      <w:lvlText w:val="%1.%2"/>
      <w:lvlJc w:val="left"/>
      <w:pPr>
        <w:ind w:left="576" w:hanging="576"/>
      </w:pPr>
    </w:lvl>
    <w:lvl w:ilvl="2" w15:tentative="1">
      <w:start w:val="1"/>
      <w:numFmt w:val="decimal"/>
      <w:lvlText w:val="%1.%2.%3"/>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2"/>
      <w:szCs w:val="32"/>
    </w:rPr>
  </w:style>
  <w:style w:type="paragraph" w:styleId="Heading1">
    <w:name w:val="Heading 1"/>
    <w:basedOn w:val="Normal"/>
    <w:next w:val="Normal"/>
    <w:qFormat/>
    <w:pPr>
      <w:spacing w:after="120" w:before="240"/>
      <w:outlineLvl w:val="0"/>
    </w:pPr>
    <w:rPr>
      <w:rFonts w:ascii="Arial" w:cs="Arial" w:eastAsia="Arial" w:hAnsi="Arial"/>
      <w:b/>
      <w:bCs/>
      <w:color w:val="000000"/>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2026-06-07T01:08:52.485Z</dcterms:created>
  <dcterms:modified xsi:type="dcterms:W3CDTF">2026-06-07T01:08:52.485Z</dcterms:modified>
</cp:coreProperties>
</file>

<file path=docProps/custom.xml><?xml version="1.0" encoding="utf-8"?>
<Properties xmlns="http://schemas.openxmlformats.org/officeDocument/2006/custom-properties" xmlns:vt="http://schemas.openxmlformats.org/officeDocument/2006/docPropsVTypes"/>
</file>