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QC Closure Memorandum</w:t>
      </w:r>
    </w:p>
    <w:p>
      <w:pPr>
        <w:jc w:val="center"/>
      </w:pPr>
      <w:r>
        <w:rPr>
          <w:sz w:val="22"/>
        </w:rPr>
        <w:t>Independent Double-Programming QC — Non-CDISC TFL Workflow</w:t>
      </w:r>
    </w:p>
    <w:p>
      <w:pPr>
        <w:jc w:val="center"/>
      </w:pPr>
      <w:r>
        <w:rPr>
          <w:i/>
          <w:color w:val="808080"/>
          <w:sz w:val="18"/>
        </w:rPr>
        <w:t>FICTIONAL / SYNTHETIC — FOR DEMONSTRATION AND TRAINING ONLY</w:t>
      </w:r>
    </w:p>
    <w:p>
      <w:pPr>
        <w:spacing w:after="80" w:before="160"/>
      </w:pPr>
      <w:r>
        <w:rPr>
          <w:b/>
          <w:sz w:val="22"/>
        </w:rPr>
        <w:t>1. Study &amp; QC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4320"/>
          </w:tcPr>
          <w:p>
            <w:r>
              <w:t>HF-1002-CL-101 (Phase 1, single-arm, gene therapy; 18 subjects, 3 cohorts)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Sponsor</w:t>
            </w:r>
          </w:p>
        </w:tc>
        <w:tc>
          <w:tcPr>
            <w:tcW w:type="dxa" w:w="4320"/>
          </w:tcPr>
          <w:p>
            <w:r>
              <w:t>Corvexa Therapeutics, Inc. (fictional)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QC type</w:t>
            </w:r>
          </w:p>
        </w:tc>
        <w:tc>
          <w:tcPr>
            <w:tcW w:type="dxa" w:w="4320"/>
          </w:tcPr>
          <w:p>
            <w:r>
              <w:t>Independent double programming (re-derivation), R 4.6.0, base 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Production</w:t>
            </w:r>
          </w:p>
        </w:tc>
        <w:tc>
          <w:tcPr>
            <w:tcW w:type="dxa" w:w="4320"/>
          </w:tcPr>
          <w:p>
            <w:r>
              <w:t>Python (raw EDC → analysis datasets → tables; non-CDISC, no SDTM/ADaM)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4 analysis datasets; tables 14.1.1/14.1.2/14.1.3/14.2.1.1/14.2.4.2/14.3.1.1/14.3.1.2/14.3.3.1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QC date</w:t>
            </w:r>
          </w:p>
        </w:tc>
        <w:tc>
          <w:tcPr>
            <w:tcW w:type="dxa" w:w="4320"/>
          </w:tcPr>
          <w:p>
            <w:r>
              <w:t>07-Jun-2026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Memo date</w:t>
            </w:r>
          </w:p>
        </w:tc>
        <w:tc>
          <w:tcPr>
            <w:tcW w:type="dxa" w:w="4320"/>
          </w:tcPr>
          <w:p>
            <w:r>
              <w:t>07-Jun-2026</w:t>
            </w:r>
          </w:p>
        </w:tc>
      </w:tr>
    </w:tbl>
    <w:p>
      <w:pPr>
        <w:spacing w:after="80" w:before="160"/>
      </w:pPr>
      <w:r>
        <w:rPr>
          <w:b/>
          <w:sz w:val="22"/>
        </w:rPr>
        <w:t>2. Result</w:t>
      </w:r>
    </w:p>
    <w:p>
      <w:pPr>
        <w:spacing w:after="80"/>
      </w:pPr>
      <w:r>
        <w:rPr>
          <w:b/>
          <w:sz w:val="21"/>
        </w:rPr>
        <w:t>Verdict: PASS WITH FINDINGS — all findings now dispositioned and closed.</w:t>
      </w:r>
    </w:p>
    <w:p>
      <w:pPr>
        <w:spacing w:after="80"/>
      </w:pPr>
      <w:r>
        <w:rPr>
          <w:b w:val="0"/>
          <w:sz w:val="21"/>
        </w:rPr>
        <w:t>All four analysis datasets reproduced independently with 0 unexplained cell differences (28,177 cells). All 8 in-scope tables reproduced with 0 FAIL cells across 292 compared: counts and n(%) exact; continuous statistics within 1e-6 on the unrounded value. One cell (LVEF 14.2.1.1) differed only at an exact x.x5 display-rounding boundary (unrounded agreement 3.6e-15). Cross-foot 28/28 reconciled to the SAP/protocol. No data or derivation defects were found in the production output.</w:t>
      </w:r>
    </w:p>
    <w:p>
      <w:pPr>
        <w:spacing w:after="80" w:before="160"/>
      </w:pPr>
      <w:r>
        <w:rPr>
          <w:b/>
          <w:sz w:val="22"/>
        </w:rPr>
        <w:t>3. Findings disposition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Disposition / action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LVEF M12 mean 25.0 vs 25.1 at exact x.x5 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Rounding (floating point)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ACCEPTED — round-half-to-even of true 25.05; unrounded identical. No change.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 QC display 22.9 vs 23.0 (baseline LVEF)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QC-code formatting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in QC (sprintf IEEE rounding). Production was correct.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 14.1.2 population: SAP 'Enrolled Set' vs production 'Safety Set'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Documentation (SAP vs spec)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— production relabeled to Enrolled Set (+ Enrolled row); spec aligned. No numeric impact.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DLT verbatim term truncated in display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Cosmetic 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— full verbatim term added as a table footnote.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 95% CI shown at 1 dp vs mock shell 2 dp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formatting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— CI now rendered at 2 dp to match the shell.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DLT-by-term rows show plain 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Formatting 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ACCEPTED — integer counts appropriate for the by-term breakdown.</w:t>
            </w:r>
          </w:p>
        </w:tc>
      </w:tr>
    </w:tbl>
    <w:p>
      <w:pPr>
        <w:spacing w:after="80" w:before="160"/>
      </w:pPr>
      <w:r>
        <w:rPr>
          <w:b/>
          <w:sz w:val="22"/>
        </w:rPr>
        <w:t>4. Post-QC changes &amp; re-QC</w:t>
      </w:r>
    </w:p>
    <w:p>
      <w:pPr>
        <w:spacing w:after="80"/>
      </w:pPr>
      <w:r>
        <w:rPr>
          <w:b w:val="0"/>
          <w:sz w:val="21"/>
        </w:rPr>
        <w:t>Close-out edits were applied to the production table program (02_generate_tables.py): F-3 population label + Enrolled row, F-4 full-term footnote, F-5 CI to 2 dp. Separately, the previously stubbed MedDRA coding step was completed: a transparent verbatim→PT/SOC map (analysis_data/meddra_coding_map.csv) now drives a new Table 14.3.1.2 'TEAEs by SOC and PT', included in the Final TFL Package.</w:t>
      </w:r>
    </w:p>
    <w:p>
      <w:pPr>
        <w:spacing w:after="80"/>
      </w:pPr>
      <w:r>
        <w:rPr>
          <w:b w:val="0"/>
          <w:sz w:val="21"/>
        </w:rPr>
        <w:t>Recommendation: a confirmatory QC re-run is advised on (a) the relabeled disposition table and the 2-dp CI change, and (b) the new MedDRA-coded SOC/PT table (out of original QC scope). Datasets are unchanged and remain QC-passed.</w:t>
      </w:r>
    </w:p>
    <w:p>
      <w:pPr>
        <w:spacing w:after="80" w:before="160"/>
      </w:pPr>
      <w:r>
        <w:rPr>
          <w:b/>
          <w:sz w:val="22"/>
        </w:rPr>
        <w:t>5.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Production Programmer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Independent QC Programmer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Biostatistics Reviewer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i/>
          <w:color w:val="808080"/>
          <w:sz w:val="17"/>
        </w:rPr>
        <w:t>Artifacts: QC/qc_work/ (R programs, QC_Report.md, qc_diffs/); production programs 01–03; Final TFL Package; derivation spec.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