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42"/>
          <w:szCs w:val="42"/>
          <w:u w:val="none"/>
          <w:shd w:fill="auto" w:val="clear"/>
          <w:vertAlign w:val="baseline"/>
        </w:rPr>
      </w:pPr>
      <w:r w:rsidDel="00000000" w:rsidR="00000000" w:rsidRPr="00000000">
        <w:rPr>
          <w:sz w:val="42"/>
          <w:szCs w:val="42"/>
          <w:rtl w:val="0"/>
        </w:rPr>
        <w:t xml:space="preserve"> Early Alzheimer’s Detection using Deep Learning model </w:t>
      </w:r>
      <w:r w:rsidDel="00000000" w:rsidR="00000000" w:rsidRPr="00000000">
        <w:rPr>
          <w:rtl w:val="0"/>
        </w:rPr>
      </w:r>
    </w:p>
    <w:p w:rsidR="00000000" w:rsidDel="00000000" w:rsidP="00000000" w:rsidRDefault="00000000" w:rsidRPr="00000000" w14:paraId="00000002">
      <w:pPr>
        <w:spacing w:after="240" w:before="240" w:lineRule="auto"/>
        <w:ind w:left="-280" w:right="-600" w:firstLine="0"/>
        <w:jc w:val="center"/>
        <w:rPr>
          <w:rFonts w:ascii="Courier" w:cs="Courier" w:eastAsia="Courier" w:hAnsi="Courier"/>
          <w:sz w:val="22"/>
          <w:szCs w:val="22"/>
        </w:rPr>
      </w:pPr>
      <w:r w:rsidDel="00000000" w:rsidR="00000000" w:rsidRPr="00000000">
        <w:rPr>
          <w:rFonts w:ascii="Courier" w:cs="Courier" w:eastAsia="Courier" w:hAnsi="Courier"/>
          <w:sz w:val="22"/>
          <w:szCs w:val="22"/>
          <w:rtl w:val="0"/>
        </w:rPr>
        <w:t xml:space="preserve">B Sahasraa, Kampalli Rishitha</w:t>
      </w:r>
    </w:p>
    <w:p w:rsidR="00000000" w:rsidDel="00000000" w:rsidP="00000000" w:rsidRDefault="00000000" w:rsidRPr="00000000" w14:paraId="00000003">
      <w:pPr>
        <w:spacing w:after="240" w:before="240" w:lineRule="auto"/>
        <w:ind w:left="-280" w:right="-600" w:firstLine="0"/>
        <w:jc w:val="center"/>
        <w:rPr>
          <w:rFonts w:ascii="Courier" w:cs="Courier" w:eastAsia="Courier" w:hAnsi="Courier"/>
          <w:i w:val="1"/>
          <w:iCs w:val="1"/>
          <w:sz w:val="20"/>
          <w:szCs w:val="20"/>
        </w:rPr>
      </w:pPr>
      <w:r w:rsidDel="00000000" w:rsidR="00000000" w:rsidRPr="00000000">
        <w:rPr>
          <w:rFonts w:ascii="Courier" w:cs="Courier" w:eastAsia="Courier" w:hAnsi="Courier"/>
          <w:i w:val="1"/>
          <w:iCs w:val="1"/>
          <w:sz w:val="20"/>
          <w:szCs w:val="20"/>
          <w:rtl w:val="0"/>
        </w:rPr>
        <w:t xml:space="preserve">Amrita School of  Computing</w:t>
      </w:r>
    </w:p>
    <w:p w:rsidR="00000000" w:rsidDel="00000000" w:rsidP="00000000" w:rsidRDefault="00000000" w:rsidRPr="00000000" w14:paraId="00000004">
      <w:pPr>
        <w:spacing w:after="240" w:before="240" w:lineRule="auto"/>
        <w:ind w:left="-280" w:right="-600" w:firstLine="0"/>
        <w:jc w:val="center"/>
        <w:rPr>
          <w:rFonts w:ascii="Courier" w:cs="Courier" w:eastAsia="Courier" w:hAnsi="Courier"/>
          <w:i w:val="1"/>
          <w:iCs w:val="1"/>
          <w:sz w:val="20"/>
          <w:szCs w:val="20"/>
        </w:rPr>
      </w:pPr>
      <w:r w:rsidDel="00000000" w:rsidR="00000000" w:rsidRPr="00000000">
        <w:rPr>
          <w:rFonts w:ascii="Roboto" w:cs="Roboto" w:eastAsia="Roboto" w:hAnsi="Roboto"/>
          <w:i w:val="1"/>
          <w:iCs w:val="1"/>
          <w:sz w:val="20"/>
          <w:szCs w:val="20"/>
          <w:rtl w:val="0"/>
        </w:rPr>
        <w:t xml:space="preserve">Amrita Vishwa Vidyapeetham</w:t>
      </w:r>
      <w:r w:rsidDel="00000000" w:rsidR="00000000" w:rsidRPr="00000000">
        <w:rPr>
          <w:rFonts w:ascii="Courier" w:cs="Courier" w:eastAsia="Courier" w:hAnsi="Courier"/>
          <w:i w:val="1"/>
          <w:iCs w:val="1"/>
          <w:sz w:val="20"/>
          <w:szCs w:val="20"/>
          <w:rtl w:val="0"/>
        </w:rPr>
        <w:t xml:space="preserve"> </w:t>
      </w:r>
    </w:p>
    <w:p w:rsidR="00000000" w:rsidDel="00000000" w:rsidP="00000000" w:rsidRDefault="00000000" w:rsidRPr="00000000" w14:paraId="00000005">
      <w:pPr>
        <w:spacing w:after="240" w:before="240" w:lineRule="auto"/>
        <w:jc w:val="center"/>
        <w:rPr>
          <w:rFonts w:ascii="Courier" w:cs="Courier" w:eastAsia="Courier" w:hAnsi="Courier"/>
          <w:b w:val="1"/>
          <w:bCs w:val="1"/>
          <w:sz w:val="14"/>
          <w:szCs w:val="14"/>
        </w:rPr>
      </w:pPr>
      <w:r w:rsidDel="00000000" w:rsidR="00000000" w:rsidRPr="00000000">
        <w:rPr>
          <w:rFonts w:ascii="Courier" w:cs="Courier" w:eastAsia="Courier" w:hAnsi="Courier"/>
          <w:i w:val="1"/>
          <w:iCs w:val="1"/>
          <w:sz w:val="20"/>
          <w:szCs w:val="20"/>
          <w:rtl w:val="0"/>
        </w:rPr>
        <w:t xml:space="preserve">Bangalore, India  </w:t>
      </w:r>
      <w:r w:rsidDel="00000000" w:rsidR="00000000" w:rsidRPr="00000000">
        <w:rPr>
          <w:rFonts w:ascii="Courier" w:cs="Courier" w:eastAsia="Courier" w:hAnsi="Courier"/>
          <w:b w:val="1"/>
          <w:bCs w:val="1"/>
          <w:i w:val="1"/>
          <w:iCs w:val="1"/>
          <w:sz w:val="20"/>
          <w:szCs w:val="20"/>
          <w:rtl w:val="0"/>
        </w:rPr>
        <w:t xml:space="preserve">  </w:t>
      </w:r>
      <w:r w:rsidDel="00000000" w:rsidR="00000000" w:rsidRPr="00000000">
        <w:rPr>
          <w:rFonts w:ascii="Courier" w:cs="Courier" w:eastAsia="Courier" w:hAnsi="Courier"/>
          <w:b w:val="1"/>
          <w:bCs w:val="1"/>
          <w:i w:val="1"/>
          <w:iCs w:val="1"/>
          <w:sz w:val="14"/>
          <w:szCs w:val="14"/>
          <w:rtl w:val="0"/>
        </w:rPr>
        <w:t xml:space="preserve">         </w:t>
      </w:r>
      <w:r w:rsidDel="00000000" w:rsidR="00000000" w:rsidRPr="00000000">
        <w:rPr>
          <w:rFonts w:ascii="Courier" w:cs="Courier" w:eastAsia="Courier" w:hAnsi="Courier"/>
          <w:b w:val="1"/>
          <w:bCs w:val="1"/>
          <w:sz w:val="14"/>
          <w:szCs w:val="14"/>
          <w:rtl w:val="0"/>
        </w:rPr>
        <w:t xml:space="preserve">                        </w:t>
      </w:r>
    </w:p>
    <w:p w:rsidR="00000000" w:rsidDel="00000000" w:rsidP="00000000" w:rsidRDefault="00000000" w:rsidRPr="00000000" w14:paraId="00000006">
      <w:pPr>
        <w:spacing w:after="240" w:before="240" w:lineRule="auto"/>
        <w:ind w:left="-280" w:right="-600" w:firstLine="0"/>
        <w:jc w:val="left"/>
        <w:rPr>
          <w:rFonts w:ascii="Courier" w:cs="Courier" w:eastAsia="Courier" w:hAnsi="Courier"/>
          <w:b w:val="1"/>
          <w:bCs w:val="1"/>
          <w:sz w:val="18"/>
          <w:szCs w:val="18"/>
        </w:rPr>
      </w:pPr>
      <w:r w:rsidDel="00000000" w:rsidR="00000000" w:rsidRPr="00000000">
        <w:rPr>
          <w:rFonts w:ascii="Courier" w:cs="Courier" w:eastAsia="Courier" w:hAnsi="Courier"/>
          <w:b w:val="1"/>
          <w:bCs w:val="1"/>
          <w:sz w:val="18"/>
          <w:szCs w:val="18"/>
          <w:rtl w:val="0"/>
        </w:rPr>
        <w:t xml:space="preserve">                                   bl.sc.u4aie24009@bl.students.amrita.edu</w:t>
      </w:r>
    </w:p>
    <w:p w:rsidR="00000000" w:rsidDel="00000000" w:rsidP="00000000" w:rsidRDefault="00000000" w:rsidRPr="00000000" w14:paraId="00000007">
      <w:pPr>
        <w:spacing w:after="240" w:before="240" w:lineRule="auto"/>
        <w:jc w:val="center"/>
        <w:rPr>
          <w:rFonts w:ascii="Courier" w:cs="Courier" w:eastAsia="Courier" w:hAnsi="Courier"/>
          <w:b w:val="1"/>
          <w:bCs w:val="1"/>
          <w:sz w:val="18"/>
          <w:szCs w:val="18"/>
        </w:rPr>
      </w:pPr>
      <w:r w:rsidDel="00000000" w:rsidR="00000000" w:rsidRPr="00000000">
        <w:rPr>
          <w:rFonts w:ascii="Courier" w:cs="Courier" w:eastAsia="Courier" w:hAnsi="Courier"/>
          <w:b w:val="1"/>
          <w:bCs w:val="1"/>
          <w:sz w:val="18"/>
          <w:szCs w:val="18"/>
          <w:rtl w:val="0"/>
        </w:rPr>
        <w:t xml:space="preserve"> bl.sc.u4aie24020@bl.students.amrita.edu</w:t>
      </w:r>
    </w:p>
    <w:p w:rsidR="00000000" w:rsidDel="00000000" w:rsidP="00000000" w:rsidRDefault="00000000" w:rsidRPr="00000000" w14:paraId="00000008">
      <w:pPr>
        <w:spacing w:after="240" w:before="240" w:lineRule="auto"/>
        <w:jc w:val="center"/>
        <w:rPr>
          <w:rFonts w:ascii="Courier" w:cs="Courier" w:eastAsia="Courier" w:hAnsi="Courier"/>
          <w:b w:val="1"/>
          <w:bCs w:val="1"/>
          <w:sz w:val="18"/>
          <w:szCs w:val="18"/>
        </w:rPr>
      </w:pPr>
      <w:r w:rsidDel="00000000" w:rsidR="00000000" w:rsidRPr="00000000">
        <w:rPr>
          <w:rtl w:val="0"/>
        </w:rPr>
      </w:r>
    </w:p>
    <w:p w:rsidR="00000000" w:rsidDel="00000000" w:rsidP="00000000" w:rsidRDefault="00000000" w:rsidRPr="00000000" w14:paraId="00000009">
      <w:pPr>
        <w:spacing w:line="240" w:lineRule="auto"/>
        <w:rPr>
          <w:vertAlign w:val="baseline"/>
        </w:rPr>
        <w:sectPr>
          <w:pgSz w:h="16838" w:w="11906" w:orient="portrait"/>
          <w:pgMar w:bottom="2438" w:top="1077" w:left="0" w:right="811" w:header="709" w:footer="709"/>
          <w:pgNumType w:start="1"/>
        </w:sect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Fonts w:ascii="Arial" w:cs="Arial" w:eastAsia="Arial" w:hAnsi="Arial"/>
          <w:b w:val="1"/>
          <w:bCs w:val="1"/>
          <w:color w:val="111827"/>
          <w:sz w:val="21"/>
          <w:szCs w:val="21"/>
          <w:highlight w:val="white"/>
          <w:rtl w:val="0"/>
        </w:rPr>
        <w:t xml:space="preserve">Abstract—</w:t>
      </w:r>
      <w:r w:rsidDel="00000000" w:rsidR="00000000" w:rsidRPr="00000000">
        <w:rPr>
          <w:rFonts w:ascii="Arial" w:cs="Arial" w:eastAsia="Arial" w:hAnsi="Arial"/>
          <w:color w:val="111827"/>
          <w:sz w:val="21"/>
          <w:szCs w:val="21"/>
          <w:highlight w:val="white"/>
          <w:rtl w:val="0"/>
        </w:rPr>
        <w:t xml:space="preserve">Alzheimer’s disease (AD) is a progressive neurodegenerative disorder and memory loss that affects memory and cognitive functions.</w:t>
      </w:r>
      <w:r w:rsidDel="00000000" w:rsidR="00000000" w:rsidRPr="00000000">
        <w:rPr>
          <w:rtl w:val="0"/>
        </w:rPr>
        <w:t xml:space="preserve">Early detection of Alzheimer’s disease remains a significant biomedical challenge due to complex molecular mechanisms and limited labeled datasets. In this work, we have developed a protein‑sequence–based preprocessing framework for Alzheimer’s disease analysis using cosine similarity–based redundancy removal and global alignment scoring. A dataset of 1229 protein sequences related to Alzheimer’s biomarkers was collected from publicly available biological databases including National Center for Biotechnology Information (NCBI) and UniProt.</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Sequences were vectorized using k‑mer frequency encoding and filtered using cosine similarity to remove highly redundant entries. Global alignment was then applied to assess biological similarity. This cleaned dataset forms the basis for downstream deep learning applications. The proposed approach improves dataset quality by eliminating sequence redundancy while preserving biologically meaningful patterns. Experimental results demonstrate effective redundancy reduction and sequence consistency, providing a reliable foundation for Alzheimer’s disease prediction models.</w:t>
      </w:r>
    </w:p>
    <w:p w:rsidR="00000000" w:rsidDel="00000000" w:rsidP="00000000" w:rsidRDefault="00000000" w:rsidRPr="00000000" w14:paraId="0000000E">
      <w:pPr>
        <w:rPr/>
      </w:pPr>
      <w:r w:rsidDel="00000000" w:rsidR="00000000" w:rsidRPr="00000000">
        <w:rPr>
          <w:rtl w:val="0"/>
        </w:rPr>
        <w:t xml:space="preserve">.</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vertAlign w:val="baseline"/>
        </w:rPr>
      </w:pPr>
      <w:r w:rsidDel="00000000" w:rsidR="00000000" w:rsidRPr="00000000">
        <w:rPr>
          <w:rtl w:val="0"/>
        </w:rPr>
      </w:r>
    </w:p>
    <w:p w:rsidR="00000000" w:rsidDel="00000000" w:rsidP="00000000" w:rsidRDefault="00000000" w:rsidRPr="00000000" w14:paraId="00000011">
      <w:pPr>
        <w:rPr/>
      </w:pPr>
      <w:r w:rsidDel="00000000" w:rsidR="00000000" w:rsidRPr="00000000">
        <w:rPr>
          <w:b w:val="1"/>
          <w:bCs w:val="1"/>
          <w:i w:val="1"/>
          <w:iCs w:val="1"/>
          <w:vertAlign w:val="baseline"/>
          <w:rtl w:val="0"/>
        </w:rPr>
        <w:t xml:space="preserve">Keywords</w:t>
      </w:r>
      <w:r w:rsidDel="00000000" w:rsidR="00000000" w:rsidRPr="00000000">
        <w:rPr>
          <w:vertAlign w:val="baseline"/>
          <w:rtl w:val="0"/>
        </w:rPr>
        <w:t xml:space="preserve">— </w:t>
      </w:r>
      <w:r w:rsidDel="00000000" w:rsidR="00000000" w:rsidRPr="00000000">
        <w:rPr>
          <w:rtl w:val="0"/>
        </w:rPr>
        <w:t xml:space="preserve"> Alzheimer’s Disease, Protein Sequences, Cosine Similarity,Global sequence alignment , Redundancy Removal, Deep Learning, Bioinformatics.</w:t>
      </w:r>
    </w:p>
    <w:p w:rsidR="00000000" w:rsidDel="00000000" w:rsidP="00000000" w:rsidRDefault="00000000" w:rsidRPr="00000000" w14:paraId="00000012">
      <w:pPr>
        <w:rPr>
          <w:b w:val="1"/>
          <w:bCs w:val="1"/>
          <w:sz w:val="18"/>
          <w:szCs w:val="18"/>
        </w:rPr>
      </w:pPr>
      <w:r w:rsidDel="00000000" w:rsidR="00000000" w:rsidRPr="00000000">
        <w:rPr>
          <w:rtl w:val="0"/>
        </w:rPr>
      </w:r>
    </w:p>
    <w:p w:rsidR="00000000" w:rsidDel="00000000" w:rsidP="00000000" w:rsidRDefault="00000000" w:rsidRPr="00000000" w14:paraId="00000013">
      <w:pPr>
        <w:numPr>
          <w:ilvl w:val="0"/>
          <w:numId w:val="2"/>
        </w:numPr>
        <w:ind w:left="288"/>
        <w:jc w:val="center"/>
        <w:rPr/>
      </w:pPr>
      <w:r w:rsidDel="00000000" w:rsidR="00000000" w:rsidRPr="00000000">
        <w:rPr>
          <w:rtl w:val="0"/>
        </w:rPr>
        <w:t xml:space="preserve">Introduction</w:t>
      </w:r>
      <w:r w:rsidDel="00000000" w:rsidR="00000000" w:rsidRPr="00000000">
        <w:rPr>
          <w:rtl w:val="0"/>
        </w:rPr>
      </w:r>
    </w:p>
    <w:p w:rsidR="00000000" w:rsidDel="00000000" w:rsidP="00000000" w:rsidRDefault="00000000" w:rsidRPr="00000000" w14:paraId="00000014">
      <w:pPr>
        <w:spacing w:after="240" w:before="240" w:lineRule="auto"/>
        <w:jc w:val="both"/>
        <w:rPr/>
      </w:pPr>
      <w:r w:rsidDel="00000000" w:rsidR="00000000" w:rsidRPr="00000000">
        <w:rPr>
          <w:rtl w:val="0"/>
        </w:rPr>
        <w:t xml:space="preserve"> In this generation of rapid growth of biological and computational data and technology , analyzing sequence similarity has become an essential task in fields such as bioinformatics, data mining, and pattern recognition. Identif</w:t>
      </w:r>
      <w:r w:rsidDel="00000000" w:rsidR="00000000" w:rsidRPr="00000000">
        <w:rPr>
          <w:highlight w:val="white"/>
          <w:rtl w:val="0"/>
        </w:rPr>
        <w:t xml:space="preserve">ying similarit</w:t>
      </w:r>
      <w:r w:rsidDel="00000000" w:rsidR="00000000" w:rsidRPr="00000000">
        <w:rPr>
          <w:rtl w:val="0"/>
        </w:rPr>
        <w:t xml:space="preserve">ies among sequences helps in understanding relationships, detecting redundancies, and extracting meaningful insights from large datasets.</w:t>
      </w:r>
    </w:p>
    <w:p w:rsidR="00000000" w:rsidDel="00000000" w:rsidP="00000000" w:rsidRDefault="00000000" w:rsidRPr="00000000" w14:paraId="00000015">
      <w:pPr>
        <w:rPr/>
      </w:pPr>
      <w:r w:rsidDel="00000000" w:rsidR="00000000" w:rsidRPr="00000000">
        <w:rPr>
          <w:rtl w:val="0"/>
        </w:rPr>
        <w:t xml:space="preserve">Molecular biomarkers such as APP, APOE, PSEN1, PSEN2, and MAPT proteins play critical roles in disease progression. Recent advances in deep learning have enabled automated analysis of biological sequences for disease detection.</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Previous studies such as Hatters et al. analyzed APOE protein isoforms at the molecular level. However, these works did not apply machine learning or similarity‑based clustering across multiple Alzheimer biomarkers. Inspired by protein‑level Alzheimer research and IEEE deep learning studies, this work introduces a novel preprocessing framework using k‑mer encoding and cosine similarity for redundancy removal across APP, APOE, PSEN1, PSEN2, and MAPT protein sequences.</w:t>
      </w:r>
    </w:p>
    <w:p w:rsidR="00000000" w:rsidDel="00000000" w:rsidP="00000000" w:rsidRDefault="00000000" w:rsidRPr="00000000" w14:paraId="00000018">
      <w:pPr>
        <w:rPr/>
      </w:pPr>
      <w:r w:rsidDel="00000000" w:rsidR="00000000" w:rsidRPr="00000000">
        <w:rPr>
          <w:rtl w:val="0"/>
        </w:rPr>
        <w:t xml:space="preserve">However, most public datasets contain redundant or highly similar sequences, which negatively impacts model generalization. Therefore, effective preprocessing and redundancy removal are essential before applying machine learning techniques.</w:t>
      </w:r>
    </w:p>
    <w:p w:rsidR="00000000" w:rsidDel="00000000" w:rsidP="00000000" w:rsidRDefault="00000000" w:rsidRPr="00000000" w14:paraId="00000019">
      <w:pPr>
        <w:rPr/>
      </w:pPr>
      <w:r w:rsidDel="00000000" w:rsidR="00000000" w:rsidRPr="00000000">
        <w:rPr>
          <w:rtl w:val="0"/>
        </w:rPr>
        <w:t xml:space="preserve">This work focuses on constructing a high‑quality Alzheimer’s protein dataset and applying cosine similarity–based clustering to remove redundant sequences prior to model development.</w:t>
      </w:r>
    </w:p>
    <w:p w:rsidR="00000000" w:rsidDel="00000000" w:rsidP="00000000" w:rsidRDefault="00000000" w:rsidRPr="00000000" w14:paraId="0000001A">
      <w:pPr>
        <w:spacing w:after="240" w:before="240" w:lineRule="auto"/>
        <w:jc w:val="both"/>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16"/>
        <w:jc w:val="both"/>
        <w:rPr>
          <w:sz w:val="20"/>
          <w:szCs w:val="20"/>
        </w:rPr>
      </w:pPr>
      <w:r w:rsidDel="00000000" w:rsidR="00000000" w:rsidRPr="00000000">
        <w:rPr>
          <w:rtl w:val="0"/>
        </w:rPr>
      </w:r>
    </w:p>
    <w:p w:rsidR="00000000" w:rsidDel="00000000" w:rsidP="00000000" w:rsidRDefault="00000000" w:rsidRPr="00000000" w14:paraId="0000001C">
      <w:pPr>
        <w:rPr>
          <w:rFonts w:ascii="Arial" w:cs="Arial" w:eastAsia="Arial" w:hAnsi="Arial"/>
          <w:color w:val="111827"/>
          <w:highlight w:val="white"/>
        </w:rPr>
      </w:pPr>
      <w:r w:rsidDel="00000000" w:rsidR="00000000" w:rsidRPr="00000000">
        <w:rPr>
          <w:rtl w:val="0"/>
        </w:rPr>
        <w:t xml:space="preserve">                        II. Problem Statement</w:t>
      </w:r>
      <w:r w:rsidDel="00000000" w:rsidR="00000000" w:rsidRPr="00000000">
        <w:rPr>
          <w:rtl w:val="0"/>
        </w:rPr>
      </w:r>
    </w:p>
    <w:p w:rsidR="00000000" w:rsidDel="00000000" w:rsidP="00000000" w:rsidRDefault="00000000" w:rsidRPr="00000000" w14:paraId="0000001D">
      <w:pPr>
        <w:jc w:val="both"/>
        <w:rPr>
          <w:rFonts w:ascii="Arial" w:cs="Arial" w:eastAsia="Arial" w:hAnsi="Arial"/>
          <w:color w:val="111827"/>
          <w:sz w:val="21"/>
          <w:szCs w:val="21"/>
          <w:highlight w:val="white"/>
        </w:rPr>
      </w:pPr>
      <w:r w:rsidDel="00000000" w:rsidR="00000000" w:rsidRPr="00000000">
        <w:rPr>
          <w:rFonts w:ascii="Arial" w:cs="Arial" w:eastAsia="Arial" w:hAnsi="Arial"/>
          <w:color w:val="111827"/>
          <w:sz w:val="21"/>
          <w:szCs w:val="21"/>
          <w:highlight w:val="white"/>
          <w:rtl w:val="0"/>
        </w:rPr>
        <w:t xml:space="preserve"> </w:t>
      </w:r>
    </w:p>
    <w:p w:rsidR="00000000" w:rsidDel="00000000" w:rsidP="00000000" w:rsidRDefault="00000000" w:rsidRPr="00000000" w14:paraId="0000001E">
      <w:pPr>
        <w:rPr>
          <w:rFonts w:ascii="Arial" w:cs="Arial" w:eastAsia="Arial" w:hAnsi="Arial"/>
          <w:color w:val="111827"/>
          <w:sz w:val="21"/>
          <w:szCs w:val="21"/>
          <w:highlight w:val="white"/>
        </w:rPr>
      </w:pPr>
      <w:r w:rsidDel="00000000" w:rsidR="00000000" w:rsidRPr="00000000">
        <w:rPr>
          <w:rtl w:val="0"/>
        </w:rPr>
        <w:t xml:space="preserve">Existing Alzheimer’s bioinformatics studies often rely on small or highly redundant datasets. This leads to biased learning and reduced prediction accuracy. </w:t>
      </w:r>
      <w:r w:rsidDel="00000000" w:rsidR="00000000" w:rsidRPr="00000000">
        <w:rPr>
          <w:rtl w:val="0"/>
        </w:rPr>
      </w:r>
    </w:p>
    <w:p w:rsidR="00000000" w:rsidDel="00000000" w:rsidP="00000000" w:rsidRDefault="00000000" w:rsidRPr="00000000" w14:paraId="0000001F">
      <w:pPr>
        <w:ind w:left="0" w:firstLine="0"/>
        <w:rPr/>
      </w:pPr>
      <w:r w:rsidDel="00000000" w:rsidR="00000000" w:rsidRPr="00000000">
        <w:rPr>
          <w:rtl w:val="0"/>
        </w:rPr>
        <w:t xml:space="preserve">There is a need for:</w:t>
      </w:r>
    </w:p>
    <w:p w:rsidR="00000000" w:rsidDel="00000000" w:rsidP="00000000" w:rsidRDefault="00000000" w:rsidRPr="00000000" w14:paraId="00000020">
      <w:pPr>
        <w:numPr>
          <w:ilvl w:val="0"/>
          <w:numId w:val="1"/>
        </w:numPr>
        <w:ind w:left="720" w:hanging="360"/>
      </w:pPr>
      <w:r w:rsidDel="00000000" w:rsidR="00000000" w:rsidRPr="00000000">
        <w:rPr>
          <w:rtl w:val="0"/>
        </w:rPr>
        <w:t xml:space="preserve">Large‑scale sequence retrieval</w:t>
      </w:r>
    </w:p>
    <w:p w:rsidR="00000000" w:rsidDel="00000000" w:rsidP="00000000" w:rsidRDefault="00000000" w:rsidRPr="00000000" w14:paraId="00000021">
      <w:pPr>
        <w:numPr>
          <w:ilvl w:val="0"/>
          <w:numId w:val="1"/>
        </w:numPr>
        <w:ind w:left="720" w:hanging="360"/>
      </w:pPr>
      <w:r w:rsidDel="00000000" w:rsidR="00000000" w:rsidRPr="00000000">
        <w:rPr>
          <w:rtl w:val="0"/>
        </w:rPr>
        <w:t xml:space="preserve">Similarity‑aware redundancy removal</w:t>
      </w:r>
    </w:p>
    <w:p w:rsidR="00000000" w:rsidDel="00000000" w:rsidP="00000000" w:rsidRDefault="00000000" w:rsidRPr="00000000" w14:paraId="00000022">
      <w:pPr>
        <w:numPr>
          <w:ilvl w:val="0"/>
          <w:numId w:val="1"/>
        </w:numPr>
        <w:ind w:left="720" w:hanging="360"/>
      </w:pPr>
      <w:r w:rsidDel="00000000" w:rsidR="00000000" w:rsidRPr="00000000">
        <w:rPr>
          <w:rtl w:val="0"/>
        </w:rPr>
        <w:t xml:space="preserve">Biological validation of selected datasets</w:t>
      </w:r>
    </w:p>
    <w:p w:rsidR="00000000" w:rsidDel="00000000" w:rsidP="00000000" w:rsidRDefault="00000000" w:rsidRPr="00000000" w14:paraId="00000023">
      <w:pPr>
        <w:rPr/>
      </w:pPr>
      <w:r w:rsidDel="00000000" w:rsidR="00000000" w:rsidRPr="00000000">
        <w:rPr>
          <w:rtl w:val="0"/>
        </w:rPr>
        <w:t xml:space="preserve">before deep learning can be effectively applied.</w:t>
      </w:r>
    </w:p>
    <w:p w:rsidR="00000000" w:rsidDel="00000000" w:rsidP="00000000" w:rsidRDefault="00000000" w:rsidRPr="00000000" w14:paraId="00000024">
      <w:pPr>
        <w:ind w:left="720" w:firstLine="0"/>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               </w:t>
      </w:r>
    </w:p>
    <w:p w:rsidR="00000000" w:rsidDel="00000000" w:rsidP="00000000" w:rsidRDefault="00000000" w:rsidRPr="00000000" w14:paraId="00000026">
      <w:pPr>
        <w:jc w:val="center"/>
        <w:rPr/>
      </w:pPr>
      <w:r w:rsidDel="00000000" w:rsidR="00000000" w:rsidRPr="00000000">
        <w:rPr>
          <w:rtl w:val="0"/>
        </w:rPr>
        <w:t xml:space="preserve"> III. Methodology</w:t>
      </w:r>
    </w:p>
    <w:p w:rsidR="00000000" w:rsidDel="00000000" w:rsidP="00000000" w:rsidRDefault="00000000" w:rsidRPr="00000000" w14:paraId="00000027">
      <w:pPr>
        <w:pStyle w:val="Heading3"/>
        <w:numPr>
          <w:ilvl w:val="0"/>
          <w:numId w:val="3"/>
        </w:numPr>
        <w:ind w:left="720" w:hanging="360"/>
        <w:rPr>
          <w:rFonts w:ascii="Times New Roman" w:cs="Times New Roman" w:eastAsia="Times New Roman" w:hAnsi="Times New Roman"/>
          <w:b w:val="0"/>
          <w:bCs w:val="0"/>
          <w:sz w:val="24"/>
          <w:szCs w:val="24"/>
        </w:rPr>
      </w:pPr>
      <w:bookmarkStart w:colFirst="0" w:colLast="0" w:name="_heading=h.a5dahipavk2e" w:id="0"/>
      <w:bookmarkEnd w:id="0"/>
      <w:r w:rsidDel="00000000" w:rsidR="00000000" w:rsidRPr="00000000">
        <w:rPr>
          <w:rFonts w:ascii="Times New Roman" w:cs="Times New Roman" w:eastAsia="Times New Roman" w:hAnsi="Times New Roman"/>
          <w:b w:val="0"/>
          <w:bCs w:val="0"/>
          <w:sz w:val="24"/>
          <w:szCs w:val="24"/>
          <w:rtl w:val="0"/>
        </w:rPr>
        <w:t xml:space="preserve">A. Dataset Retrieval (1000+ Sequences)</w:t>
      </w:r>
    </w:p>
    <w:p w:rsidR="00000000" w:rsidDel="00000000" w:rsidP="00000000" w:rsidRDefault="00000000" w:rsidRPr="00000000" w14:paraId="00000028">
      <w:pPr>
        <w:numPr>
          <w:ilvl w:val="0"/>
          <w:numId w:val="3"/>
        </w:numPr>
        <w:ind w:left="720" w:hanging="360"/>
        <w:rPr/>
      </w:pPr>
      <w:r w:rsidDel="00000000" w:rsidR="00000000" w:rsidRPr="00000000">
        <w:rPr>
          <w:rtl w:val="0"/>
        </w:rPr>
        <w:t xml:space="preserve">Protein sequences associated with Alzheimer’s disease biomarkers were collected from NCBI and UniProt using keyword‑based queries. A total of 1229 FASTA sequences were retrieved.</w:t>
      </w:r>
    </w:p>
    <w:p w:rsidR="00000000" w:rsidDel="00000000" w:rsidP="00000000" w:rsidRDefault="00000000" w:rsidRPr="00000000" w14:paraId="00000029">
      <w:pPr>
        <w:pStyle w:val="Heading3"/>
        <w:numPr>
          <w:ilvl w:val="0"/>
          <w:numId w:val="3"/>
        </w:numPr>
        <w:ind w:left="720" w:hanging="360"/>
        <w:rPr>
          <w:rFonts w:ascii="Times New Roman" w:cs="Times New Roman" w:eastAsia="Times New Roman" w:hAnsi="Times New Roman"/>
          <w:b w:val="0"/>
          <w:bCs w:val="0"/>
          <w:sz w:val="24"/>
          <w:szCs w:val="24"/>
        </w:rPr>
      </w:pPr>
      <w:bookmarkStart w:colFirst="0" w:colLast="0" w:name="_heading=h.euyk8qio13tp" w:id="1"/>
      <w:bookmarkEnd w:id="1"/>
      <w:r w:rsidDel="00000000" w:rsidR="00000000" w:rsidRPr="00000000">
        <w:rPr>
          <w:rFonts w:ascii="Times New Roman" w:cs="Times New Roman" w:eastAsia="Times New Roman" w:hAnsi="Times New Roman"/>
          <w:b w:val="0"/>
          <w:bCs w:val="0"/>
          <w:sz w:val="24"/>
          <w:szCs w:val="24"/>
          <w:rtl w:val="0"/>
        </w:rPr>
        <w:t xml:space="preserve">B. Feature Encoding</w:t>
      </w:r>
    </w:p>
    <w:p w:rsidR="00000000" w:rsidDel="00000000" w:rsidP="00000000" w:rsidRDefault="00000000" w:rsidRPr="00000000" w14:paraId="0000002A">
      <w:pPr>
        <w:ind w:left="720" w:firstLine="0"/>
        <w:rPr/>
      </w:pPr>
      <w:r w:rsidDel="00000000" w:rsidR="00000000" w:rsidRPr="00000000">
        <w:rPr>
          <w:rtl w:val="0"/>
        </w:rPr>
        <w:t xml:space="preserve">Each protein sequence was converted into numerical form using k‑mer frequency encoding (k=3), transforming biological sequences into fixed‑length vectors.</w:t>
      </w:r>
    </w:p>
    <w:p w:rsidR="00000000" w:rsidDel="00000000" w:rsidP="00000000" w:rsidRDefault="00000000" w:rsidRPr="00000000" w14:paraId="0000002B">
      <w:pPr>
        <w:pStyle w:val="Heading3"/>
        <w:numPr>
          <w:ilvl w:val="0"/>
          <w:numId w:val="3"/>
        </w:numPr>
        <w:ind w:left="720" w:hanging="360"/>
        <w:rPr>
          <w:rFonts w:ascii="Times New Roman" w:cs="Times New Roman" w:eastAsia="Times New Roman" w:hAnsi="Times New Roman"/>
          <w:b w:val="0"/>
          <w:bCs w:val="0"/>
          <w:sz w:val="24"/>
          <w:szCs w:val="24"/>
        </w:rPr>
      </w:pPr>
      <w:bookmarkStart w:colFirst="0" w:colLast="0" w:name="_heading=h.tp3cifxk5u8s" w:id="2"/>
      <w:bookmarkEnd w:id="2"/>
      <w:r w:rsidDel="00000000" w:rsidR="00000000" w:rsidRPr="00000000">
        <w:rPr>
          <w:rFonts w:ascii="Times New Roman" w:cs="Times New Roman" w:eastAsia="Times New Roman" w:hAnsi="Times New Roman"/>
          <w:b w:val="0"/>
          <w:bCs w:val="0"/>
          <w:sz w:val="24"/>
          <w:szCs w:val="24"/>
          <w:rtl w:val="0"/>
        </w:rPr>
        <w:t xml:space="preserve">C. Redundancy Removal Using Cosine Similarity </w:t>
      </w:r>
    </w:p>
    <w:p w:rsidR="00000000" w:rsidDel="00000000" w:rsidP="00000000" w:rsidRDefault="00000000" w:rsidRPr="00000000" w14:paraId="0000002C">
      <w:pPr>
        <w:ind w:left="720" w:firstLine="0"/>
        <w:rPr/>
      </w:pPr>
      <w:sdt>
        <w:sdtPr>
          <w:id w:val="1187910633"/>
          <w:tag w:val="goog_rdk_0"/>
        </w:sdtPr>
        <w:sdtContent>
          <w:r w:rsidDel="00000000" w:rsidR="00000000" w:rsidRPr="00000000">
            <w:rPr>
              <w:rFonts w:ascii="Gungsuh" w:cs="Gungsuh" w:eastAsia="Gungsuh" w:hAnsi="Gungsuh"/>
              <w:rtl w:val="0"/>
            </w:rPr>
            <w:t xml:space="preserve">Cosine similarity was computed between all sequence vectors. Sequences with similarity ≥ 90% were considered redundant and removed.</w:t>
          </w:r>
        </w:sdtContent>
      </w:sdt>
    </w:p>
    <w:p w:rsidR="00000000" w:rsidDel="00000000" w:rsidP="00000000" w:rsidRDefault="00000000" w:rsidRPr="00000000" w14:paraId="0000002D">
      <w:pPr>
        <w:numPr>
          <w:ilvl w:val="0"/>
          <w:numId w:val="3"/>
        </w:numPr>
        <w:ind w:left="720" w:hanging="360"/>
        <w:rPr/>
      </w:pPr>
      <w:r w:rsidDel="00000000" w:rsidR="00000000" w:rsidRPr="00000000">
        <w:rPr>
          <w:rtl w:val="0"/>
        </w:rPr>
        <w:t xml:space="preserve">Novel Contribution:</w:t>
        <w:br w:type="textWrapping"/>
        <w:t xml:space="preserve">Unlike traditional exact‑match filtering or CD‑HIT clustering, this work applies cosine similarity on k‑mer embeddings, enabling removal of highly similar (not only identical) protein sequences.</w:t>
      </w:r>
    </w:p>
    <w:p w:rsidR="00000000" w:rsidDel="00000000" w:rsidP="00000000" w:rsidRDefault="00000000" w:rsidRPr="00000000" w14:paraId="0000002E">
      <w:pPr>
        <w:pStyle w:val="Heading3"/>
        <w:numPr>
          <w:ilvl w:val="0"/>
          <w:numId w:val="3"/>
        </w:numPr>
        <w:ind w:left="720" w:hanging="360"/>
        <w:rPr>
          <w:rFonts w:ascii="Times New Roman" w:cs="Times New Roman" w:eastAsia="Times New Roman" w:hAnsi="Times New Roman"/>
          <w:b w:val="0"/>
          <w:bCs w:val="0"/>
          <w:sz w:val="24"/>
          <w:szCs w:val="24"/>
        </w:rPr>
      </w:pPr>
      <w:bookmarkStart w:colFirst="0" w:colLast="0" w:name="_heading=h.a6z8ynqxjx1t" w:id="3"/>
      <w:bookmarkEnd w:id="3"/>
      <w:r w:rsidDel="00000000" w:rsidR="00000000" w:rsidRPr="00000000">
        <w:rPr>
          <w:rFonts w:ascii="Times New Roman" w:cs="Times New Roman" w:eastAsia="Times New Roman" w:hAnsi="Times New Roman"/>
          <w:b w:val="0"/>
          <w:bCs w:val="0"/>
          <w:sz w:val="24"/>
          <w:szCs w:val="24"/>
          <w:rtl w:val="0"/>
        </w:rPr>
        <w:t xml:space="preserve">D. Global Alignment Analysis</w:t>
      </w:r>
    </w:p>
    <w:p w:rsidR="00000000" w:rsidDel="00000000" w:rsidP="00000000" w:rsidRDefault="00000000" w:rsidRPr="00000000" w14:paraId="0000002F">
      <w:pPr>
        <w:ind w:left="720" w:firstLine="0"/>
        <w:rPr/>
      </w:pPr>
      <w:r w:rsidDel="00000000" w:rsidR="00000000" w:rsidRPr="00000000">
        <w:rPr>
          <w:rtl w:val="0"/>
        </w:rPr>
        <w:t xml:space="preserve">Global alignment scores were computed for representative sequences using Biopython to validate biological similarity preservation after filtering.</w:t>
      </w:r>
    </w:p>
    <w:p w:rsidR="00000000" w:rsidDel="00000000" w:rsidP="00000000" w:rsidRDefault="00000000" w:rsidRPr="00000000" w14:paraId="00000030">
      <w:pPr>
        <w:pStyle w:val="Heading3"/>
        <w:numPr>
          <w:ilvl w:val="0"/>
          <w:numId w:val="3"/>
        </w:numPr>
        <w:ind w:left="720" w:hanging="360"/>
        <w:rPr>
          <w:rFonts w:ascii="Times New Roman" w:cs="Times New Roman" w:eastAsia="Times New Roman" w:hAnsi="Times New Roman"/>
          <w:b w:val="0"/>
          <w:bCs w:val="0"/>
          <w:sz w:val="24"/>
          <w:szCs w:val="24"/>
        </w:rPr>
      </w:pPr>
      <w:bookmarkStart w:colFirst="0" w:colLast="0" w:name="_heading=h.2q0gy79512v" w:id="4"/>
      <w:bookmarkEnd w:id="4"/>
      <w:r w:rsidDel="00000000" w:rsidR="00000000" w:rsidRPr="00000000">
        <w:rPr>
          <w:rFonts w:ascii="Times New Roman" w:cs="Times New Roman" w:eastAsia="Times New Roman" w:hAnsi="Times New Roman"/>
          <w:b w:val="0"/>
          <w:bCs w:val="0"/>
          <w:sz w:val="24"/>
          <w:szCs w:val="24"/>
          <w:rtl w:val="0"/>
        </w:rPr>
        <w:t xml:space="preserve">E. Dataset Validation</w:t>
      </w:r>
    </w:p>
    <w:p w:rsidR="00000000" w:rsidDel="00000000" w:rsidP="00000000" w:rsidRDefault="00000000" w:rsidRPr="00000000" w14:paraId="00000031">
      <w:pPr>
        <w:ind w:left="720" w:firstLine="0"/>
        <w:rPr/>
      </w:pPr>
      <w:r w:rsidDel="00000000" w:rsidR="00000000" w:rsidRPr="00000000">
        <w:rPr>
          <w:rtl w:val="0"/>
        </w:rPr>
        <w:t xml:space="preserve">Sequence length distributions and alignment scores were analyzed to confirm consistency of the filtered dataset with known Alzheimer protein characteristics.</w:t>
      </w:r>
    </w:p>
    <w:p w:rsidR="00000000" w:rsidDel="00000000" w:rsidP="00000000" w:rsidRDefault="00000000" w:rsidRPr="00000000" w14:paraId="00000032">
      <w:pPr>
        <w:ind w:left="720" w:firstLine="0"/>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                  IV. Results and Discussion</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numPr>
          <w:ilvl w:val="0"/>
          <w:numId w:val="4"/>
        </w:numPr>
        <w:ind w:left="720" w:hanging="360"/>
      </w:pPr>
      <w:r w:rsidDel="00000000" w:rsidR="00000000" w:rsidRPr="00000000">
        <w:rPr>
          <w:rtl w:val="0"/>
        </w:rPr>
        <w:t xml:space="preserve">Initial sequences: 1229</w:t>
      </w:r>
    </w:p>
    <w:p w:rsidR="00000000" w:rsidDel="00000000" w:rsidP="00000000" w:rsidRDefault="00000000" w:rsidRPr="00000000" w14:paraId="00000038">
      <w:pPr>
        <w:numPr>
          <w:ilvl w:val="0"/>
          <w:numId w:val="4"/>
        </w:numPr>
        <w:ind w:left="720" w:hanging="360"/>
      </w:pPr>
      <w:r w:rsidDel="00000000" w:rsidR="00000000" w:rsidRPr="00000000">
        <w:rPr>
          <w:rtl w:val="0"/>
        </w:rPr>
        <w:t xml:space="preserve">After cosine similarity filtering: reduced to a non‑redundant set</w:t>
      </w:r>
    </w:p>
    <w:p w:rsidR="00000000" w:rsidDel="00000000" w:rsidP="00000000" w:rsidRDefault="00000000" w:rsidRPr="00000000" w14:paraId="00000039">
      <w:pPr>
        <w:numPr>
          <w:ilvl w:val="0"/>
          <w:numId w:val="4"/>
        </w:numPr>
        <w:ind w:left="720" w:hanging="360"/>
      </w:pPr>
      <w:r w:rsidDel="00000000" w:rsidR="00000000" w:rsidRPr="00000000">
        <w:rPr>
          <w:rtl w:val="0"/>
        </w:rPr>
        <w:t xml:space="preserve">Sequences after removing duplicates or redundant ones  is  838</w:t>
      </w:r>
    </w:p>
    <w:p w:rsidR="00000000" w:rsidDel="00000000" w:rsidP="00000000" w:rsidRDefault="00000000" w:rsidRPr="00000000" w14:paraId="0000003A">
      <w:pPr>
        <w:numPr>
          <w:ilvl w:val="0"/>
          <w:numId w:val="4"/>
        </w:numPr>
        <w:ind w:left="720" w:hanging="360"/>
      </w:pPr>
      <w:r w:rsidDel="00000000" w:rsidR="00000000" w:rsidRPr="00000000">
        <w:rPr>
          <w:rtl w:val="0"/>
        </w:rPr>
        <w:t xml:space="preserve">Duplicates removed: 391</w:t>
      </w:r>
    </w:p>
    <w:p w:rsidR="00000000" w:rsidDel="00000000" w:rsidP="00000000" w:rsidRDefault="00000000" w:rsidRPr="00000000" w14:paraId="0000003B">
      <w:pPr>
        <w:numPr>
          <w:ilvl w:val="0"/>
          <w:numId w:val="4"/>
        </w:numPr>
        <w:ind w:left="720" w:hanging="360"/>
      </w:pPr>
      <w:r w:rsidDel="00000000" w:rsidR="00000000" w:rsidRPr="00000000">
        <w:rPr>
          <w:rtl w:val="0"/>
        </w:rPr>
        <w:t xml:space="preserve">Global alignment scores confirmed conserved biological patterns</w:t>
      </w:r>
    </w:p>
    <w:p w:rsidR="00000000" w:rsidDel="00000000" w:rsidP="00000000" w:rsidRDefault="00000000" w:rsidRPr="00000000" w14:paraId="0000003C">
      <w:pPr>
        <w:numPr>
          <w:ilvl w:val="0"/>
          <w:numId w:val="4"/>
        </w:numPr>
        <w:ind w:left="720" w:hanging="360"/>
      </w:pPr>
      <w:r w:rsidDel="00000000" w:rsidR="00000000" w:rsidRPr="00000000">
        <w:rPr>
          <w:rtl w:val="0"/>
        </w:rPr>
        <w:t xml:space="preserve">Redundancy removal significantly improved dataset diversity</w:t>
      </w:r>
    </w:p>
    <w:p w:rsidR="00000000" w:rsidDel="00000000" w:rsidP="00000000" w:rsidRDefault="00000000" w:rsidRPr="00000000" w14:paraId="0000003D">
      <w:pPr>
        <w:rPr/>
      </w:pPr>
      <w:r w:rsidDel="00000000" w:rsidR="00000000" w:rsidRPr="00000000">
        <w:rPr>
          <w:rtl w:val="0"/>
        </w:rPr>
        <w:t xml:space="preserve">Precision of 1.0, recall of 0.31814483319772174, F1‑score of  0.48271604938271606, and confusion matrix metrics [[  0   0] [838 391]]were computed to evaluate clustering effectiveness.</w:t>
      </w:r>
    </w:p>
    <w:p w:rsidR="00000000" w:rsidDel="00000000" w:rsidP="00000000" w:rsidRDefault="00000000" w:rsidRPr="00000000" w14:paraId="0000003E">
      <w:pPr>
        <w:rPr/>
      </w:pPr>
      <w:r w:rsidDel="00000000" w:rsidR="00000000" w:rsidRPr="00000000">
        <w:rPr>
          <w:rtl w:val="0"/>
        </w:rPr>
        <w:t xml:space="preserve">The results indicate that cosine similarity filtering successfully removes redundant sequences while preserving disease‑relevant information.</w:t>
      </w:r>
    </w:p>
    <w:p w:rsidR="00000000" w:rsidDel="00000000" w:rsidP="00000000" w:rsidRDefault="00000000" w:rsidRPr="00000000" w14:paraId="0000003F">
      <w:pPr>
        <w:ind w:left="720" w:firstLine="0"/>
        <w:rPr/>
      </w:pPr>
      <w:r w:rsidDel="00000000" w:rsidR="00000000" w:rsidRPr="00000000">
        <w:rPr>
          <w:rtl w:val="0"/>
        </w:rPr>
      </w:r>
    </w:p>
    <w:p w:rsidR="00000000" w:rsidDel="00000000" w:rsidP="00000000" w:rsidRDefault="00000000" w:rsidRPr="00000000" w14:paraId="00000040">
      <w:pPr>
        <w:jc w:val="both"/>
        <w:rPr/>
      </w:pPr>
      <w:r w:rsidDel="00000000" w:rsidR="00000000" w:rsidRPr="00000000">
        <w:rPr>
          <w:rtl w:val="0"/>
        </w:rPr>
      </w:r>
    </w:p>
    <w:p w:rsidR="00000000" w:rsidDel="00000000" w:rsidP="00000000" w:rsidRDefault="00000000" w:rsidRPr="00000000" w14:paraId="00000041">
      <w:pPr>
        <w:jc w:val="both"/>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                     V. Conclusion</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This project successfully implemented a complete pipeline for early Alzheimer’s detection using protein‑sequence–based data and this study presents a similarity‑aware preprocessing framework for Alzheimer’s protein sequence analysis. By combining k‑mer encoding with cosine similarity clustering, redundant sequences were effectively removed, producing a biologically consistent dataset suitable for deep learning. Future work will focus on CNN/LSTM‑based classification models for early Alzheimer’s prediction.</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jc w:val="both"/>
        <w:rPr/>
      </w:pPr>
      <w:r w:rsidDel="00000000" w:rsidR="00000000" w:rsidRPr="00000000">
        <w:rPr>
          <w:rtl w:val="0"/>
        </w:rPr>
      </w:r>
    </w:p>
    <w:p w:rsidR="00000000" w:rsidDel="00000000" w:rsidP="00000000" w:rsidRDefault="00000000" w:rsidRPr="00000000" w14:paraId="00000049">
      <w:pPr>
        <w:jc w:val="both"/>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                   </w:t>
      </w:r>
    </w:p>
    <w:p w:rsidR="00000000" w:rsidDel="00000000" w:rsidP="00000000" w:rsidRDefault="00000000" w:rsidRPr="00000000" w14:paraId="0000004B">
      <w:pPr>
        <w:rPr/>
      </w:pPr>
      <w:r w:rsidDel="00000000" w:rsidR="00000000" w:rsidRPr="00000000">
        <w:rPr>
          <w:rtl w:val="0"/>
        </w:rPr>
        <w:t xml:space="preserve">                  VI. Acknowledgement</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jc w:val="both"/>
        <w:rPr/>
      </w:pPr>
      <w:r w:rsidDel="00000000" w:rsidR="00000000" w:rsidRPr="00000000">
        <w:rPr>
          <w:rtl w:val="0"/>
        </w:rPr>
        <w:t xml:space="preserve">  "We extend our  heartfelt gratitude to our advisor, Dr. Vasavi CS ma’am, for his valuable guidance and support throughout this project. We would also like to thank Amrita University for providing this beautiful opportunity to develop this literature survey."</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                           VII. References</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jc w:val="both"/>
        <w:rPr/>
      </w:pPr>
      <w:r w:rsidDel="00000000" w:rsidR="00000000" w:rsidRPr="00000000">
        <w:rPr>
          <w:rtl w:val="0"/>
        </w:rPr>
        <w:t xml:space="preserve">[1] J. Hatters, C. Peters-Libeu, and K. Weisgraber, “The molecular basis for Alzheimer’s disease: The role of APOE protein isoforms,” Journal of Molecular Biology, vol. 361, no. 5, pp. 932–944, 2006.</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jc w:val="both"/>
        <w:rPr/>
      </w:pPr>
      <w:r w:rsidDel="00000000" w:rsidR="00000000" w:rsidRPr="00000000">
        <w:rPr>
          <w:rtl w:val="0"/>
        </w:rPr>
      </w:r>
    </w:p>
    <w:p w:rsidR="00000000" w:rsidDel="00000000" w:rsidP="00000000" w:rsidRDefault="00000000" w:rsidRPr="00000000" w14:paraId="00000054">
      <w:pPr>
        <w:jc w:val="both"/>
        <w:rPr/>
      </w:pP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50" w:line="240" w:lineRule="auto"/>
        <w:ind w:left="288"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sectPr>
      <w:type w:val="continuous"/>
      <w:pgSz w:h="16838" w:w="11906" w:orient="portrait"/>
      <w:pgMar w:bottom="2438" w:top="1077" w:left="811" w:right="811" w:header="709" w:footer="709"/>
      <w:cols w:equalWidth="0" w:num="2">
        <w:col w:space="238" w:w="5023.000000000001"/>
        <w:col w:space="0" w:w="5023.000000000001"/>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Gungsuh"/>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upperRoman"/>
      <w:lvlText w:val="%1."/>
      <w:lvlJc w:val="left"/>
      <w:pPr>
        <w:ind w:left="288" w:hanging="288"/>
      </w:pPr>
      <w:rPr>
        <w:rFonts w:ascii="Times New Roman" w:cs="Times New Roman" w:eastAsia="Times New Roman" w:hAnsi="Times New Roman"/>
        <w:b w:val="0"/>
        <w:bCs w:val="0"/>
        <w:i w:val="0"/>
        <w:iCs w:val="0"/>
        <w:smallCaps w:val="1"/>
        <w:strike w:val="0"/>
        <w:color w:val="000000"/>
        <w:sz w:val="20"/>
        <w:szCs w:val="20"/>
        <w:u w:val="none"/>
        <w:vertAlign w:val="baseline"/>
      </w:rPr>
    </w:lvl>
    <w:lvl w:ilvl="1">
      <w:start w:val="1"/>
      <w:numFmt w:val="upperLetter"/>
      <w:lvlText w:val="%2."/>
      <w:lvlJc w:val="left"/>
      <w:pPr>
        <w:ind w:left="288" w:hanging="288"/>
      </w:pPr>
      <w:rPr>
        <w:rFonts w:ascii="Times New Roman" w:cs="Times New Roman" w:eastAsia="Times New Roman" w:hAnsi="Times New Roman"/>
        <w:b w:val="0"/>
        <w:bCs w:val="0"/>
        <w:i w:val="0"/>
        <w:iCs w:val="0"/>
        <w:sz w:val="20"/>
        <w:szCs w:val="20"/>
        <w:vertAlign w:val="baseline"/>
      </w:rPr>
    </w:lvl>
    <w:lvl w:ilvl="2">
      <w:start w:val="1"/>
      <w:numFmt w:val="decimal"/>
      <w:lvlText w:val="%1.%2.%3"/>
      <w:lvlJc w:val="left"/>
      <w:pPr>
        <w:ind w:left="720" w:hanging="720"/>
      </w:pPr>
      <w:rPr>
        <w:vertAlign w:val="baseline"/>
      </w:rPr>
    </w:lvl>
    <w:lvl w:ilvl="3">
      <w:start w:val="1"/>
      <w:numFmt w:val="decimal"/>
      <w:lvlText w:val="%1.%2.%3.%4"/>
      <w:lvlJc w:val="left"/>
      <w:pPr>
        <w:ind w:left="864" w:hanging="864"/>
      </w:pPr>
      <w:rPr>
        <w:vertAlign w:val="baseline"/>
      </w:rPr>
    </w:lvl>
    <w:lvl w:ilvl="4">
      <w:start w:val="1"/>
      <w:numFmt w:val="decimal"/>
      <w:lvlText w:val="%1.%2.%3.%4.%5"/>
      <w:lvlJc w:val="left"/>
      <w:pPr>
        <w:ind w:left="1008" w:hanging="1008"/>
      </w:pPr>
      <w:rPr>
        <w:vertAlign w:val="baseline"/>
      </w:rPr>
    </w:lvl>
    <w:lvl w:ilvl="5">
      <w:start w:val="1"/>
      <w:numFmt w:val="decimal"/>
      <w:lvlText w:val="%1.%2.%3.%4.%5.%6"/>
      <w:lvlJc w:val="left"/>
      <w:pPr>
        <w:ind w:left="1152" w:hanging="1152"/>
      </w:pPr>
      <w:rPr>
        <w:vertAlign w:val="baseline"/>
      </w:rPr>
    </w:lvl>
    <w:lvl w:ilvl="6">
      <w:start w:val="1"/>
      <w:numFmt w:val="decimal"/>
      <w:lvlText w:val="%1.%2.%3.%4.%5.%6.%7"/>
      <w:lvlJc w:val="left"/>
      <w:pPr>
        <w:ind w:left="1296" w:hanging="1296"/>
      </w:pPr>
      <w:rPr>
        <w:vertAlign w:val="baseline"/>
      </w:rPr>
    </w:lvl>
    <w:lvl w:ilvl="7">
      <w:start w:val="1"/>
      <w:numFmt w:val="decimal"/>
      <w:lvlText w:val="%1.%2.%3.%4.%5.%6.%7.%8"/>
      <w:lvlJc w:val="left"/>
      <w:pPr>
        <w:ind w:left="1440" w:hanging="1440"/>
      </w:pPr>
      <w:rPr>
        <w:vertAlign w:val="baseline"/>
      </w:rPr>
    </w:lvl>
    <w:lvl w:ilvl="8">
      <w:start w:val="1"/>
      <w:numFmt w:val="decimal"/>
      <w:lvlText w:val="%1.%2.%3.%4.%5.%6.%7.%8.%9"/>
      <w:lvlJc w:val="left"/>
      <w:pPr>
        <w:ind w:left="1584" w:hanging="1584"/>
      </w:pPr>
      <w:rPr>
        <w:vertAlign w:val="baseli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AU"/>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240" w:lineRule="auto"/>
    </w:pPr>
    <w:rPr>
      <w:rFonts w:ascii="Arial" w:cs="Arial" w:eastAsia="Arial" w:hAnsi="Arial"/>
      <w:b w:val="1"/>
      <w:bCs w:val="1"/>
      <w:sz w:val="32"/>
      <w:szCs w:val="32"/>
      <w:vertAlign w:val="baseline"/>
    </w:rPr>
  </w:style>
  <w:style w:type="paragraph" w:styleId="Heading2">
    <w:name w:val="heading 2"/>
    <w:basedOn w:val="Normal"/>
    <w:next w:val="Normal"/>
    <w:pPr>
      <w:keepNext w:val="1"/>
      <w:spacing w:after="60" w:before="240" w:lineRule="auto"/>
    </w:pPr>
    <w:rPr>
      <w:rFonts w:ascii="Arial" w:cs="Arial" w:eastAsia="Arial" w:hAnsi="Arial"/>
      <w:b w:val="1"/>
      <w:bCs w:val="1"/>
      <w:i w:val="1"/>
      <w:iCs w:val="1"/>
      <w:sz w:val="28"/>
      <w:szCs w:val="28"/>
      <w:vertAlign w:val="baseline"/>
    </w:rPr>
  </w:style>
  <w:style w:type="paragraph" w:styleId="Heading3">
    <w:name w:val="heading 3"/>
    <w:basedOn w:val="Normal"/>
    <w:next w:val="Normal"/>
    <w:pPr>
      <w:keepNext w:val="1"/>
      <w:spacing w:after="60" w:before="240" w:lineRule="auto"/>
      <w:ind w:left="360" w:hanging="360"/>
    </w:pPr>
    <w:rPr>
      <w:rFonts w:ascii="Arial" w:cs="Arial" w:eastAsia="Arial" w:hAnsi="Arial"/>
      <w:b w:val="1"/>
      <w:bCs w:val="1"/>
      <w:sz w:val="26"/>
      <w:szCs w:val="26"/>
      <w:vertAlign w:val="baseline"/>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name w:val="Default Paragraph Font"/>
    <w:next w:val="DefaultParagraphFont"/>
    <w:autoRedefine w:val="0"/>
    <w:hidden w:val="0"/>
    <w:qFormat w:val="0"/>
    <w:rPr>
      <w:w w:val="100"/>
      <w:position w:val="-1"/>
      <w:effect w:val="none"/>
      <w:vertAlign w:val="baseline"/>
      <w:cs w:val="0"/>
      <w:em w:val="none"/>
      <w:lang/>
    </w:rPr>
  </w:style>
  <w:style w:type="table" w:styleId="TableNormal">
    <w:name w:val="Table Normal"/>
    <w:next w:val="TableNormal"/>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NoList">
    <w:name w:val="No List"/>
    <w:next w:val="NoList"/>
    <w:autoRedefine w:val="0"/>
    <w:hidden w:val="0"/>
    <w:qFormat w:val="0"/>
    <w:pPr>
      <w:suppressAutoHyphens w:val="1"/>
      <w:spacing w:line="1" w:lineRule="atLeast"/>
      <w:ind w:leftChars="-1" w:rightChars="0" w:firstLineChars="-1"/>
      <w:textDirection w:val="btLr"/>
      <w:textAlignment w:val="top"/>
      <w:outlineLvl w:val="0"/>
    </w:pPr>
  </w:style>
  <w:style w:type="paragraph" w:styleId="IEEEAuthorName">
    <w:name w:val="IEEE Author Name"/>
    <w:basedOn w:val="Normal"/>
    <w:next w:val="Normal"/>
    <w:autoRedefine w:val="0"/>
    <w:hidden w:val="0"/>
    <w:qFormat w:val="0"/>
    <w:pPr>
      <w:suppressAutoHyphens w:val="1"/>
      <w:adjustRightInd w:val="0"/>
      <w:spacing w:after="120" w:before="120" w:line="1" w:lineRule="atLeast"/>
      <w:ind w:leftChars="-1" w:rightChars="0" w:firstLineChars="-1"/>
      <w:jc w:val="center"/>
      <w:textDirection w:val="btLr"/>
      <w:textAlignment w:val="top"/>
      <w:outlineLvl w:val="0"/>
    </w:pPr>
    <w:rPr>
      <w:w w:val="100"/>
      <w:position w:val="-1"/>
      <w:sz w:val="22"/>
      <w:szCs w:val="24"/>
      <w:effect w:val="none"/>
      <w:vertAlign w:val="baseline"/>
      <w:cs w:val="0"/>
      <w:em w:val="none"/>
      <w:lang w:bidi="ar-SA" w:eastAsia="zh-CN" w:val="en-GB"/>
    </w:rPr>
  </w:style>
  <w:style w:type="paragraph" w:styleId="IEEEAuthorAffiliation">
    <w:name w:val="IEEE Author Affiliation"/>
    <w:basedOn w:val="Normal"/>
    <w:next w:val="Normal"/>
    <w:autoRedefine w:val="0"/>
    <w:hidden w:val="0"/>
    <w:qFormat w:val="0"/>
    <w:pPr>
      <w:suppressAutoHyphens w:val="1"/>
      <w:spacing w:after="60" w:line="1" w:lineRule="atLeast"/>
      <w:ind w:leftChars="-1" w:rightChars="0" w:firstLineChars="-1"/>
      <w:jc w:val="center"/>
      <w:textDirection w:val="btLr"/>
      <w:textAlignment w:val="top"/>
      <w:outlineLvl w:val="0"/>
    </w:pPr>
    <w:rPr>
      <w:i w:val="1"/>
      <w:w w:val="100"/>
      <w:position w:val="-1"/>
      <w:sz w:val="20"/>
      <w:szCs w:val="24"/>
      <w:effect w:val="none"/>
      <w:vertAlign w:val="baseline"/>
      <w:cs w:val="0"/>
      <w:em w:val="none"/>
      <w:lang w:bidi="ar-SA" w:eastAsia="zh-CN" w:val="en-GB"/>
    </w:rPr>
  </w:style>
  <w:style w:type="paragraph" w:styleId="IEEEHeading2">
    <w:name w:val="IEEE Heading 2"/>
    <w:basedOn w:val="Normal"/>
    <w:next w:val="IEEEParagraph"/>
    <w:autoRedefine w:val="0"/>
    <w:hidden w:val="0"/>
    <w:qFormat w:val="0"/>
    <w:pPr>
      <w:numPr>
        <w:ilvl w:val="0"/>
        <w:numId w:val="37"/>
      </w:numPr>
      <w:suppressAutoHyphens w:val="1"/>
      <w:adjustRightInd w:val="0"/>
      <w:spacing w:after="60" w:before="150" w:line="1" w:lineRule="atLeast"/>
      <w:ind w:left="289" w:leftChars="-1" w:rightChars="0" w:hanging="289" w:firstLineChars="-1"/>
      <w:textDirection w:val="btLr"/>
      <w:textAlignment w:val="top"/>
      <w:outlineLvl w:val="0"/>
    </w:pPr>
    <w:rPr>
      <w:i w:val="1"/>
      <w:w w:val="100"/>
      <w:position w:val="-1"/>
      <w:sz w:val="20"/>
      <w:szCs w:val="24"/>
      <w:effect w:val="none"/>
      <w:vertAlign w:val="baseline"/>
      <w:cs w:val="0"/>
      <w:em w:val="none"/>
      <w:lang w:bidi="ar-SA" w:eastAsia="zh-CN" w:val="en-AU"/>
    </w:rPr>
  </w:style>
  <w:style w:type="paragraph" w:styleId="IEEEAuthorEmail">
    <w:name w:val="IEEE Author Email"/>
    <w:next w:val="IEEEAuthorAffiliation"/>
    <w:autoRedefine w:val="0"/>
    <w:hidden w:val="0"/>
    <w:qFormat w:val="0"/>
    <w:pPr>
      <w:suppressAutoHyphens w:val="1"/>
      <w:spacing w:after="60" w:line="1" w:lineRule="atLeast"/>
      <w:ind w:leftChars="-1" w:rightChars="0" w:firstLineChars="-1"/>
      <w:jc w:val="center"/>
      <w:textDirection w:val="btLr"/>
      <w:textAlignment w:val="top"/>
      <w:outlineLvl w:val="0"/>
    </w:pPr>
    <w:rPr>
      <w:rFonts w:ascii="Courier" w:eastAsia="Times New Roman" w:hAnsi="Courier"/>
      <w:w w:val="100"/>
      <w:position w:val="-1"/>
      <w:sz w:val="18"/>
      <w:szCs w:val="24"/>
      <w:effect w:val="none"/>
      <w:vertAlign w:val="baseline"/>
      <w:cs w:val="0"/>
      <w:em w:val="none"/>
      <w:lang w:bidi="ar-SA" w:eastAsia="en-GB" w:val="en-GB"/>
    </w:rPr>
  </w:style>
  <w:style w:type="paragraph" w:styleId="IEEEAbstractHeading">
    <w:name w:val="IEEE Abstract Heading"/>
    <w:basedOn w:val="IEEEAbtract"/>
    <w:next w:val="IEEEAbtract"/>
    <w:autoRedefine w:val="0"/>
    <w:hidden w:val="0"/>
    <w:qFormat w:val="0"/>
    <w:pPr>
      <w:suppressAutoHyphens w:val="1"/>
      <w:adjustRightInd w:val="0"/>
      <w:spacing w:line="1" w:lineRule="atLeast"/>
      <w:ind w:leftChars="-1" w:rightChars="0" w:firstLineChars="-1"/>
      <w:jc w:val="both"/>
      <w:textDirection w:val="btLr"/>
      <w:textAlignment w:val="top"/>
      <w:outlineLvl w:val="0"/>
    </w:pPr>
    <w:rPr>
      <w:b w:val="1"/>
      <w:i w:val="1"/>
      <w:w w:val="100"/>
      <w:position w:val="-1"/>
      <w:sz w:val="18"/>
      <w:szCs w:val="24"/>
      <w:effect w:val="none"/>
      <w:vertAlign w:val="baseline"/>
      <w:cs w:val="0"/>
      <w:em w:val="none"/>
      <w:lang w:bidi="ar-SA" w:eastAsia="zh-CN" w:val="en-GB"/>
    </w:rPr>
  </w:style>
  <w:style w:type="character" w:styleId="IEEEAbstractHeadingChar">
    <w:name w:val="IEEE Abstract Heading Char"/>
    <w:basedOn w:val="DefaultParagraphFont"/>
    <w:next w:val="IEEEAbstractHeadingChar"/>
    <w:autoRedefine w:val="0"/>
    <w:hidden w:val="0"/>
    <w:qFormat w:val="0"/>
    <w:rPr>
      <w:b w:val="1"/>
      <w:i w:val="1"/>
      <w:w w:val="100"/>
      <w:position w:val="-1"/>
      <w:sz w:val="18"/>
      <w:szCs w:val="24"/>
      <w:effect w:val="none"/>
      <w:vertAlign w:val="baseline"/>
      <w:cs w:val="0"/>
      <w:em w:val="none"/>
      <w:lang w:bidi="ar-SA" w:eastAsia="en-GB" w:val="en-GB"/>
    </w:rPr>
  </w:style>
  <w:style w:type="paragraph" w:styleId="IEEEAbtract">
    <w:name w:val="IEEE Abtract"/>
    <w:basedOn w:val="Normal"/>
    <w:next w:val="Normal"/>
    <w:autoRedefine w:val="0"/>
    <w:hidden w:val="0"/>
    <w:qFormat w:val="0"/>
    <w:pPr>
      <w:suppressAutoHyphens w:val="1"/>
      <w:adjustRightInd w:val="0"/>
      <w:spacing w:line="1" w:lineRule="atLeast"/>
      <w:ind w:leftChars="-1" w:rightChars="0" w:firstLineChars="-1"/>
      <w:jc w:val="both"/>
      <w:textDirection w:val="btLr"/>
      <w:textAlignment w:val="top"/>
      <w:outlineLvl w:val="0"/>
    </w:pPr>
    <w:rPr>
      <w:b w:val="1"/>
      <w:w w:val="100"/>
      <w:position w:val="-1"/>
      <w:sz w:val="18"/>
      <w:szCs w:val="24"/>
      <w:effect w:val="none"/>
      <w:vertAlign w:val="baseline"/>
      <w:cs w:val="0"/>
      <w:em w:val="none"/>
      <w:lang w:bidi="ar-SA" w:eastAsia="zh-CN" w:val="en-GB"/>
    </w:rPr>
  </w:style>
  <w:style w:type="character" w:styleId="IEEEAbtractChar">
    <w:name w:val="IEEE Abtract Char"/>
    <w:basedOn w:val="DefaultParagraphFont"/>
    <w:next w:val="IEEEAbtractChar"/>
    <w:autoRedefine w:val="0"/>
    <w:hidden w:val="0"/>
    <w:qFormat w:val="0"/>
    <w:rPr>
      <w:b w:val="1"/>
      <w:w w:val="100"/>
      <w:position w:val="-1"/>
      <w:sz w:val="18"/>
      <w:szCs w:val="24"/>
      <w:effect w:val="none"/>
      <w:vertAlign w:val="baseline"/>
      <w:cs w:val="0"/>
      <w:em w:val="none"/>
      <w:lang w:bidi="ar-SA" w:eastAsia="en-GB" w:val="en-GB"/>
    </w:rPr>
  </w:style>
  <w:style w:type="paragraph" w:styleId="IEEEParagraph">
    <w:name w:val="IEEE Paragraph"/>
    <w:basedOn w:val="Normal"/>
    <w:next w:val="IEEEParagraph"/>
    <w:autoRedefine w:val="0"/>
    <w:hidden w:val="0"/>
    <w:qFormat w:val="0"/>
    <w:pPr>
      <w:suppressAutoHyphens w:val="1"/>
      <w:adjustRightInd w:val="0"/>
      <w:spacing w:line="1" w:lineRule="atLeast"/>
      <w:ind w:leftChars="-1" w:rightChars="0" w:firstLine="216" w:firstLineChars="-1"/>
      <w:jc w:val="both"/>
      <w:textDirection w:val="btLr"/>
      <w:textAlignment w:val="top"/>
      <w:outlineLvl w:val="0"/>
    </w:pPr>
    <w:rPr>
      <w:w w:val="100"/>
      <w:position w:val="-1"/>
      <w:sz w:val="20"/>
      <w:szCs w:val="24"/>
      <w:effect w:val="none"/>
      <w:vertAlign w:val="baseline"/>
      <w:cs w:val="0"/>
      <w:em w:val="none"/>
      <w:lang w:bidi="ar-SA" w:eastAsia="zh-CN" w:val="en-AU"/>
    </w:rPr>
  </w:style>
  <w:style w:type="paragraph" w:styleId="IEEEHeading1">
    <w:name w:val="IEEE Heading 1"/>
    <w:basedOn w:val="Normal"/>
    <w:next w:val="IEEEParagraph"/>
    <w:autoRedefine w:val="0"/>
    <w:hidden w:val="0"/>
    <w:qFormat w:val="0"/>
    <w:pPr>
      <w:numPr>
        <w:ilvl w:val="0"/>
        <w:numId w:val="46"/>
      </w:numPr>
      <w:suppressAutoHyphens w:val="1"/>
      <w:adjustRightInd w:val="0"/>
      <w:spacing w:after="60" w:before="180" w:line="1" w:lineRule="atLeast"/>
      <w:ind w:left="289" w:leftChars="-1" w:rightChars="0" w:hanging="289" w:firstLineChars="-1"/>
      <w:jc w:val="center"/>
      <w:textDirection w:val="btLr"/>
      <w:textAlignment w:val="top"/>
      <w:outlineLvl w:val="0"/>
    </w:pPr>
    <w:rPr>
      <w:rFonts w:ascii="Times New Roman" w:hAnsi="Times New Roman"/>
      <w:smallCaps w:val="1"/>
      <w:w w:val="100"/>
      <w:position w:val="-1"/>
      <w:sz w:val="20"/>
      <w:szCs w:val="24"/>
      <w:effect w:val="none"/>
      <w:vertAlign w:val="baseline"/>
      <w:cs w:val="0"/>
      <w:em w:val="none"/>
      <w:lang w:bidi="ar-SA" w:eastAsia="zh-CN" w:val="en-AU"/>
    </w:rPr>
  </w:style>
  <w:style w:type="table" w:styleId="TableGrid">
    <w:name w:val="Table Grid"/>
    <w:basedOn w:val="TableNormal"/>
    <w:next w:val="TableGrid"/>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Grid"/>
      <w:jc w:val="left"/>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IEEETableCell">
    <w:name w:val="IEEE Table Cell"/>
    <w:basedOn w:val="IEEEParagraph"/>
    <w:next w:val="IEEETableCell"/>
    <w:autoRedefine w:val="0"/>
    <w:hidden w:val="0"/>
    <w:qFormat w:val="0"/>
    <w:pPr>
      <w:suppressAutoHyphens w:val="1"/>
      <w:adjustRightInd w:val="0"/>
      <w:spacing w:line="1" w:lineRule="atLeast"/>
      <w:ind w:leftChars="-1" w:rightChars="0" w:firstLine="0" w:firstLineChars="-1"/>
      <w:jc w:val="left"/>
      <w:textDirection w:val="btLr"/>
      <w:textAlignment w:val="top"/>
      <w:outlineLvl w:val="0"/>
    </w:pPr>
    <w:rPr>
      <w:w w:val="100"/>
      <w:position w:val="-1"/>
      <w:sz w:val="18"/>
      <w:szCs w:val="24"/>
      <w:effect w:val="none"/>
      <w:vertAlign w:val="baseline"/>
      <w:cs w:val="0"/>
      <w:em w:val="none"/>
      <w:lang w:bidi="ar-SA" w:eastAsia="zh-CN" w:val="en-AU"/>
    </w:rPr>
  </w:style>
  <w:style w:type="paragraph" w:styleId="IEEETitle">
    <w:name w:val="IEEE Title"/>
    <w:basedOn w:val="Normal"/>
    <w:next w:val="IEEEAuthorName"/>
    <w:autoRedefine w:val="0"/>
    <w:hidden w:val="0"/>
    <w:qFormat w:val="0"/>
    <w:pPr>
      <w:suppressAutoHyphens w:val="1"/>
      <w:adjustRightInd w:val="0"/>
      <w:spacing w:line="1" w:lineRule="atLeast"/>
      <w:ind w:leftChars="-1" w:rightChars="0" w:firstLineChars="-1"/>
      <w:jc w:val="center"/>
      <w:textDirection w:val="btLr"/>
      <w:textAlignment w:val="top"/>
      <w:outlineLvl w:val="0"/>
    </w:pPr>
    <w:rPr>
      <w:w w:val="100"/>
      <w:position w:val="-1"/>
      <w:sz w:val="48"/>
      <w:szCs w:val="24"/>
      <w:effect w:val="none"/>
      <w:vertAlign w:val="baseline"/>
      <w:cs w:val="0"/>
      <w:em w:val="none"/>
      <w:lang w:bidi="ar-SA" w:eastAsia="zh-CN" w:val="en-AU"/>
    </w:rPr>
  </w:style>
  <w:style w:type="paragraph" w:styleId="IEEEHeading3">
    <w:name w:val="IEEE Heading 3"/>
    <w:basedOn w:val="Normal"/>
    <w:next w:val="IEEEParagraph"/>
    <w:autoRedefine w:val="0"/>
    <w:hidden w:val="0"/>
    <w:qFormat w:val="0"/>
    <w:pPr>
      <w:numPr>
        <w:ilvl w:val="0"/>
        <w:numId w:val="24"/>
      </w:numPr>
      <w:suppressAutoHyphens w:val="1"/>
      <w:adjustRightInd w:val="0"/>
      <w:spacing w:after="60" w:before="120" w:line="1" w:lineRule="atLeast"/>
      <w:ind w:leftChars="-1" w:rightChars="0" w:firstLine="216" w:firstLineChars="-1"/>
      <w:jc w:val="both"/>
      <w:textDirection w:val="btLr"/>
      <w:textAlignment w:val="top"/>
      <w:outlineLvl w:val="0"/>
    </w:pPr>
    <w:rPr>
      <w:i w:val="1"/>
      <w:w w:val="100"/>
      <w:position w:val="-1"/>
      <w:sz w:val="20"/>
      <w:szCs w:val="24"/>
      <w:effect w:val="none"/>
      <w:vertAlign w:val="baseline"/>
      <w:cs w:val="0"/>
      <w:em w:val="none"/>
      <w:lang w:bidi="ar-SA" w:eastAsia="zh-CN" w:val="en-AU"/>
    </w:rPr>
  </w:style>
  <w:style w:type="paragraph" w:styleId="IEEETableCaption">
    <w:name w:val="IEEE Table Caption"/>
    <w:basedOn w:val="Normal"/>
    <w:next w:val="IEEEParagraph"/>
    <w:autoRedefine w:val="0"/>
    <w:hidden w:val="0"/>
    <w:qFormat w:val="0"/>
    <w:pPr>
      <w:suppressAutoHyphens w:val="1"/>
      <w:spacing w:after="120" w:before="120" w:line="1" w:lineRule="atLeast"/>
      <w:ind w:leftChars="-1" w:rightChars="0" w:firstLineChars="-1"/>
      <w:jc w:val="center"/>
      <w:textDirection w:val="btLr"/>
      <w:textAlignment w:val="top"/>
      <w:outlineLvl w:val="0"/>
    </w:pPr>
    <w:rPr>
      <w:smallCaps w:val="1"/>
      <w:w w:val="100"/>
      <w:position w:val="-1"/>
      <w:sz w:val="16"/>
      <w:szCs w:val="24"/>
      <w:effect w:val="none"/>
      <w:vertAlign w:val="baseline"/>
      <w:cs w:val="0"/>
      <w:em w:val="none"/>
      <w:lang w:bidi="ar-SA" w:eastAsia="zh-CN" w:val="en-AU"/>
    </w:rPr>
  </w:style>
  <w:style w:type="paragraph" w:styleId="Caption">
    <w:name w:val="Caption"/>
    <w:basedOn w:val="Normal"/>
    <w:next w:val="Normal"/>
    <w:autoRedefine w:val="0"/>
    <w:hidden w:val="0"/>
    <w:qFormat w:val="0"/>
    <w:pPr>
      <w:suppressAutoHyphens w:val="1"/>
      <w:spacing w:after="120" w:before="120" w:line="1" w:lineRule="atLeast"/>
      <w:ind w:leftChars="-1" w:rightChars="0" w:firstLineChars="-1"/>
      <w:textDirection w:val="btLr"/>
      <w:textAlignment w:val="top"/>
      <w:outlineLvl w:val="0"/>
    </w:pPr>
    <w:rPr>
      <w:b w:val="1"/>
      <w:bCs w:val="1"/>
      <w:w w:val="100"/>
      <w:position w:val="-1"/>
      <w:sz w:val="20"/>
      <w:szCs w:val="20"/>
      <w:effect w:val="none"/>
      <w:vertAlign w:val="baseline"/>
      <w:cs w:val="0"/>
      <w:em w:val="none"/>
      <w:lang w:bidi="ar-SA" w:eastAsia="zh-CN" w:val="en-AU"/>
    </w:rPr>
  </w:style>
  <w:style w:type="character" w:styleId="IEEEParagraphChar">
    <w:name w:val="IEEE Paragraph Char"/>
    <w:basedOn w:val="DefaultParagraphFont"/>
    <w:next w:val="IEEEParagraphChar"/>
    <w:autoRedefine w:val="0"/>
    <w:hidden w:val="0"/>
    <w:qFormat w:val="0"/>
    <w:rPr>
      <w:w w:val="100"/>
      <w:position w:val="-1"/>
      <w:sz w:val="24"/>
      <w:szCs w:val="24"/>
      <w:effect w:val="none"/>
      <w:vertAlign w:val="baseline"/>
      <w:cs w:val="0"/>
      <w:em w:val="none"/>
      <w:lang w:bidi="ar-SA" w:eastAsia="zh-CN" w:val="en-AU"/>
    </w:rPr>
  </w:style>
  <w:style w:type="numbering" w:styleId="IEEEBullet1">
    <w:name w:val="IEEE Bullet 1"/>
    <w:basedOn w:val="NoList"/>
    <w:next w:val="IEEEBullet1"/>
    <w:autoRedefine w:val="0"/>
    <w:hidden w:val="0"/>
    <w:qFormat w:val="0"/>
    <w:pPr>
      <w:numPr>
        <w:ilvl w:val="0"/>
        <w:numId w:val="43"/>
      </w:numPr>
      <w:suppressAutoHyphens w:val="1"/>
      <w:spacing w:line="1" w:lineRule="atLeast"/>
      <w:ind w:leftChars="-1" w:rightChars="0" w:firstLineChars="-1"/>
      <w:textDirection w:val="btLr"/>
      <w:textAlignment w:val="top"/>
      <w:outlineLvl w:val="0"/>
    </w:pPr>
  </w:style>
  <w:style w:type="paragraph" w:styleId="IEEEFigureCaptionSingle-Line">
    <w:name w:val="IEEE Figure Caption Single-Line"/>
    <w:basedOn w:val="IEEETableCaption"/>
    <w:next w:val="IEEEParagraph"/>
    <w:autoRedefine w:val="0"/>
    <w:hidden w:val="0"/>
    <w:qFormat w:val="0"/>
    <w:pPr>
      <w:suppressAutoHyphens w:val="1"/>
      <w:spacing w:after="120" w:before="120" w:line="1" w:lineRule="atLeast"/>
      <w:ind w:leftChars="-1" w:rightChars="0" w:firstLineChars="-1"/>
      <w:jc w:val="center"/>
      <w:textDirection w:val="btLr"/>
      <w:textAlignment w:val="top"/>
      <w:outlineLvl w:val="0"/>
    </w:pPr>
    <w:rPr>
      <w:smallCaps w:val="0"/>
      <w:w w:val="100"/>
      <w:position w:val="-1"/>
      <w:sz w:val="16"/>
      <w:szCs w:val="24"/>
      <w:effect w:val="none"/>
      <w:vertAlign w:val="baseline"/>
      <w:cs w:val="0"/>
      <w:em w:val="none"/>
      <w:lang w:bidi="ar-SA" w:eastAsia="zh-CN" w:val="en-AU"/>
    </w:rPr>
  </w:style>
  <w:style w:type="character" w:styleId="IEEEHeading3Char">
    <w:name w:val="IEEE Heading 3 Char"/>
    <w:basedOn w:val="DefaultParagraphFont"/>
    <w:next w:val="IEEEHeading3Char"/>
    <w:autoRedefine w:val="0"/>
    <w:hidden w:val="0"/>
    <w:qFormat w:val="0"/>
    <w:rPr>
      <w:i w:val="1"/>
      <w:w w:val="100"/>
      <w:position w:val="-1"/>
      <w:szCs w:val="24"/>
      <w:effect w:val="none"/>
      <w:vertAlign w:val="baseline"/>
      <w:cs w:val="0"/>
      <w:em w:val="none"/>
      <w:lang w:bidi="ar-SA" w:eastAsia="zh-CN" w:val="en-AU"/>
    </w:rPr>
  </w:style>
  <w:style w:type="paragraph" w:styleId="IEEEFigure">
    <w:name w:val="IEEE Figure"/>
    <w:basedOn w:val="Normal"/>
    <w:next w:val="IEEEFigureCaptionSingle-Line"/>
    <w:autoRedefine w:val="0"/>
    <w:hidden w:val="0"/>
    <w:qFormat w:val="0"/>
    <w:pPr>
      <w:suppressAutoHyphens w:val="1"/>
      <w:spacing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zh-CN" w:val="en-AU"/>
    </w:rPr>
  </w:style>
  <w:style w:type="paragraph" w:styleId="IEEEReferenceItem">
    <w:name w:val="IEEE Reference Item"/>
    <w:basedOn w:val="Normal"/>
    <w:next w:val="IEEEReferenceItem"/>
    <w:autoRedefine w:val="0"/>
    <w:hidden w:val="0"/>
    <w:qFormat w:val="0"/>
    <w:pPr>
      <w:numPr>
        <w:ilvl w:val="0"/>
        <w:numId w:val="47"/>
      </w:numPr>
      <w:suppressAutoHyphens w:val="1"/>
      <w:adjustRightInd w:val="0"/>
      <w:spacing w:line="1" w:lineRule="atLeast"/>
      <w:ind w:leftChars="-1" w:rightChars="0" w:firstLineChars="-1"/>
      <w:jc w:val="both"/>
      <w:textDirection w:val="btLr"/>
      <w:textAlignment w:val="top"/>
      <w:outlineLvl w:val="0"/>
    </w:pPr>
    <w:rPr>
      <w:w w:val="100"/>
      <w:position w:val="-1"/>
      <w:sz w:val="16"/>
      <w:szCs w:val="24"/>
      <w:effect w:val="none"/>
      <w:vertAlign w:val="baseline"/>
      <w:cs w:val="0"/>
      <w:em w:val="none"/>
      <w:lang w:bidi="ar-SA" w:eastAsia="zh-CN" w:val="en-US"/>
    </w:rPr>
  </w:style>
  <w:style w:type="paragraph" w:styleId="IEEEFigureCaptionMulti-Lines">
    <w:name w:val="IEEE Figure Caption Multi-Lines"/>
    <w:basedOn w:val="IEEEFigureCaptionSingle-Line"/>
    <w:next w:val="IEEEParagraph"/>
    <w:autoRedefine w:val="0"/>
    <w:hidden w:val="0"/>
    <w:qFormat w:val="0"/>
    <w:pPr>
      <w:suppressAutoHyphens w:val="1"/>
      <w:spacing w:after="120" w:before="120" w:line="1" w:lineRule="atLeast"/>
      <w:ind w:leftChars="-1" w:rightChars="0" w:firstLineChars="-1"/>
      <w:jc w:val="both"/>
      <w:textDirection w:val="btLr"/>
      <w:textAlignment w:val="top"/>
      <w:outlineLvl w:val="0"/>
    </w:pPr>
    <w:rPr>
      <w:smallCaps w:val="0"/>
      <w:w w:val="100"/>
      <w:position w:val="-1"/>
      <w:sz w:val="16"/>
      <w:szCs w:val="24"/>
      <w:effect w:val="none"/>
      <w:vertAlign w:val="baseline"/>
      <w:cs w:val="0"/>
      <w:em w:val="none"/>
      <w:lang w:bidi="ar-SA" w:eastAsia="zh-CN" w:val="en-AU"/>
    </w:rPr>
  </w:style>
  <w:style w:type="paragraph" w:styleId="IEEETableHeaderCentered">
    <w:name w:val="IEEE Table Header Centered"/>
    <w:basedOn w:val="IEEETableCell"/>
    <w:next w:val="IEEETableHeaderCentered"/>
    <w:autoRedefine w:val="0"/>
    <w:hidden w:val="0"/>
    <w:qFormat w:val="0"/>
    <w:pPr>
      <w:suppressAutoHyphens w:val="1"/>
      <w:adjustRightInd w:val="0"/>
      <w:spacing w:line="1" w:lineRule="atLeast"/>
      <w:ind w:leftChars="-1" w:rightChars="0" w:firstLine="0" w:firstLineChars="-1"/>
      <w:jc w:val="center"/>
      <w:textDirection w:val="btLr"/>
      <w:textAlignment w:val="top"/>
      <w:outlineLvl w:val="0"/>
    </w:pPr>
    <w:rPr>
      <w:b w:val="1"/>
      <w:bCs w:val="1"/>
      <w:w w:val="100"/>
      <w:position w:val="-1"/>
      <w:sz w:val="18"/>
      <w:szCs w:val="24"/>
      <w:effect w:val="none"/>
      <w:vertAlign w:val="baseline"/>
      <w:cs w:val="0"/>
      <w:em w:val="none"/>
      <w:lang w:bidi="ar-SA" w:eastAsia="zh-CN" w:val="en-AU"/>
    </w:rPr>
  </w:style>
  <w:style w:type="paragraph" w:styleId="IEEETableHeaderLeft-Justified">
    <w:name w:val="IEEE Table Header Left-Justified"/>
    <w:basedOn w:val="IEEETableCell"/>
    <w:next w:val="IEEETableHeaderLeft-Justified"/>
    <w:autoRedefine w:val="0"/>
    <w:hidden w:val="0"/>
    <w:qFormat w:val="0"/>
    <w:pPr>
      <w:suppressAutoHyphens w:val="1"/>
      <w:adjustRightInd w:val="0"/>
      <w:spacing w:line="1" w:lineRule="atLeast"/>
      <w:ind w:leftChars="-1" w:rightChars="0" w:firstLine="0" w:firstLineChars="-1"/>
      <w:jc w:val="left"/>
      <w:textDirection w:val="btLr"/>
      <w:textAlignment w:val="top"/>
      <w:outlineLvl w:val="0"/>
    </w:pPr>
    <w:rPr>
      <w:b w:val="1"/>
      <w:bCs w:val="1"/>
      <w:w w:val="100"/>
      <w:position w:val="-1"/>
      <w:sz w:val="18"/>
      <w:szCs w:val="24"/>
      <w:effect w:val="none"/>
      <w:vertAlign w:val="baseline"/>
      <w:cs w:val="0"/>
      <w:em w:val="none"/>
      <w:lang w:bidi="ar-SA" w:eastAsia="zh-CN" w:val="en-AU"/>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c1TstqKQhK7gi0UevDSAGB0PPzQ==">CgMxLjAaFAoBMBIPCg0IB0IJEgdHdW5nc3VoMg5oLmE1ZGFoaXBhdmsyZTIOaC5ldXlrOHFpbzEzdHAyDmgudHAzY2lmeGs1dThzMg5oLmE2ejh5bnF4angxdDINaC4ycTBneTc5NTEydjgAciExRm5LMUVld2xZZWpzdTY2VkNpTDFleXVMRjJoQ0JCUlo=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2011-08-24T10:13:00Z</dcterms:created>
  <dc:creator>Causal Productions</dc:creator>
</cp:coreProperties>
</file>

<file path=docProps/custom.xml><?xml version="1.0" encoding="utf-8"?>
<Properties xmlns="http://schemas.openxmlformats.org/officeDocument/2006/custom-properties" xmlns:vt="http://schemas.openxmlformats.org/officeDocument/2006/docPropsVTypes"/>
</file>