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jc w:val="center"/>
      </w:pPr>
      <w:r>
        <w:t>Data Analytics Capstone</w:t>
      </w:r>
    </w:p>
    <w:p>
      <w:pPr>
        <w:pStyle w:val="Title"/>
        <w:ind w:firstLine="0"/>
        <w:jc w:val="center"/>
      </w:pPr>
      <w:r>
        <w:rPr>
          <w:rFonts w:ascii="Times New Roman" w:hAnsi="Times New Roman"/>
          <w:b/>
          <w:sz w:val="24"/>
        </w:rPr>
        <w:t>Reducing False Alarm Review in PCB Manufacturing Using Inspection Data</w:t>
      </w:r>
    </w:p>
    <w:p>
      <w:pPr>
        <w:ind w:firstLine="0"/>
        <w:jc w:val="center"/>
      </w:pPr>
      <w:r>
        <w:t>Synopsis</w:t>
      </w:r>
    </w:p>
    <w:p>
      <w:pPr>
        <w:ind w:firstLine="0"/>
        <w:jc w:val="center"/>
      </w:pPr>
      <w:r>
        <w:t>Murali Sahasranaman</w:t>
      </w:r>
    </w:p>
    <w:p>
      <w:pPr>
        <w:ind w:firstLine="0"/>
        <w:jc w:val="center"/>
      </w:pPr>
      <w:r>
        <w:t>Walsh College</w:t>
      </w:r>
    </w:p>
    <w:p>
      <w:pPr>
        <w:ind w:firstLine="0"/>
        <w:jc w:val="center"/>
      </w:pPr>
      <w:r>
        <w:t>QM640: Data Analytics Capstone</w:t>
      </w:r>
    </w:p>
    <w:p>
      <w:pPr>
        <w:ind w:firstLine="0"/>
        <w:jc w:val="center"/>
      </w:pPr>
      <w:r>
        <w:t>Mentor: ____________________</w:t>
      </w:r>
    </w:p>
    <w:p>
      <w:pPr>
        <w:ind w:firstLine="0"/>
        <w:jc w:val="center"/>
      </w:pPr>
      <w:r>
        <w:t>____________________ Term</w:t>
      </w:r>
    </w:p>
    <w:p>
      <w:pPr>
        <w:ind w:firstLine="0"/>
        <w:jc w:val="center"/>
      </w:pPr>
      <w:r>
        <w:t>October 5, 2026</w:t>
      </w:r>
    </w:p>
    <w:p>
      <w:pPr>
        <w:pStyle w:val="Heading1"/>
        <w:pageBreakBefore/>
      </w:pPr>
      <w:r>
        <w:t>Introduction</w:t>
      </w:r>
    </w:p>
    <w:p>
      <w:pPr>
        <w:pStyle w:val="Heading2"/>
      </w:pPr>
      <w:r>
        <w:t>Background and Context</w:t>
      </w:r>
    </w:p>
    <w:p>
      <w:r>
        <w:t>Printed circuit board (PCB) manufacturers use automated optical inspection (AOI) to flag possible assembly defects before products proceed through production. Some flags are false calls: an inspector reviews the flagged item and finds no defect. These reviews consume inspection capacity while genuine defects still require attention. Research in surface mount technology manufacturing identifies this false call problem as a practical opportunity for decision support using recorded inspection measurements (Thielen et al., 2020).</w:t>
      </w:r>
    </w:p>
    <w:p>
      <w:r>
        <w:t>This study concerns the manual review queue following AOI in one electronics production line. Production supervisors need a manageable queue, inspection personnel need reliable priorities, and quality managers need evidence that any proposed reduction in review does not conceal confirmed defects. The business decision is whether a low risk portion of the queue can be identified for further evaluation. The project will estimate review opportunities and detection tradeoffs retrospectively; it will not change a production line.</w:t>
      </w:r>
    </w:p>
    <w:p>
      <w:r>
        <w:t>The study uses the original Siemens inspection release hosted on Mendeley Data, rather than a third party competition dataset (Pfab, 2024). An initial file audit found 440,274 records, including 4,622 confirmed defect records. Repeated measurements share timestamps, producing 39,742 timestamp groups and 875 groups containing a confirmed defect. These counts support a focused analysis, but they also show why the raw row count cannot be treated as the number of independent boards. The objectives are to characterize alarm risk, evaluate a review rule, quantify its potential workload reduction, and examine temporal variation in the alarm stream.</w:t>
      </w:r>
    </w:p>
    <w:p>
      <w:pPr>
        <w:pStyle w:val="Heading2"/>
        <w:pageBreakBefore/>
      </w:pPr>
      <w:r>
        <w:t>Problem Statement</w:t>
      </w:r>
    </w:p>
    <w:p>
      <w:r>
        <w:t>For AOI flagged PCB inspection groups in the published Siemens production dataset, the business problem is unnecessary manual review of groups whose recorded inspection points are all subsequently labeled nondefective. The study will determine whether measurements available after AOI but before manual review can identify a lower risk subset, quantify the fraction of group reviews that could be avoided, and assess whether the retained review queue captures more than 90% of groups containing a confirmed defect. The primary dependent variable is group_defect, the maximum manual class label within a timestamp group; explanatory variables are AOI inspection measurements, inspection type, and anonymized categorical metadata. Review avoidance is a derived operational outcome, while production period is an explanatory factor for temporal analysis. The 90% threshold is a research screening criterion, not an approved factory release standard.</w:t>
      </w:r>
    </w:p>
    <w:p>
      <w:pPr>
        <w:pStyle w:val="Heading2"/>
      </w:pPr>
      <w:r>
        <w:t>Purpose of the Study</w:t>
      </w:r>
    </w:p>
    <w:p>
      <w:r>
        <w:t>The purpose is to develop and evaluate an interpretable evidence based proposal for allocating review effort within the AOI alarm stream. Descriptive statistics will identify differences between inspection configurations; supervised classification will estimate risk from inspection inputs; a frozen threshold will translate scores into review decisions; and temporal analysis will assess whether observed defect prevalence changes during the recording window.</w:t>
      </w:r>
    </w:p>
    <w:p>
      <w:r>
        <w:t>The study will deliver a reproducible analysis, a threshold tradeoff curve, confidence intervals for detection and review avoidance, and a recommendation for inspection managers. It will distinguish preliminary dataset checks from final research findings. No reduction in review effort, improvement in detection, or monetary saving is asserted before the planned analyses are completed.</w:t>
      </w:r>
    </w:p>
    <w:p>
      <w:pPr>
        <w:pStyle w:val="Heading1"/>
        <w:pageBreakBefore/>
      </w:pPr>
      <w:r>
        <w:t>Scope and Objectives</w:t>
      </w:r>
    </w:p>
    <w:p>
      <w:r>
        <w:t>The population of interest is the alarm stream recorded by this production line during the published observation window. Each timestamp group combines all published records sharing an AOI entry timestamp. The timestamp is a board grouping proxy because original board identifiers are unavailable; a group will not be described as a verified unique PCB. All four questions address this same population.</w:t>
      </w:r>
    </w:p>
    <w:p>
      <w:pPr>
        <w:pStyle w:val="Heading2"/>
      </w:pPr>
      <w:r>
        <w:t>Research Question 1</w:t>
      </w:r>
    </w:p>
    <w:p>
      <w:r>
        <w:t>Does the proportion of groups containing a confirmed defect differ among the five dominant inspection types? Dominant type is the most frequent inspection_type in a group; ties use the smallest code. H0: p0 = p1 = p2 = p3 = p4. H1: at least one proportion differs.</w:t>
      </w:r>
    </w:p>
    <w:p>
      <w:pPr>
        <w:pStyle w:val="Heading2"/>
      </w:pPr>
      <w:r>
        <w:t>Research Question 2</w:t>
      </w:r>
    </w:p>
    <w:p>
      <w:r>
        <w:t>For a rule fixed before final testing, does the retained review queue capture more than 90% of confirmed defect groups? H0: sensitivity ≤ .90. H1: sensitivity &gt; .90. Sensitivity is evaluated on groups, not on individual inspection points.</w:t>
      </w:r>
    </w:p>
    <w:p>
      <w:pPr>
        <w:pStyle w:val="Heading2"/>
      </w:pPr>
      <w:r>
        <w:t>Research Question 3</w:t>
      </w:r>
    </w:p>
    <w:p>
      <w:r>
        <w:t>Does that rule identify more than 10% of all alarm groups as candidates to avoid review, subject to the RQ2 detection criterion? H0: avoidance ≤ .10. H1: avoidance &gt; .10. Both criteria must hold before claiming the rule meets the research objectives.</w:t>
      </w:r>
    </w:p>
    <w:p>
      <w:pPr>
        <w:pStyle w:val="Heading2"/>
      </w:pPr>
      <w:r>
        <w:t>Research Question 4</w:t>
      </w:r>
    </w:p>
    <w:p>
      <w:r>
        <w:t>Does confirmed defect prevalence among alarm groups differ between the first 50 and last 51 active production days? H0: pearly = plate. H1: pearly ≠ plate. This measures temporal prevalence variation; it does not by itself establish model concept drift or its cause.</w:t>
      </w:r>
    </w:p>
    <w:p>
      <w:pPr>
        <w:pStyle w:val="Heading1"/>
        <w:pageBreakBefore/>
      </w:pPr>
      <w:r>
        <w:t>Sample Size Calculation</w:t>
      </w:r>
    </w:p>
    <w:p>
      <w:pPr>
        <w:pStyle w:val="Heading2"/>
      </w:pPr>
      <w:r>
        <w:t>Common Assumptions and Units</w:t>
      </w:r>
    </w:p>
    <w:p>
      <w:r>
        <w:t>Sample requirements are expressed in timestamp groups to avoid counting repeated inspection points as independent observations. For four primary questions, familywise alpha is .05 and the Bonferroni allocation is alphaRQ = .05/4 = .0125. Thus each two sided interval has 98.75% nominal coverage. RQ1 and RQ4 power calculations use 80% power. RQ2 and RQ3 use confidence interval precision planning, as allowed by the template. These choices address different estimands rather than assigning a classification model an unsupported universal sample size (Cohen, 1992).</w:t>
      </w:r>
    </w:p>
    <w:p>
      <w:pPr>
        <w:ind w:firstLine="0" w:left="360"/>
      </w:pPr>
      <w:r>
        <w:t>z1−alphaRQ/2 = z.99375 = 2.497705; z.80 = 0.841621.</w:t>
      </w:r>
    </w:p>
    <w:p>
      <w:r>
        <w:t>Planning inputs are fixed as follows: RQ1 association effect w = .10; RQ2 expected sensitivity .90 and absolute half width .05; RQ3 absolute avoidance half width .02 with conservative proportion .50; RQ4 proportions .02 and .03, representing a one percentage point absolute difference. These are design assumptions, not estimated model results. Group defect prevalence from the file audit is 875/39,742 = .022017 and is used only to project the RQ2 event requirement into a cohort equivalent.</w:t>
      </w:r>
    </w:p>
    <w:p>
      <w:r>
        <w:t>Closed form calculations assume approximately independent groups and stable relevant probabilities. Production day dependence may invalidate this approximation. The analysis will therefore report day block bootstrap intervals alongside group based intervals and repeat feasibility calculations with a design effect of two. A design effect is a sensitivity assumption, not a measured correction or proof that dependence is resolved.</w:t>
      </w:r>
    </w:p>
    <w:p>
      <w:pPr>
        <w:pStyle w:val="Heading2"/>
        <w:pageBreakBefore/>
      </w:pPr>
      <w:r>
        <w:t>Research Question 1 Sample Requirement</w:t>
      </w:r>
    </w:p>
    <w:p>
      <w:r>
        <w:t>RQ1 is a two by five contingency table comparing binary group outcomes across dominant inspection types. Pearson chi square has (2 − 1)(5 − 1) = 4 degrees of freedom. Cohen’s w is the square root of the sum of squared differences between alternative and null joint cell probabilities, divided by null cell probabilities. A value of .10 is the predefined small association to detect (Cohen, 1992).</w:t>
      </w:r>
    </w:p>
    <w:p>
      <w:pPr>
        <w:ind w:firstLine="0" w:left="360"/>
      </w:pPr>
      <w:r>
        <w:t>w = sqrt[Σcells (P1 − P0)² / P0] = .10.</w:t>
      </w:r>
    </w:p>
    <w:p>
      <w:pPr>
        <w:ind w:firstLine="0" w:left="360"/>
      </w:pPr>
      <w:r>
        <w:t>Critical value c = chi square quantile(.9875, df = 4) = 12.761851.</w:t>
      </w:r>
    </w:p>
    <w:p>
      <w:pPr>
        <w:ind w:firstLine="0" w:left="360"/>
      </w:pPr>
      <w:r>
        <w:t>Noncentrality lambda = Nw² = .01N.</w:t>
      </w:r>
    </w:p>
    <w:p>
      <w:pPr>
        <w:ind w:firstLine="0" w:left="360"/>
      </w:pPr>
      <w:r>
        <w:t>Power(N) = Pr[noncentral chi square(4, .01N) &gt; c].</w:t>
      </w:r>
    </w:p>
    <w:p>
      <w:pPr>
        <w:ind w:firstLine="0" w:left="360"/>
      </w:pPr>
      <w:r>
        <w:t>Solve Power(N) ≥ .80; round upward: N1 = 1,611 groups.</w:t>
      </w:r>
    </w:p>
    <w:p>
      <w:r>
        <w:t>The numerical solution uses scipy.stats.ncx2 and a scalar root search. It is an omnibus calculation; it is not a separate adequately powered comparison for every pair of types. Any pairwise exploration will be labeled secondary and adjusted for multiplicity. Expected cell counts will be checked before applying the asymptotic test.</w:t>
      </w:r>
    </w:p>
    <w:p>
      <w:r>
        <w:t>The full cohort has 269 groups dominated by type 4, with six positive groups. Although the full cohort’s independence based expected counts are adequate, smaller subsets may have sparse cells. If expected counts are insufficient, use a conditional exact contingency procedure and report the limitation rather than treating the asymptotic power result as an exact guarantee. Because groups can contain several types, dominant type is a descriptive configuration summary, not a claim that a single type caused the defect.</w:t>
      </w:r>
    </w:p>
    <w:p>
      <w:pPr>
        <w:pStyle w:val="Heading2"/>
        <w:pageBreakBefore/>
      </w:pPr>
      <w:r>
        <w:t>Research Question 2 Sample Requirement</w:t>
      </w:r>
    </w:p>
    <w:p>
      <w:r>
        <w:t>RQ2 estimates sensitivity among positive groups in the final evaluation set. Its relevant denominator is the number of groups with at least one confirmed defect. The confidence interval planning approximation for a proportion is m = z²p(1 − p)/d². With p = .90, half width d = .05, and 98.75% confidence, the requirement is calculated as follows.</w:t>
      </w:r>
    </w:p>
    <w:p>
      <w:pPr>
        <w:ind w:firstLine="0" w:left="360"/>
      </w:pPr>
      <w:r>
        <w:t>m2 = ceil[(2.497705² × .90 × .10)/.05²]</w:t>
      </w:r>
    </w:p>
    <w:p>
      <w:pPr>
        <w:ind w:firstLine="0" w:left="360"/>
      </w:pPr>
      <w:r>
        <w:t xml:space="preserve">     = ceil(224.587775) = 225 positive groups.</w:t>
      </w:r>
    </w:p>
    <w:p>
      <w:pPr>
        <w:ind w:firstLine="0" w:left="360"/>
      </w:pPr>
      <w:r>
        <w:t>pi = 875/39,742 = .0220170097.</w:t>
      </w:r>
    </w:p>
    <w:p>
      <w:pPr>
        <w:ind w:firstLine="0" w:left="360"/>
      </w:pPr>
      <w:r>
        <w:t>N2 = ceil(225/pi) = 10,220 groups as a cohort equivalent.</w:t>
      </w:r>
    </w:p>
    <w:p>
      <w:r>
        <w:t>The conversion is a planning projection at the audited overall prevalence, not a guarantee of 225 positives in an arbitrary sample. Actual event counts govern feasibility. The fixed chronological test partition contains 19,140 groups and 614 positive groups, exceeding the event requirement. Model training and validation groups are separate from this evaluation denominator.</w:t>
      </w:r>
    </w:p>
    <w:p>
      <w:r>
        <w:t>The final interval will use a Wilson score calculation rather than the Wald interval used for approximate planning, because score intervals behave better for binomial proportions (Brown et al., 2001). The null is rejected only if the lower endpoint of the 98.75% two sided interval exceeds .90; this is conservative relative to a one sided .0125 test. Achieving the planning precision does not imply that the detection target will be met. The exact width, missed positive group count, and day block interval will all be reported. If observed sensitivity differs substantially from .90, the achieved width will replace the planned width in the final report.</w:t>
      </w:r>
    </w:p>
    <w:p>
      <w:pPr>
        <w:pStyle w:val="Heading2"/>
        <w:pageBreakBefore/>
      </w:pPr>
      <w:r>
        <w:t>Research Questions 3 and 4 Sample Requirements</w:t>
      </w:r>
    </w:p>
    <w:p>
      <w:pPr>
        <w:pStyle w:val="Heading2"/>
      </w:pPr>
      <w:r>
        <w:t>RQ3 Review Avoidance Precision</w:t>
      </w:r>
    </w:p>
    <w:p>
      <w:r>
        <w:t>RQ3 estimates the fraction of all alarm groups assigned below the frozen review threshold. With d = .02, the unknown avoidance proportion is conservatively set to .50, which maximizes binomial variance. The same 98.75% confidence level is used.</w:t>
      </w:r>
    </w:p>
    <w:p>
      <w:pPr>
        <w:ind w:firstLine="0" w:left="360"/>
      </w:pPr>
      <w:r>
        <w:t>N3 = ceil[(2.497705² × .50 × .50)/.02²]</w:t>
      </w:r>
    </w:p>
    <w:p>
      <w:pPr>
        <w:ind w:firstLine="0" w:left="360"/>
      </w:pPr>
      <w:r>
        <w:t xml:space="preserve">     = ceil(3,899.082195) = 3,900 evaluation groups.</w:t>
      </w:r>
    </w:p>
    <w:p>
      <w:r>
        <w:t>RQ3 will pass only if its interval lower endpoint exceeds .10 and RQ2 passes. The RQ2 event quota remains an additional constraint; a large number of negative groups cannot compensate for too few positives. Candidate avoidance is estimated from a retrospective policy, not observed removal of actual review work.</w:t>
      </w:r>
    </w:p>
    <w:p>
      <w:pPr>
        <w:pStyle w:val="Heading2"/>
      </w:pPr>
      <w:r>
        <w:t>RQ4 Difference Between Two Proportions</w:t>
      </w:r>
    </w:p>
    <w:p>
      <w:r>
        <w:t>For RQ4, plan to detect p1 = .02 versus p2 = .03 using a two sided alpha of .0125 and power .80. Equal allocation is used for the minimum planning calculation, with pbar = (.02 + .03)/2 = .025.</w:t>
      </w:r>
    </w:p>
    <w:p>
      <w:pPr>
        <w:ind w:firstLine="0" w:left="360"/>
      </w:pPr>
      <w:r>
        <w:t>nper period = ceil{[z√(2pbar(1−pbar)) + z.80√(p1(1−p1)+p2(1−p2))]²/(p2−p1)²}.</w:t>
      </w:r>
    </w:p>
    <w:p>
      <w:pPr>
        <w:ind w:firstLine="0" w:left="360"/>
      </w:pPr>
      <w:r>
        <w:t>= ceil{[2.497705√(.04875) + .841621√(.04870)]²/.0001}</w:t>
      </w:r>
    </w:p>
    <w:p>
      <w:pPr>
        <w:ind w:firstLine="0" w:left="360"/>
      </w:pPr>
      <w:r>
        <w:t>= 5,435 groups per period; N4 = 2 × 5,435 = 10,870.</w:t>
      </w:r>
    </w:p>
    <w:p>
      <w:r>
        <w:t>The actual early and late cohorts contain 17,972 and 21,770 groups. Both exceed the equal allocation minimum. Day level dependence, unequal production volume, and changing inspection mix will be addressed in sensitivity analysis; the calculation does not establish causal change in the manufacturing process.</w:t>
      </w:r>
    </w:p>
    <w:p>
      <w:pPr>
        <w:pStyle w:val="Heading2"/>
        <w:pageBreakBefore/>
      </w:pPr>
      <w:r>
        <w:t>Final Sample Size Decision</w:t>
      </w:r>
    </w:p>
    <w:p>
      <w:pPr>
        <w:ind w:firstLine="0" w:left="360"/>
      </w:pPr>
      <w:r>
        <w:t>Nminimum = max(N1, N2, N3, N4)</w:t>
      </w:r>
    </w:p>
    <w:p>
      <w:pPr>
        <w:ind w:firstLine="0"/>
      </w:pPr>
      <w:r>
        <w:rPr>
          <w:b/>
        </w:rPr>
        <w:t>= max(1,611, 10,220, 3,900, 10,870) = 10,870 groups.</w:t>
      </w:r>
    </w:p>
    <w:p>
      <w:r>
        <w:t>The study will use the entire available cohort: Nstudy = 39,742 timestamp groups, constructed from 440,274 inspection records. The maximum calculated minimum is 10,870 groups. Using the complete cohort preserves the chronological structure, rare positive groups, and small inspection categories. Table A1 summarizes the calculations; Table A2 reports the audited partitions. The maximum rule does not replace event or allocation requirements.</w:t>
      </w:r>
    </w:p>
    <w:p>
      <w:r>
        <w:t>For model development, the first 40 active days form training data: 14,975 groups, including 179 positives. The next 20 active days form validation data: 5,627 groups, including 82 positives. The remaining 41 days form the final test: 19,140 groups, including 614 positives. The split is based on active day order, not outcome driven resampling. All records in a timestamp group and all groups within a day stay in the same partition.</w:t>
      </w:r>
    </w:p>
    <w:p>
      <w:r>
        <w:t>Under the sensitivity assumption of design effect D = 2, requirements become 3,222 for RQ1, 450 positive test groups for RQ2, 7,800 test groups for RQ3, and 10,870 groups per period for RQ4. The observed allocations exceed these counts. Nevertheless, dependence stronger than two, poor model learning from 179 training positives, or wide block intervals may make a conclusion inconclusive. The feasibility decision is therefore to proceed with this dataset and these four questions, while preserving a valid inconclusive outcome rather than promising sufficient power under every dependence structure.</w:t>
      </w:r>
    </w:p>
    <w:p>
      <w:pPr>
        <w:pStyle w:val="Heading1"/>
        <w:pageBreakBefore/>
      </w:pPr>
      <w:r>
        <w:t>Data Description</w:t>
      </w:r>
    </w:p>
    <w:p>
      <w:pPr>
        <w:pStyle w:val="Heading2"/>
      </w:pPr>
      <w:r>
        <w:t>Source and Access</w:t>
      </w:r>
    </w:p>
    <w:p>
      <w:r>
        <w:t>The source is Pfab’s (2024) Publication data: Data of automated optical inspection of surface mounted technology electronic production, Mendeley Data, Version 2. Access the landing page at https://data.mendeley.com/datasets/99jzmh9658/2 and select dataset.csv and mapping.json. The stable identifier is https://doi.org/10.17632/99jzmh9658.2. Version 2 metadata lists publication on February 13, 2024. File sizes, checksums, access instructions, and the planned repository structure appear in Appendix C.</w:t>
      </w:r>
    </w:p>
    <w:p>
      <w:r>
        <w:t>The file contains 77 substantive variables plus an export index, no literal nulls, and 8,752 repeats excluding the index. Feature numbering has gaps. Appendix B lists all raw variables and mapped applicable types; Figure A1 shows a real CSV excerpt. Interpret structural zeros using mapping.json.</w:t>
      </w:r>
    </w:p>
    <w:p>
      <w:pPr>
        <w:pStyle w:val="Heading2"/>
      </w:pPr>
      <w:r>
        <w:t>Ethics and Limitations</w:t>
      </w:r>
    </w:p>
    <w:p>
      <w:r>
        <w:t>Metadata lists CC BY NC 3.0 alongside a Siemens notice limiting use to noncommercial testing associated with the paper. This project is an academic evaluation of that resource. Preserve source attribution and the notice; raw redistribution is not assumed permitted. Do not infer identities from anonymous fields.</w:t>
      </w:r>
    </w:p>
    <w:p>
      <w:r>
        <w:t>Only AOI flagged observations are published, so the analysis cannot estimate overall factory yield or defects missed by AOI. Physical feature meanings and units are partly withheld, the year is anonymized to 1970, manual labels may be imperfect, and original board identifiers are absent. These limitations restrict transfer to other products, factories, or commercial deployment.</w:t>
      </w:r>
    </w:p>
    <w:p>
      <w:pPr>
        <w:pStyle w:val="Heading1"/>
        <w:pageBreakBefore/>
      </w:pPr>
      <w:r>
        <w:t>Analytic Approach</w:t>
      </w:r>
    </w:p>
    <w:p>
      <w:pPr>
        <w:pStyle w:val="Heading2"/>
      </w:pPr>
      <w:r>
        <w:t>Preparation and Reproducible Pipeline</w:t>
      </w:r>
    </w:p>
    <w:p>
      <w:r>
        <w:t>Use Python with pandas and NumPy for preparation, SciPy for statistical calculations, scikit learn for classification, and Matplotlib for figures. Record package versions, file hashes, seed 640, and output paths. Appendix C describes the repository, source manifest, dictionary, audit scripts, and prepared starter package.</w:t>
      </w:r>
    </w:p>
    <w:p>
      <w:r>
        <w:t>First, verify the two source checksums, validate the expected header and binary labels, and preserve the original files locally. Exclude Unnamed: 0 from predictors. Parse timestamps as UTC for reproducibility without interpreting the anonymized year as a real production year. Construct group identifiers and active day order, then assign chronological partitions. Keep duplicate rows in the primary audit until their origin can be established; repeat key results with exact duplicates removed within their original groups.</w:t>
      </w:r>
    </w:p>
    <w:p>
      <w:r>
        <w:t>Map feature applicability by inspection type. Exclude five fields absent from mapping.json: inspection_feat14, 15, 35, 36, and 37. Do not interpret structural zeros as low measurements. Gate remaining fields by type and fit categorical encoders on training data. Examine low cardinality field encodings in development data because their semantics are partly withheld.</w:t>
      </w:r>
    </w:p>
    <w:p>
      <w:r>
        <w:t>All imputation, scaling, encoding, feature filtering, and model fitting occur inside training folds. The raw timestamp and row index are excluded as risk predictors. Manual labels are used only as outcomes, including group aggregation after prediction. The final holdout will remain outside feature selection and threshold tuning. Temporal and hierarchical split discipline follows Roberts et al. (2017).</w:t>
      </w:r>
    </w:p>
    <w:p>
      <w:pPr>
        <w:pStyle w:val="Heading1"/>
        <w:pageBreakBefore/>
      </w:pPr>
      <w:r>
        <w:t>Solution to Research Questions 1 and 2</w:t>
      </w:r>
    </w:p>
    <w:p>
      <w:pPr>
        <w:pStyle w:val="Heading2"/>
      </w:pPr>
      <w:r>
        <w:t>RQ1 Configuration Risk</w:t>
      </w:r>
    </w:p>
    <w:p>
      <w:r>
        <w:t>Build a two by five table of group_defect by dominant_type. Estimate each type’s defect proportion with score intervals, perform the omnibus Pearson test, and report Cramer’s V = sqrt(chi square/[N × min(r−1,c−1)]). Report group counts and expected cells alongside the p value. A day clustered logistic regression with dominant type as a categorical predictor will be a sensitivity analysis. It allows uncertainty to reflect dependence within production days; it is not a causal manufacturing model.</w:t>
      </w:r>
    </w:p>
    <w:p>
      <w:pPr>
        <w:pStyle w:val="Heading2"/>
      </w:pPr>
      <w:r>
        <w:t>RQ2 Detection in the Retained Queue</w:t>
      </w:r>
    </w:p>
    <w:p>
      <w:r>
        <w:t>Fit a penalized logistic regression as the interpretable starting model. Compare a bounded random forest and gradient boosting model within training only, drawing on Breiman (2001) and Friedman (2001). Use expanding chronological development folds and a small search budget. With only 179 positive training groups, strong regularization and simple models take priority over extensive parameter tuning. A metadata only model will serve as an additional diagnostic baseline.</w:t>
      </w:r>
    </w:p>
    <w:p>
      <w:r>
        <w:t>Train on inspection records, but validate and report maximum predicted spot score per group. This is a ranking score, not a calibrated group probability. On validation data, select the model and threshold maximizing avoidance while meeting the detection criterion. If none qualifies, retain every group for review. Freeze the rule before testing.</w:t>
      </w:r>
    </w:p>
    <w:p>
      <w:r>
        <w:t>The primary output is group sensitivity and its interval. Precision recall area summarizes ranking under class imbalance (Saito &amp; Rehmsmeier, 2015); accuracy is secondary. No synthetic oversampling will be used. Model and threshold selection are kept outside final evaluation to reduce selection bias (Varma &amp; Simon, 2006).</w:t>
      </w:r>
    </w:p>
    <w:p>
      <w:pPr>
        <w:pStyle w:val="Heading1"/>
        <w:pageBreakBefore/>
      </w:pPr>
      <w:r>
        <w:t>Solution to Research Questions 3 and 4</w:t>
      </w:r>
    </w:p>
    <w:p>
      <w:pPr>
        <w:pStyle w:val="Heading2"/>
      </w:pPr>
      <w:r>
        <w:t>RQ3 Review Workload and Detection Tradeoff</w:t>
      </w:r>
    </w:p>
    <w:p>
      <w:r>
        <w:t>Apply the frozen rule once to test groups. A group is retained when its maximum spot score is at least threshold tau. Construct a group confusion matrix: TP is a positive group retained; FN is a positive group assigned below tau; FP is a negative group retained; TN is a negative group assigned below tau. Report every count, including candidate missed defect groups.</w:t>
      </w:r>
    </w:p>
    <w:p>
      <w:pPr>
        <w:ind w:firstLine="0" w:left="360"/>
      </w:pPr>
      <w:r>
        <w:t>Sensitivity = TP/(TP+FN); precision = TP/(TP+FP).</w:t>
      </w:r>
    </w:p>
    <w:p>
      <w:pPr>
        <w:ind w:firstLine="0" w:left="360"/>
      </w:pPr>
      <w:r>
        <w:t>Avoidance = (TN+FN)/Ntest; safe negative avoidance = TN/Ntest.</w:t>
      </w:r>
    </w:p>
    <w:p>
      <w:pPr>
        <w:ind w:firstLine="0" w:left="360"/>
      </w:pPr>
      <w:r>
        <w:t>Miss rate among positives = FN/(TP+FN).</w:t>
      </w:r>
    </w:p>
    <w:p>
      <w:r>
        <w:t>For each proportion, the Wilson interval uses center = (phat+z²/2n)/(1+z²/n) and half width = z√[phat(1−phat)/n+z²/4n²]/(1+z²/n), with z = 2.497705. These formulas will be populated with observed counts in the final report; no illustrative fabricated confusion matrix is used. Avoidance includes potentially missed positives, so it must never be interpreted alone as safe workload reduction.</w:t>
      </w:r>
    </w:p>
    <w:p>
      <w:pPr>
        <w:pStyle w:val="Heading2"/>
      </w:pPr>
      <w:r>
        <w:t>RQ4 Temporal Prevalence</w:t>
      </w:r>
    </w:p>
    <w:p>
      <w:r>
        <w:t>Compute the difference plate − pearly for the two predefined periods, its interval, and a two proportion score test. For the null test, pooled p = (xearly+xlate)/(nearly+nlate) and ztest = (plate−pearly)/sqrt[pooled p(1−pooled p)(1/nearly+1/nlate)]. Report day block bootstrap uncertainty and a period effect adjusted for dominant inspection type as sensitivity checks. Daily prevalence plots will show variation without declaring a causal process change. Gama et al. (2014) distinguish changing data distributions from automatically demonstrated concept drift.</w:t>
      </w:r>
    </w:p>
    <w:p>
      <w:pPr>
        <w:pStyle w:val="Heading1"/>
        <w:pageBreakBefore/>
      </w:pPr>
      <w:r>
        <w:t>Project Plan and Reproducibility</w:t>
      </w:r>
    </w:p>
    <w:p>
      <w:r>
        <w:t>The project is scheduled for ten weeks, with core analysis completed by Week 8 and the final two weeks reserved for verification, reporting, and presentation. Table A3 provides the phased schedule and exit criteria. Week 1 produces this synopsis and the initial source audit. Week 2 completes focused literature review, dictionary validation, and the approved analysis specification. Week 3 freezes cleaning, grouping, and partition logic. Week 4 completes descriptive exploration and RQ1.</w:t>
      </w:r>
    </w:p>
    <w:p>
      <w:r>
        <w:t>Weeks 5 and 6 develop the baseline and bounded comparison models, examine validation behavior, and freeze the candidate review rule. Week 7 evaluates RQ2 and RQ3 on the final chronological holdout. Week 8 completes RQ4, day block uncertainty, and duplicate sensitivity checks. Week 9 integrates findings, limitations, and operational recommendations. Week 10 reruns the pipeline from the source manifest, checks tables and citations, and finalizes the report and presentation.</w:t>
      </w:r>
    </w:p>
    <w:p>
      <w:r>
        <w:t>Bootstrap resampling will use observed production day blocks to estimate uncertainty; it does not generate new records for model training or enlarge the empirical sample. The initial plan uses 2,000 replicates with three consecutive active days per block, with one and seven day blocks as sensitivity choices. For period comparisons, blocks are sampled within each period. Models and thresholds remain fixed during test uncertainty estimation. The bootstrap results will be explicitly described as conditional on the fitted rule.</w:t>
      </w:r>
    </w:p>
    <w:p>
      <w:r>
        <w:t>The public repository is https://github.com/sahasrm06/Capstone_Proposal, verified accessible but empty during preparation. Upload the accompanying starter package before submission. The manifest retrieves original data; complete analysis code and outputs will follow during the project.</w:t>
      </w:r>
    </w:p>
    <w:p>
      <w:pPr>
        <w:pStyle w:val="Heading1"/>
        <w:pageBreakBefore/>
      </w:pPr>
      <w:r>
        <w:t>Recommendation and Application</w:t>
      </w:r>
    </w:p>
    <w:p>
      <w:r>
        <w:t>The target users are inspection supervisors, manufacturing quality engineers, and production managers responsible for the AOI manual review queue. The final recommendation will connect an observable threshold to how many groups remain for review, how many negative groups could avoid it, and how many confirmed positive groups would be missed under retrospective application. Configuration and period summaries will identify where further investigation is worthwhile without inventing the physical meaning of anonymized feature codes.</w:t>
      </w:r>
    </w:p>
    <w:p>
      <w:r>
        <w:t>If both adjusted lower interval endpoints exceed the 90% detection and 10% avoidance criteria, and the day block sensitivity analysis supports the same conclusion, recommend a monitored shadow evaluation of the candidate rule. Shadow evaluation means scores are recorded while normal review continues. The quality owner would then define a stricter operational detection requirement and validate it prospectively before any actual review removal. The academic threshold alone is insufficient authorization for factory use.</w:t>
      </w:r>
    </w:p>
    <w:p>
      <w:r>
        <w:t>If the rule fails either criterion, recommend using scores only to prioritize the queue, while retaining all manual reviews. If subgroup or temporal performance is unstable, recommend monitoring those configurations and refreshing the analysis before broader use. An inconclusive result will be reported as such; it will not be converted into a claim that review reduction is safe.</w:t>
      </w:r>
    </w:p>
    <w:p>
      <w:r>
        <w:t>The measurable project value is evidence about review capacity and detection risk in the observed alarm stream. If future operational review time t is measured, candidate time capacity can be calculated as avoided groups × t. The current dataset contains no verified review duration, labor cost, shipment outcome, or warranty cost, so the synopsis promises no monetary saving or yield improvement. Business recommendations will remain proportionate to the available measurements and the single line setting.</w:t>
      </w:r>
    </w:p>
    <w:p>
      <w:pPr>
        <w:pStyle w:val="Heading1"/>
        <w:pageBreakBefore/>
      </w:pPr>
      <w:r>
        <w:t>References and Bibliography</w:t>
      </w:r>
    </w:p>
    <w:p>
      <w:pPr>
        <w:ind w:left="720" w:hanging="720"/>
      </w:pPr>
      <w:r>
        <w:t xml:space="preserve">Breiman, L. (2001). Random forests. </w:t>
      </w:r>
      <w:r>
        <w:rPr>
          <w:i/>
        </w:rPr>
        <w:t>Machine Learning, 45</w:t>
      </w:r>
      <w:r>
        <w:t>(1), 5–32. https://doi.org/10.1023/A:1010933404324</w:t>
      </w:r>
    </w:p>
    <w:p>
      <w:pPr>
        <w:ind w:left="720" w:hanging="720"/>
      </w:pPr>
      <w:r>
        <w:t xml:space="preserve">Brown, L. D., Cai, T. T., &amp; DasGupta, A. (2001). Interval estimation for a binomial proportion. </w:t>
      </w:r>
      <w:r>
        <w:rPr>
          <w:i/>
        </w:rPr>
        <w:t>Statistical Science, 16</w:t>
      </w:r>
      <w:r>
        <w:t>(2), 101–133. https://doi.org/10.1214/ss/1009213286</w:t>
      </w:r>
    </w:p>
    <w:p>
      <w:pPr>
        <w:ind w:left="720" w:hanging="720"/>
      </w:pPr>
      <w:r>
        <w:t xml:space="preserve">Cohen, J. (1992). A power primer. </w:t>
      </w:r>
      <w:r>
        <w:rPr>
          <w:i/>
        </w:rPr>
        <w:t>Psychological Bulletin, 112</w:t>
      </w:r>
      <w:r>
        <w:t>(1), 155–159. https://doi.org/10.1037/0033-2909.112.1.155</w:t>
      </w:r>
    </w:p>
    <w:p>
      <w:pPr>
        <w:ind w:left="720" w:hanging="720"/>
      </w:pPr>
      <w:r>
        <w:t xml:space="preserve">Friedman, J. H. (2001). Greedy function approximation: A gradient boosting machine. </w:t>
      </w:r>
      <w:r>
        <w:rPr>
          <w:i/>
        </w:rPr>
        <w:t>The Annals of Statistics, 29</w:t>
      </w:r>
      <w:r>
        <w:t>(5), 1189–1232. https://doi.org/10.1214/aos/1013203451</w:t>
      </w:r>
    </w:p>
    <w:p>
      <w:pPr>
        <w:ind w:left="720" w:hanging="720"/>
      </w:pPr>
      <w:r>
        <w:t xml:space="preserve">Gama, J., Žliobaitė, I., Bifet, A., Pechenizkiy, M., &amp; Bouchachia, A. (2014). A survey on concept drift adaptation. </w:t>
      </w:r>
      <w:r>
        <w:rPr>
          <w:i/>
        </w:rPr>
        <w:t>ACM Computing Surveys, 46</w:t>
      </w:r>
      <w:r>
        <w:t>(4), Article 44. https://doi.org/10.1145/2523813</w:t>
      </w:r>
    </w:p>
    <w:p>
      <w:pPr>
        <w:ind w:left="720" w:hanging="720"/>
      </w:pPr>
      <w:r>
        <w:t xml:space="preserve">Pfab, K. (2024). </w:t>
      </w:r>
      <w:r>
        <w:rPr>
          <w:i/>
        </w:rPr>
        <w:t>Publication data: Data of automated optical inspection of surface-mounted technology electronic production</w:t>
      </w:r>
      <w:r>
        <w:t xml:space="preserve"> (Version 2) [Data set]. Mendeley Data. https://doi.org/10.17632/99jzmh9658.2</w:t>
      </w:r>
    </w:p>
    <w:p>
      <w:pPr>
        <w:ind w:left="720" w:hanging="720"/>
      </w:pPr>
      <w:r>
        <w:t xml:space="preserve">Pfab, K., Eichler, R., Mallandur, A., &amp; Rothering, M. (2024). Data of automated optical inspection of surface-mounted technology electronic production. </w:t>
      </w:r>
      <w:r>
        <w:rPr>
          <w:i/>
        </w:rPr>
        <w:t>Data in Brief, 53</w:t>
      </w:r>
      <w:r>
        <w:t>, Article 110110. https://doi.org/10.1016/j.dib.2024.110110</w:t>
      </w:r>
    </w:p>
    <w:p>
      <w:pPr>
        <w:ind w:left="720" w:hanging="720"/>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(8), 913–929. https://doi.org/10.1111/ecog.02881</w:t>
      </w:r>
    </w:p>
    <w:p>
      <w:pPr>
        <w:ind w:left="720" w:hanging="720"/>
      </w:pPr>
      <w:r>
        <w:t xml:space="preserve">Saito, T., &amp; Rehmsmeier, M. (2015). The precision-recall plot is more informative than the ROC plot when evaluating binary classifiers on imbalanced datasets. </w:t>
      </w:r>
      <w:r>
        <w:rPr>
          <w:i/>
        </w:rPr>
        <w:t>PLOS ONE, 10</w:t>
      </w:r>
      <w:r>
        <w:t>(3), Article e0118432. https://doi.org/10.1371/journal.pone.0118432</w:t>
      </w:r>
    </w:p>
    <w:p>
      <w:pPr>
        <w:ind w:left="720" w:hanging="720"/>
      </w:pPr>
      <w:r>
        <w:t xml:space="preserve">Thielen, N., Werner, D., Schmidt, K., Seidel, R., Reinhardt, A., &amp; Franke, J. (2020). A machine learning based approach to detect false calls in SMT manufacturing. In </w:t>
      </w:r>
      <w:r>
        <w:rPr>
          <w:i/>
        </w:rPr>
        <w:t>2020 43rd International Spring Seminar on Electronics Technology</w:t>
      </w:r>
      <w:r>
        <w:t xml:space="preserve"> (pp. 1–6). IEEE. https://doi.org/10.1109/ISSE49702.2020.9121044</w:t>
      </w:r>
    </w:p>
    <w:p>
      <w:pPr>
        <w:ind w:left="720" w:hanging="720"/>
      </w:pPr>
      <w:r>
        <w:t xml:space="preserve">Varma, S., &amp; Simon, R. (2006). Bias in error estimation when using cross-validation for model selection. </w:t>
      </w:r>
      <w:r>
        <w:rPr>
          <w:i/>
        </w:rPr>
        <w:t>BMC Bioinformatics, 7</w:t>
      </w:r>
      <w:r>
        <w:t>, Article 91. https://doi.org/10.1186/1471-2105-7-91</w:t>
      </w:r>
    </w:p>
    <w:p>
      <w:pPr>
        <w:pStyle w:val="Heading1"/>
        <w:pageBreakBefore/>
      </w:pPr>
      <w:r>
        <w:t>Appendix A</w:t>
      </w:r>
    </w:p>
    <w:p>
      <w:pPr>
        <w:pStyle w:val="Heading2"/>
      </w:pPr>
      <w:r>
        <w:t>Planning Tables and Data Preview</w:t>
      </w:r>
    </w:p>
    <w:p>
      <w:pPr>
        <w:keepNext/>
        <w:ind w:firstLine="0"/>
      </w:pPr>
      <w:r>
        <w:rPr>
          <w:b/>
        </w:rPr>
        <w:t>Table A1</w:t>
      </w:r>
    </w:p>
    <w:p>
      <w:pPr>
        <w:keepNext/>
        <w:ind w:firstLine="0"/>
      </w:pPr>
      <w:r>
        <w:rPr>
          <w:i/>
        </w:rPr>
        <w:t>Sample Requirements for the Four Research Questions</w:t>
      </w:r>
    </w:p>
    <w:tbl>
      <w:tblPr>
        <w:tblW w:type="auto" w:w="0"/>
        <w:tblLayout w:type="fixed"/>
        <w:tblLook w:firstColumn="1" w:firstRow="1" w:lastColumn="0" w:lastRow="0" w:noHBand="0" w:noVBand="1" w:val="04A0"/>
      </w:tblPr>
      <w:tblGrid>
        <w:gridCol w:w="792"/>
        <w:gridCol w:w="5688"/>
        <w:gridCol w:w="2880"/>
      </w:tblGrid>
      <w:tr>
        <w:trPr>
          <w:cantSplit/>
          <w:tblHeader/>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RQ</w:t>
            </w:r>
          </w:p>
        </w:tc>
        <w:tc>
          <w:tcPr>
            <w:tcW w:type="dxa" w:w="5688"/>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Method and inputs</w:t>
            </w:r>
          </w:p>
        </w:tc>
        <w:tc>
          <w:tcPr>
            <w:tcW w:type="dxa" w:w="2880"/>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Minimum</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RQ1</w:t>
            </w:r>
          </w:p>
        </w:tc>
        <w:tc>
          <w:tcPr>
            <w:tcW w:type="dxa" w:w="56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Chi square power; df 4; w .10; alpha .0125; power .80</w:t>
            </w:r>
          </w:p>
        </w:tc>
        <w:tc>
          <w:tcPr>
            <w:tcW w:type="dxa" w:w="28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1,611 groups</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RQ2</w:t>
            </w:r>
          </w:p>
        </w:tc>
        <w:tc>
          <w:tcPr>
            <w:tcW w:type="dxa" w:w="56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CI precision; p .90; d .05; confidence 98.75%</w:t>
            </w:r>
          </w:p>
        </w:tc>
        <w:tc>
          <w:tcPr>
            <w:tcW w:type="dxa" w:w="28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225 positives; 10,220 group equivalent</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RQ3</w:t>
            </w:r>
          </w:p>
        </w:tc>
        <w:tc>
          <w:tcPr>
            <w:tcW w:type="dxa" w:w="56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CI precision; p .50; d .02; confidence 98.75%</w:t>
            </w:r>
          </w:p>
        </w:tc>
        <w:tc>
          <w:tcPr>
            <w:tcW w:type="dxa" w:w="28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3,900 test groups</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RQ4</w:t>
            </w:r>
          </w:p>
        </w:tc>
        <w:tc>
          <w:tcPr>
            <w:tcW w:type="dxa" w:w="56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Two proportion power; p .02/.03; alpha .0125; power .80</w:t>
            </w:r>
          </w:p>
        </w:tc>
        <w:tc>
          <w:tcPr>
            <w:tcW w:type="dxa" w:w="28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5,435 each; 10,870 total</w:t>
            </w:r>
          </w:p>
        </w:tc>
      </w:tr>
    </w:tbl>
    <w:p>
      <w:pPr>
        <w:ind w:firstLine="0"/>
      </w:pPr>
      <w:r>
        <w:t>Note. Primary maximum minimum = 10,870 groups. Actual study cohort = 39,742 groups. Positive event and period allocation constraints apply separately.</w:t>
      </w:r>
    </w:p>
    <w:p>
      <w:pPr>
        <w:keepNext/>
        <w:pageBreakBefore/>
        <w:ind w:firstLine="0"/>
      </w:pPr>
      <w:r>
        <w:rPr>
          <w:b/>
        </w:rPr>
        <w:t>Table A2</w:t>
      </w:r>
    </w:p>
    <w:p>
      <w:pPr>
        <w:keepNext/>
        <w:ind w:firstLine="0"/>
      </w:pPr>
      <w:r>
        <w:rPr>
          <w:i/>
        </w:rPr>
        <w:t>Audited Chronological Allocations</w:t>
      </w:r>
    </w:p>
    <w:tbl>
      <w:tblPr>
        <w:tblW w:type="auto" w:w="0"/>
        <w:tblLayout w:type="fixed"/>
        <w:tblLook w:firstColumn="1" w:firstRow="1" w:lastColumn="0" w:lastRow="0" w:noHBand="0" w:noVBand="1" w:val="04A0"/>
      </w:tblPr>
      <w:tblGrid>
        <w:gridCol w:w="2880"/>
        <w:gridCol w:w="2160"/>
        <w:gridCol w:w="2160"/>
        <w:gridCol w:w="2160"/>
      </w:tblGrid>
      <w:tr>
        <w:trPr>
          <w:cantSplit/>
          <w:tblHeader/>
        </w:trPr>
        <w:tc>
          <w:tcPr>
            <w:tcW w:type="dxa" w:w="2880"/>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Partition</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Active days</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Groups</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Positive groups</w:t>
            </w:r>
          </w:p>
        </w:tc>
      </w:tr>
      <w:tr>
        <w:trPr>
          <w:cantSplit/>
        </w:trPr>
        <w:tc>
          <w:tcPr>
            <w:tcW w:type="dxa" w:w="28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Training</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First 40</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14,975</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179</w:t>
            </w:r>
          </w:p>
        </w:tc>
      </w:tr>
      <w:tr>
        <w:trPr>
          <w:cantSplit/>
        </w:trPr>
        <w:tc>
          <w:tcPr>
            <w:tcW w:type="dxa" w:w="28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Validation</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Next 20</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5,627</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82</w:t>
            </w:r>
          </w:p>
        </w:tc>
      </w:tr>
      <w:tr>
        <w:trPr>
          <w:cantSplit/>
        </w:trPr>
        <w:tc>
          <w:tcPr>
            <w:tcW w:type="dxa" w:w="28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Final test</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Last 41</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19,140</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614</w:t>
            </w:r>
          </w:p>
        </w:tc>
      </w:tr>
      <w:tr>
        <w:trPr>
          <w:cantSplit/>
        </w:trPr>
        <w:tc>
          <w:tcPr>
            <w:tcW w:type="dxa" w:w="28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RQ4 early</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First 50</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17,972</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215</w:t>
            </w:r>
          </w:p>
        </w:tc>
      </w:tr>
      <w:tr>
        <w:trPr>
          <w:cantSplit/>
        </w:trPr>
        <w:tc>
          <w:tcPr>
            <w:tcW w:type="dxa" w:w="28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RQ4 late</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Last 51</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21,770</w:t>
            </w:r>
          </w:p>
        </w:tc>
        <w:tc>
          <w:tcPr>
            <w:tcW w:type="dxa" w:w="216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660</w:t>
            </w:r>
          </w:p>
        </w:tc>
      </w:tr>
    </w:tbl>
    <w:p>
      <w:pPr>
        <w:ind w:firstLine="0"/>
      </w:pPr>
      <w:r>
        <w:t>Note. Training, validation, and test are disjoint. The two RQ4 periods form a separate partition of the same full cohort and overlap the model partitions.</w:t>
      </w:r>
    </w:p>
    <w:p>
      <w:pPr>
        <w:keepNext/>
        <w:pageBreakBefore/>
        <w:ind w:firstLine="0"/>
      </w:pPr>
      <w:r>
        <w:rPr>
          <w:b/>
        </w:rPr>
        <w:t>Table A3</w:t>
      </w:r>
    </w:p>
    <w:p>
      <w:pPr>
        <w:keepNext/>
        <w:ind w:firstLine="0"/>
      </w:pPr>
      <w:r>
        <w:rPr>
          <w:i/>
        </w:rPr>
        <w:t>Ten Week Schedule and Exit Criteria</w:t>
      </w:r>
    </w:p>
    <w:tbl>
      <w:tblPr>
        <w:tblW w:type="auto" w:w="0"/>
        <w:tblLayout w:type="fixed"/>
        <w:tblLook w:firstColumn="1" w:firstRow="1" w:lastColumn="0" w:lastRow="0" w:noHBand="0" w:noVBand="1" w:val="04A0"/>
      </w:tblPr>
      <w:tblGrid>
        <w:gridCol w:w="792"/>
        <w:gridCol w:w="3888"/>
        <w:gridCol w:w="4680"/>
      </w:tblGrid>
      <w:tr>
        <w:trPr>
          <w:cantSplit/>
          <w:tblHeader/>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Week</w:t>
            </w:r>
          </w:p>
        </w:tc>
        <w:tc>
          <w:tcPr>
            <w:tcW w:type="dxa" w:w="3888"/>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Work</w:t>
            </w:r>
          </w:p>
        </w:tc>
        <w:tc>
          <w:tcPr>
            <w:tcW w:type="dxa" w:w="4680"/>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Exit criterion</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1</w:t>
            </w:r>
          </w:p>
        </w:tc>
        <w:tc>
          <w:tcPr>
            <w:tcW w:type="dxa" w:w="38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Synopsis and data audit</w:t>
            </w:r>
          </w:p>
        </w:tc>
        <w:tc>
          <w:tcPr>
            <w:tcW w:type="dxa" w:w="46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Proposal draft</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2</w:t>
            </w:r>
          </w:p>
        </w:tc>
        <w:tc>
          <w:tcPr>
            <w:tcW w:type="dxa" w:w="38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Literature and design</w:t>
            </w:r>
          </w:p>
        </w:tc>
        <w:tc>
          <w:tcPr>
            <w:tcW w:type="dxa" w:w="46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Analysis specification</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3</w:t>
            </w:r>
          </w:p>
        </w:tc>
        <w:tc>
          <w:tcPr>
            <w:tcW w:type="dxa" w:w="38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Cleaning and grouping</w:t>
            </w:r>
          </w:p>
        </w:tc>
        <w:tc>
          <w:tcPr>
            <w:tcW w:type="dxa" w:w="46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Audited partitions</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4</w:t>
            </w:r>
          </w:p>
        </w:tc>
        <w:tc>
          <w:tcPr>
            <w:tcW w:type="dxa" w:w="38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Exploration and RQ1</w:t>
            </w:r>
          </w:p>
        </w:tc>
        <w:tc>
          <w:tcPr>
            <w:tcW w:type="dxa" w:w="46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Configuration report</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5–6</w:t>
            </w:r>
          </w:p>
        </w:tc>
        <w:tc>
          <w:tcPr>
            <w:tcW w:type="dxa" w:w="38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Models and validation</w:t>
            </w:r>
          </w:p>
        </w:tc>
        <w:tc>
          <w:tcPr>
            <w:tcW w:type="dxa" w:w="46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Frozen model and threshold</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7</w:t>
            </w:r>
          </w:p>
        </w:tc>
        <w:tc>
          <w:tcPr>
            <w:tcW w:type="dxa" w:w="38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Final test RQ2 and RQ3</w:t>
            </w:r>
          </w:p>
        </w:tc>
        <w:tc>
          <w:tcPr>
            <w:tcW w:type="dxa" w:w="46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Detection and avoidance intervals</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8</w:t>
            </w:r>
          </w:p>
        </w:tc>
        <w:tc>
          <w:tcPr>
            <w:tcW w:type="dxa" w:w="38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RQ4 and sensitivities</w:t>
            </w:r>
          </w:p>
        </w:tc>
        <w:tc>
          <w:tcPr>
            <w:tcW w:type="dxa" w:w="46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Temporal and robustness outputs</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9</w:t>
            </w:r>
          </w:p>
        </w:tc>
        <w:tc>
          <w:tcPr>
            <w:tcW w:type="dxa" w:w="38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Interpretation and report</w:t>
            </w:r>
          </w:p>
        </w:tc>
        <w:tc>
          <w:tcPr>
            <w:tcW w:type="dxa" w:w="46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Integrated report draft</w:t>
            </w:r>
          </w:p>
        </w:tc>
      </w:tr>
      <w:tr>
        <w:trPr>
          <w:cantSplit/>
        </w:trPr>
        <w:tc>
          <w:tcPr>
            <w:tcW w:type="dxa" w:w="79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10</w:t>
            </w:r>
          </w:p>
        </w:tc>
        <w:tc>
          <w:tcPr>
            <w:tcW w:type="dxa" w:w="38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Rerun and presentation</w:t>
            </w:r>
          </w:p>
        </w:tc>
        <w:tc>
          <w:tcPr>
            <w:tcW w:type="dxa" w:w="46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Verified final submission</w:t>
            </w:r>
          </w:p>
        </w:tc>
      </w:tr>
    </w:tbl>
    <w:p>
      <w:pPr>
        <w:keepNext/>
        <w:pageBreakBefore/>
        <w:ind w:firstLine="0"/>
      </w:pPr>
      <w:r>
        <w:rPr>
          <w:b/>
        </w:rPr>
        <w:t>Figure A1</w:t>
      </w:r>
    </w:p>
    <w:p>
      <w:pPr>
        <w:keepNext/>
        <w:ind w:firstLine="0"/>
      </w:pPr>
      <w:r>
        <w:rPr>
          <w:i/>
        </w:rPr>
        <w:t>Excerpt From the Downloaded Inspection CSV</w:t>
      </w:r>
    </w:p>
    <w:p>
      <w:r>
        <w:drawing>
          <wp:inline xmlns:a="http://schemas.openxmlformats.org/drawingml/2006/main" xmlns:pic="http://schemas.openxmlformats.org/drawingml/2006/picture">
            <wp:extent cx="5943600" cy="1448752"/>
            <wp:docPr id="1" name="Picture 1"/>
            <wp:cNvGraphicFramePr>
              <a:graphicFrameLocks noChangeAspect="1"/>
            </wp:cNvGraphicFramePr>
            <a:graphic>
              <a:graphicData uri="http://schemas.openxmlformats.org/drawingml/2006/picture">
                <pic:pic>
                  <pic:nvPicPr>
                    <pic:cNvPr id="0" name="preview.png"/>
                    <pic:cNvPicPr/>
                  </pic:nvPicPr>
                  <pic:blipFill>
                    <a:blip r:embed="rId10"/>
                    <a:stretch>
                      <a:fillRect/>
                    </a:stretch>
                  </pic:blipFill>
                  <pic:spPr>
                    <a:xfrm>
                      <a:off x="0" y="0"/>
                      <a:ext cx="5943600" cy="1448752"/>
                    </a:xfrm>
                    <a:prstGeom prst="rect"/>
                  </pic:spPr>
                </pic:pic>
              </a:graphicData>
            </a:graphic>
          </wp:inline>
        </w:drawing>
      </w:r>
    </w:p>
    <w:p>
      <w:pPr>
        <w:ind w:firstLine="0"/>
      </w:pPr>
      <w:r>
        <w:t>Note. This is a rendered excerpt of five real CSV records, not an invented illustration. Columns are abbreviated visually; the full header and all variables are documented in Appendix B. The index is excluded from analytical predictors.</w:t>
      </w:r>
    </w:p>
    <w:p>
      <w:pPr>
        <w:pStyle w:val="Heading1"/>
        <w:pageBreakBefore/>
      </w:pPr>
      <w:r>
        <w:t>Appendix B</w:t>
      </w:r>
    </w:p>
    <w:p>
      <w:pPr>
        <w:pStyle w:val="Heading2"/>
      </w:pPr>
      <w:r>
        <w:t>Complete Data Dictionary</w:t>
      </w:r>
    </w:p>
    <w:p>
      <w:pPr>
        <w:ind w:firstLine="0"/>
      </w:pPr>
      <w:r>
        <w:t>Table B1 covers all 78 raw columns. N denotes a numerical storage field with normalized dimensionless values; its original physical meaning and unit are undisclosed and can differ by inspection type. Some inspection fields are semantically categorical. Applicable types are read directly from mapping.json. P denotes an AOI predictor candidate; outcome and grouping roles are stated separately.</w:t>
      </w:r>
    </w:p>
    <w:p>
      <w:pPr>
        <w:keepNext/>
        <w:ind w:firstLine="0"/>
      </w:pPr>
      <w:r>
        <w:rPr>
          <w:b/>
        </w:rPr>
        <w:t>Table B1</w:t>
      </w:r>
    </w:p>
    <w:p>
      <w:pPr>
        <w:keepNext/>
        <w:ind w:firstLine="0"/>
      </w:pPr>
      <w:r>
        <w:rPr>
          <w:i/>
        </w:rPr>
        <w:t>Raw Variables and Their Analytical Roles</w:t>
      </w:r>
    </w:p>
    <w:tbl>
      <w:tblPr>
        <w:tblW w:type="auto" w:w="0"/>
        <w:tblLayout w:type="fixed"/>
        <w:tblLook w:firstColumn="1" w:firstRow="1" w:lastColumn="0" w:lastRow="0" w:noHBand="0" w:noVBand="1" w:val="04A0"/>
      </w:tblPr>
      <w:tblGrid>
        <w:gridCol w:w="2304"/>
        <w:gridCol w:w="1512"/>
        <w:gridCol w:w="3312"/>
        <w:gridCol w:w="936"/>
        <w:gridCol w:w="1296"/>
      </w:tblGrid>
      <w:tr>
        <w:trPr>
          <w:cantSplit/>
          <w:tblHeader/>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Variable</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Type</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Meaning and applicability</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Units</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Role</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Unnamed: 0</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Integer</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Export index</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None</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Exclude</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timestamp</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Datetime</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entry time; anonymized year</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UTC</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Group and split</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class</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Binary integer</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 false call; 1 confirmed defect</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Spot outcome</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inspection_type</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Categorical integer</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Configuration code</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0–4</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Predictor and context</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meta_feat1</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Categorical integer</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Anonymous AOI metadata; physical category withheld</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Code</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meta_feat2</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Categorical integer</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Anonymous AOI metadata; physical category withheld</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Code</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meta_feat3</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Categorical integer</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Anonymous AOI metadata; physical category withheld</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Code</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meta_feat4</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Categorical integer</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Anonymous AOI metadata; physical category withheld</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Code</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inspection_feat1</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inspection_feat2</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inspection_feat3</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inspection_feat4</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inspection_feat5</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inspection_feat6</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inspection_feat7</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inspection_feat8</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inspection_feat9</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inspection_feat10</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inspection_feat11</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inspection_feat12</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inspection_feat13</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inspection_feat14</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unmapped</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Exclude</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inspection_feat15</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unmapped</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Exclude</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inspection_feat16</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inspection_feat17</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inspection_feat18</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inspection_feat19</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inspection_feat20</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inspection_feat21</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inspection_feat22</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inspection_feat23</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inspection_feat24</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inspection_feat25</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inspection_feat26</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inspection_feat27</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inspection_feat28</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inspection_feat29</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inspection_feat30</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inspection_feat31</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inspection_feat32</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inspection_feat33</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inspection_feat34</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inspection_feat35</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unmapped</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Exclude</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inspection_feat36</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unmapped</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Exclude</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inspection_feat37</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unmapped</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Exclude</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inspection_feat40</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inspection_feat41</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inspection_feat42</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inspection_feat43</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inspection_feat44</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inspection_feat45</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inspection_feat46</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inspection_feat47</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inspection_feat48</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0,1,2,3,4</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inspection_feat49</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inspection_feat53</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inspection_feat54</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inspection_feat55</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inspection_feat56</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inspection_feat57</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inspection_feat58</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inspection_feat59</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0,1,2,3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inspection_feat63</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inspection_feat64</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inspection_feat65</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inspection_feat71</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inspection_feat72</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inspection_feat78</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inspection_feat88</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inspection_feat89</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inspection_feat90</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inspection_feat93</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inspection_feat94</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inspection_feat95</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inspection_feat96</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inspection_feat97</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inspection_feat98</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r>
        <w:trPr>
          <w:cantSplit/>
        </w:trPr>
        <w:tc>
          <w:tcPr>
            <w:tcW w:type="dxa" w:w="230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inspection_feat99</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w:t>
            </w:r>
          </w:p>
        </w:tc>
        <w:tc>
          <w:tcPr>
            <w:tcW w:type="dxa" w:w="33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AOI field; types 1,2,3</w:t>
            </w:r>
          </w:p>
        </w:tc>
        <w:tc>
          <w:tcPr>
            <w:tcW w:type="dxa" w:w="93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29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w:t>
            </w:r>
          </w:p>
        </w:tc>
      </w:tr>
    </w:tbl>
    <w:p>
      <w:pPr>
        <w:keepNext/>
        <w:pageBreakBefore/>
        <w:ind w:firstLine="0"/>
      </w:pPr>
      <w:r>
        <w:rPr>
          <w:b/>
        </w:rPr>
        <w:t>Table B2</w:t>
      </w:r>
    </w:p>
    <w:p>
      <w:pPr>
        <w:keepNext/>
        <w:ind w:firstLine="0"/>
      </w:pPr>
      <w:r>
        <w:rPr>
          <w:i/>
        </w:rPr>
        <w:t>Derived Variables Used for Group Analysis</w:t>
      </w:r>
    </w:p>
    <w:tbl>
      <w:tblPr>
        <w:tblW w:type="auto" w:w="0"/>
        <w:tblLayout w:type="fixed"/>
        <w:tblLook w:firstColumn="1" w:firstRow="1" w:lastColumn="0" w:lastRow="0" w:noHBand="0" w:noVBand="1" w:val="04A0"/>
      </w:tblPr>
      <w:tblGrid>
        <w:gridCol w:w="2088"/>
        <w:gridCol w:w="1224"/>
        <w:gridCol w:w="3528"/>
        <w:gridCol w:w="1080"/>
        <w:gridCol w:w="1440"/>
      </w:tblGrid>
      <w:tr>
        <w:trPr>
          <w:cantSplit/>
          <w:tblHeader/>
        </w:trPr>
        <w:tc>
          <w:tcPr>
            <w:tcW w:type="dxa" w:w="2088"/>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Variable</w:t>
            </w:r>
          </w:p>
        </w:tc>
        <w:tc>
          <w:tcPr>
            <w:tcW w:type="dxa" w:w="1224"/>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Type</w:t>
            </w:r>
          </w:p>
        </w:tc>
        <w:tc>
          <w:tcPr>
            <w:tcW w:type="dxa" w:w="3528"/>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Definition</w:t>
            </w:r>
          </w:p>
        </w:tc>
        <w:tc>
          <w:tcPr>
            <w:tcW w:type="dxa" w:w="1080"/>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Units</w:t>
            </w:r>
          </w:p>
        </w:tc>
        <w:tc>
          <w:tcPr>
            <w:tcW w:type="dxa" w:w="1440"/>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Role</w:t>
            </w:r>
          </w:p>
        </w:tc>
      </w:tr>
      <w:tr>
        <w:trPr>
          <w:cantSplit/>
        </w:trPr>
        <w:tc>
          <w:tcPr>
            <w:tcW w:type="dxa" w:w="20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group_id</w:t>
            </w:r>
          </w:p>
        </w:tc>
        <w:tc>
          <w:tcPr>
            <w:tcW w:type="dxa" w:w="122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Category</w:t>
            </w:r>
          </w:p>
        </w:tc>
        <w:tc>
          <w:tcPr>
            <w:tcW w:type="dxa" w:w="352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Canonical timestamp shared by records</w:t>
            </w:r>
          </w:p>
        </w:tc>
        <w:tc>
          <w:tcPr>
            <w:tcW w:type="dxa" w:w="10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ID</w:t>
            </w:r>
          </w:p>
        </w:tc>
        <w:tc>
          <w:tcPr>
            <w:tcW w:type="dxa" w:w="144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Grouping</w:t>
            </w:r>
          </w:p>
        </w:tc>
      </w:tr>
      <w:tr>
        <w:trPr>
          <w:cantSplit/>
        </w:trPr>
        <w:tc>
          <w:tcPr>
            <w:tcW w:type="dxa" w:w="20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group_defect</w:t>
            </w:r>
          </w:p>
        </w:tc>
        <w:tc>
          <w:tcPr>
            <w:tcW w:type="dxa" w:w="122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Binary</w:t>
            </w:r>
          </w:p>
        </w:tc>
        <w:tc>
          <w:tcPr>
            <w:tcW w:type="dxa" w:w="352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max(class) within group</w:t>
            </w:r>
          </w:p>
        </w:tc>
        <w:tc>
          <w:tcPr>
            <w:tcW w:type="dxa" w:w="10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44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Primary outcome</w:t>
            </w:r>
          </w:p>
        </w:tc>
      </w:tr>
      <w:tr>
        <w:trPr>
          <w:cantSplit/>
        </w:trPr>
        <w:tc>
          <w:tcPr>
            <w:tcW w:type="dxa" w:w="20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dominant_type</w:t>
            </w:r>
          </w:p>
        </w:tc>
        <w:tc>
          <w:tcPr>
            <w:tcW w:type="dxa" w:w="122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Category</w:t>
            </w:r>
          </w:p>
        </w:tc>
        <w:tc>
          <w:tcPr>
            <w:tcW w:type="dxa" w:w="352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Mode inspection_type; ties smallest code</w:t>
            </w:r>
          </w:p>
        </w:tc>
        <w:tc>
          <w:tcPr>
            <w:tcW w:type="dxa" w:w="10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0–4</w:t>
            </w:r>
          </w:p>
        </w:tc>
        <w:tc>
          <w:tcPr>
            <w:tcW w:type="dxa" w:w="144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RQ1 predictor</w:t>
            </w:r>
          </w:p>
        </w:tc>
      </w:tr>
      <w:tr>
        <w:trPr>
          <w:cantSplit/>
        </w:trPr>
        <w:tc>
          <w:tcPr>
            <w:tcW w:type="dxa" w:w="20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active_day</w:t>
            </w:r>
          </w:p>
        </w:tc>
        <w:tc>
          <w:tcPr>
            <w:tcW w:type="dxa" w:w="122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Ordered date</w:t>
            </w:r>
          </w:p>
        </w:tc>
        <w:tc>
          <w:tcPr>
            <w:tcW w:type="dxa" w:w="352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Observed date in sorted active day sequence</w:t>
            </w:r>
          </w:p>
        </w:tc>
        <w:tc>
          <w:tcPr>
            <w:tcW w:type="dxa" w:w="10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Day</w:t>
            </w:r>
          </w:p>
        </w:tc>
        <w:tc>
          <w:tcPr>
            <w:tcW w:type="dxa" w:w="144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Split and blocks</w:t>
            </w:r>
          </w:p>
        </w:tc>
      </w:tr>
      <w:tr>
        <w:trPr>
          <w:cantSplit/>
        </w:trPr>
        <w:tc>
          <w:tcPr>
            <w:tcW w:type="dxa" w:w="20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period</w:t>
            </w:r>
          </w:p>
        </w:tc>
        <w:tc>
          <w:tcPr>
            <w:tcW w:type="dxa" w:w="122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Binary category</w:t>
            </w:r>
          </w:p>
        </w:tc>
        <w:tc>
          <w:tcPr>
            <w:tcW w:type="dxa" w:w="352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First 50 versus last 51 active days</w:t>
            </w:r>
          </w:p>
        </w:tc>
        <w:tc>
          <w:tcPr>
            <w:tcW w:type="dxa" w:w="10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Early/late</w:t>
            </w:r>
          </w:p>
        </w:tc>
        <w:tc>
          <w:tcPr>
            <w:tcW w:type="dxa" w:w="144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RQ4 predictor</w:t>
            </w:r>
          </w:p>
        </w:tc>
      </w:tr>
      <w:tr>
        <w:trPr>
          <w:cantSplit/>
        </w:trPr>
        <w:tc>
          <w:tcPr>
            <w:tcW w:type="dxa" w:w="20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group_score</w:t>
            </w:r>
          </w:p>
        </w:tc>
        <w:tc>
          <w:tcPr>
            <w:tcW w:type="dxa" w:w="122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Numerical</w:t>
            </w:r>
          </w:p>
        </w:tc>
        <w:tc>
          <w:tcPr>
            <w:tcW w:type="dxa" w:w="352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max(spot model score) within group</w:t>
            </w:r>
          </w:p>
        </w:tc>
        <w:tc>
          <w:tcPr>
            <w:tcW w:type="dxa" w:w="10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 score</w:t>
            </w:r>
          </w:p>
        </w:tc>
        <w:tc>
          <w:tcPr>
            <w:tcW w:type="dxa" w:w="144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Decision input</w:t>
            </w:r>
          </w:p>
        </w:tc>
      </w:tr>
      <w:tr>
        <w:trPr>
          <w:cantSplit/>
        </w:trPr>
        <w:tc>
          <w:tcPr>
            <w:tcW w:type="dxa" w:w="20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retain_review</w:t>
            </w:r>
          </w:p>
        </w:tc>
        <w:tc>
          <w:tcPr>
            <w:tcW w:type="dxa" w:w="122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Binary</w:t>
            </w:r>
          </w:p>
        </w:tc>
        <w:tc>
          <w:tcPr>
            <w:tcW w:type="dxa" w:w="352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1 if group_score ≥ frozen tau</w:t>
            </w:r>
          </w:p>
        </w:tc>
        <w:tc>
          <w:tcPr>
            <w:tcW w:type="dxa" w:w="10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44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Policy outcome</w:t>
            </w:r>
          </w:p>
        </w:tc>
      </w:tr>
      <w:tr>
        <w:trPr>
          <w:cantSplit/>
        </w:trPr>
        <w:tc>
          <w:tcPr>
            <w:tcW w:type="dxa" w:w="20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candidate_avoid</w:t>
            </w:r>
          </w:p>
        </w:tc>
        <w:tc>
          <w:tcPr>
            <w:tcW w:type="dxa" w:w="122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Binary</w:t>
            </w:r>
          </w:p>
        </w:tc>
        <w:tc>
          <w:tcPr>
            <w:tcW w:type="dxa" w:w="352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1 − retain_review</w:t>
            </w:r>
          </w:p>
        </w:tc>
        <w:tc>
          <w:tcPr>
            <w:tcW w:type="dxa" w:w="10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44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RQ3 outcome</w:t>
            </w:r>
          </w:p>
        </w:tc>
      </w:tr>
      <w:tr>
        <w:trPr>
          <w:cantSplit/>
        </w:trPr>
        <w:tc>
          <w:tcPr>
            <w:tcW w:type="dxa" w:w="20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gated feature</w:t>
            </w:r>
          </w:p>
        </w:tc>
        <w:tc>
          <w:tcPr>
            <w:tcW w:type="dxa" w:w="122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Numerical family</w:t>
            </w:r>
          </w:p>
        </w:tc>
        <w:tc>
          <w:tcPr>
            <w:tcW w:type="dxa" w:w="352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inspection_featj value for applicable type k; zero otherwise</w:t>
            </w:r>
          </w:p>
        </w:tc>
        <w:tc>
          <w:tcPr>
            <w:tcW w:type="dxa" w:w="10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Scaled</w:t>
            </w:r>
          </w:p>
        </w:tc>
        <w:tc>
          <w:tcPr>
            <w:tcW w:type="dxa" w:w="144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Type context</w:t>
            </w:r>
          </w:p>
        </w:tc>
      </w:tr>
      <w:tr>
        <w:trPr>
          <w:cantSplit/>
        </w:trPr>
        <w:tc>
          <w:tcPr>
            <w:tcW w:type="dxa" w:w="208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encoded metadata</w:t>
            </w:r>
          </w:p>
        </w:tc>
        <w:tc>
          <w:tcPr>
            <w:tcW w:type="dxa" w:w="1224"/>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Binary family</w:t>
            </w:r>
          </w:p>
        </w:tc>
        <w:tc>
          <w:tcPr>
            <w:tcW w:type="dxa" w:w="3528"/>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Training fitted one hot categories of type and metadata</w:t>
            </w:r>
          </w:p>
        </w:tc>
        <w:tc>
          <w:tcPr>
            <w:tcW w:type="dxa" w:w="108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0/1</w:t>
            </w:r>
          </w:p>
        </w:tc>
        <w:tc>
          <w:tcPr>
            <w:tcW w:type="dxa" w:w="1440"/>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Model input</w:t>
            </w:r>
          </w:p>
        </w:tc>
      </w:tr>
    </w:tbl>
    <w:p>
      <w:pPr>
        <w:ind w:firstLine="0"/>
      </w:pPr>
      <w:r>
        <w:t>Note. Gated features are deterministically named inspection_featj__typek for each pair listed in mapping.json. Encoding columns are transformations of dictionary variables, not additional collected data. The complete generated mapping is included in the repository starter package. No anonymous field is assigned an invented physical unit.</w:t>
      </w:r>
    </w:p>
    <w:p>
      <w:pPr>
        <w:pStyle w:val="Heading1"/>
        <w:pageBreakBefore/>
      </w:pPr>
      <w:r>
        <w:t>Appendix C</w:t>
      </w:r>
    </w:p>
    <w:p>
      <w:pPr>
        <w:pStyle w:val="Heading2"/>
      </w:pPr>
      <w:r>
        <w:t>Repository Access and Source Manifest</w:t>
      </w:r>
    </w:p>
    <w:p>
      <w:pPr>
        <w:ind w:firstLine="0"/>
      </w:pPr>
      <w:r>
        <w:t>Project repository: https://github.com/sahasrm06/Capstone_Proposal. Public access was verified through the GitHub repository API during preparation. Project content is pending upload. Source repository: https://data.mendeley.com/datasets/99jzmh9658/2. Associated paper: https://doi.org/10.1016/j.dib.2024.110110 (Pfab et al., 2024).</w:t>
      </w:r>
    </w:p>
    <w:p>
      <w:pPr>
        <w:ind w:firstLine="0"/>
      </w:pPr>
      <w:r>
        <w:t>The accompanying Capstone_Proposal_Starter.zip contains a README, requirements, source manifest, audit results, dictionary, and executable data audit and sample calculation scripts. Extract the package and upload its contents to the public repository. The raw CSV is not inside the package. The source page supplies public original access; the download script retrieves the two original files locally and verifies checksums.</w:t>
      </w:r>
    </w:p>
    <w:p>
      <w:pPr>
        <w:keepNext/>
        <w:ind w:firstLine="0"/>
      </w:pPr>
      <w:r>
        <w:rPr>
          <w:b/>
        </w:rPr>
        <w:t>Table C1</w:t>
      </w:r>
    </w:p>
    <w:p>
      <w:pPr>
        <w:keepNext/>
        <w:ind w:firstLine="0"/>
      </w:pPr>
      <w:r>
        <w:rPr>
          <w:i/>
        </w:rPr>
        <w:t>Original File Manifest</w:t>
      </w:r>
    </w:p>
    <w:tbl>
      <w:tblPr>
        <w:tblW w:type="auto" w:w="0"/>
        <w:tblLayout w:type="fixed"/>
        <w:tblLook w:firstColumn="1" w:firstRow="1" w:lastColumn="0" w:lastRow="0" w:noHBand="0" w:noVBand="1" w:val="04A0"/>
      </w:tblPr>
      <w:tblGrid>
        <w:gridCol w:w="1872"/>
        <w:gridCol w:w="1512"/>
        <w:gridCol w:w="5976"/>
      </w:tblGrid>
      <w:tr>
        <w:trPr>
          <w:cantSplit/>
          <w:tblHeader/>
        </w:trPr>
        <w:tc>
          <w:tcPr>
            <w:tcW w:type="dxa" w:w="1872"/>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File</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Bytes</w:t>
            </w:r>
          </w:p>
        </w:tc>
        <w:tc>
          <w:tcPr>
            <w:tcW w:type="dxa" w:w="5976"/>
            <w:tcMar>
              <w:top w:w="70" w:type="dxa"/>
              <w:bottom w:w="70" w:type="dxa"/>
              <w:left w:w="90" w:type="dxa"/>
              <w:right w:w="90" w:type="dxa"/>
            </w:tcMar>
            <w:tcBorders>
              <w:top w:val="single" w:sz="4" w:color="D9D9D9"/>
              <w:bottom w:val="single" w:sz="4" w:color="D9D9D9"/>
              <w:left w:val="single" w:sz="4" w:color="D9D9D9"/>
              <w:right w:val="single" w:sz="4" w:color="D9D9D9"/>
            </w:tcBorders>
            <w:shd w:fill="E7E6E6"/>
          </w:tcPr>
          <w:p>
            <w:pPr>
              <w:spacing w:line="480" w:lineRule="auto"/>
              <w:ind w:firstLine="0"/>
            </w:pPr>
            <w:r>
              <w:rPr>
                <w:b/>
                <w:sz w:val="24"/>
              </w:rPr>
              <w:t>SHA256</w:t>
            </w:r>
          </w:p>
        </w:tc>
      </w:tr>
      <w:tr>
        <w:trPr>
          <w:cantSplit/>
        </w:trPr>
        <w:tc>
          <w:tcPr>
            <w:tcW w:type="dxa" w:w="187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dataset.csv</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333,590,345</w:t>
            </w:r>
          </w:p>
        </w:tc>
        <w:tc>
          <w:tcPr>
            <w:tcW w:type="dxa" w:w="597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53e8568743216d556856ed69b388f6750fbfa0b8c59ad31f970515ac9eb10e62</w:t>
            </w:r>
          </w:p>
        </w:tc>
      </w:tr>
      <w:tr>
        <w:trPr>
          <w:cantSplit/>
        </w:trPr>
        <w:tc>
          <w:tcPr>
            <w:tcW w:type="dxa" w:w="187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mapping.json</w:t>
            </w:r>
          </w:p>
        </w:tc>
        <w:tc>
          <w:tcPr>
            <w:tcW w:type="dxa" w:w="1512"/>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7,205</w:t>
            </w:r>
          </w:p>
        </w:tc>
        <w:tc>
          <w:tcPr>
            <w:tcW w:type="dxa" w:w="5976"/>
            <w:tcMar>
              <w:top w:w="70" w:type="dxa"/>
              <w:bottom w:w="70" w:type="dxa"/>
              <w:left w:w="90" w:type="dxa"/>
              <w:right w:w="90" w:type="dxa"/>
            </w:tcMar>
            <w:tcBorders>
              <w:top w:val="single" w:sz="4" w:color="D9D9D9"/>
              <w:bottom w:val="single" w:sz="4" w:color="D9D9D9"/>
              <w:left w:val="single" w:sz="4" w:color="D9D9D9"/>
              <w:right w:val="single" w:sz="4" w:color="D9D9D9"/>
            </w:tcBorders>
          </w:tcPr>
          <w:p>
            <w:pPr>
              <w:spacing w:line="480" w:lineRule="auto"/>
              <w:ind w:firstLine="0"/>
            </w:pPr>
            <w:r>
              <w:rPr>
                <w:b w:val="0"/>
                <w:sz w:val="24"/>
              </w:rPr>
              <w:t>3b20f440b6d9ed0baefa662e1a6f03688befbe0f28341a3b54655d3058c6e486</w:t>
            </w:r>
          </w:p>
        </w:tc>
      </w:tr>
    </w:tbl>
    <w:p>
      <w:pPr>
        <w:ind w:firstLine="0"/>
      </w:pPr>
      <w:r>
        <w:t>The template asks for complete data and code on GitHub. This draft supplies a public original data route and prepared code, but raw data are not rehosted because of the source notice. The course must accept this source linked access arrangement, or redistribution must be clarified with the owner, before claiming that specific template condition is satisfied. Mentor and term fields remain blank for completion.</w:t>
      </w:r>
    </w:p>
    <w:p>
      <w:pPr>
        <w:pStyle w:val="Heading2"/>
        <w:pageBreakBefore/>
      </w:pPr>
      <w:r>
        <w:t>Repository Organization and Run Instructions</w:t>
      </w:r>
    </w:p>
    <w:p>
      <w:pPr>
        <w:ind w:firstLine="0"/>
      </w:pPr>
      <w:r>
        <w:t>Planned organization: README.md describes the business question and run sequence; requirements.txt lists dependencies; data/SOURCES.md records provenance and restrictions; data/source_manifest.json records immutable source files; scripts/download_data.py retrieves originals; scripts/audit_data.py validates and partitions them; scripts/sample_sizes.py reproduces all four calculations; docs/data_dictionary.csv documents raw and derived variables; results/audit.json preserves the verified Week 1 counts.</w:t>
      </w:r>
    </w:p>
    <w:p>
      <w:pPr>
        <w:ind w:firstLine="0"/>
      </w:pPr>
      <w:r>
        <w:t>Create a Python environment and install requirements.txt. Run python scripts/download_data.py, then python scripts/audit_data.py, then python scripts/sample_sizes.py from the repository root. The audit fails if the source hashes or expected column counts differ. Outputs go to results/ and include partition summaries and sample_sizes.json. The initial scripts have been executed on the real files for proposal validation.</w:t>
      </w:r>
    </w:p>
    <w:p>
      <w:pPr>
        <w:ind w:firstLine="0"/>
      </w:pPr>
      <w:r>
        <w:t>Later weeks will add training and evaluation modules, a frozen configuration file, final metrics, and figures. The Week 1 package is a reproducible proposal foundation, not a claim that the future modeling pipeline has already produced final results. Raw downloaded data, fitted models, and temporary environments are excluded from version control. Data rights remain with the original provider.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jc w:val="left"/>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0" w:after="0" w:line="480" w:lineRule="auto"/>
      <w:ind w:firstLine="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widowControl/>
      <w:spacing w:after="0" w:line="480" w:lineRule="auto" w:before="0"/>
      <w:contextualSpacing/>
    </w:pPr>
    <w:rPr>
      <w:rFonts w:asciiTheme="majorHAnsi" w:eastAsiaTheme="majorEastAsia" w:hAnsiTheme="majorHAnsi" w:cstheme="majorBidi" w:ascii="Times New Roman" w:hAnsi="Times New Roman"/>
      <w:b/>
      <w:color w:val="000000"/>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80" w:lineRule="auto" w:before="0" w:after="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Reducing False Alarm Review in PCB Manufacturing Using Inspection Data</dc:title>
  <dc:subject>QM640 Week 1 capstone synopsis</dc:subject>
  <dc:creator>Murali Sahasranaman</dc:creator>
  <cp:keywords/>
  <dc:description>generated by python-docx</dc:description>
  <cp:lastModifiedBy/>
  <cp:revision>1</cp:revision>
  <dcterms:created xsi:type="dcterms:W3CDTF">2013-12-23T23:15:00Z</dcterms:created>
  <dcterms:modified xsi:type="dcterms:W3CDTF">2013-12-23T23:15:00Z</dcterms:modified>
  <cp:category/>
</cp:coreProperties>
</file>