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60"/>
        <w:jc w:val="center"/>
      </w:pPr>
      <w:r>
        <w:rPr>
          <w:rFonts w:ascii="Calibri" w:cs="Calibri" w:eastAsia="Calibri" w:hAnsi="Calibri"/>
          <w:b/>
          <w:bCs/>
          <w:color w:val="1E3A5F"/>
          <w:sz w:val="60"/>
          <w:szCs w:val="60"/>
        </w:rPr>
        <w:t xml:space="preserve">AGENTIC RAG SYSTEM</w:t>
      </w:r>
    </w:p>
    <w:p>
      <w:pPr>
        <w:spacing w:before="0" w:after="40"/>
        <w:jc w:val="center"/>
      </w:pPr>
      <w:r>
        <w:rPr>
          <w:rFonts w:ascii="Calibri" w:cs="Calibri" w:eastAsia="Calibri" w:hAnsi="Calibri"/>
          <w:color w:val="2980B9"/>
          <w:sz w:val="36"/>
          <w:szCs w:val="36"/>
        </w:rPr>
        <w:t xml:space="preserve">Performance Evaluation Report</w:t>
      </w:r>
    </w:p>
    <w:p>
      <w:pPr>
        <w:spacing w:before="0" w:after="240"/>
        <w:jc w:val="center"/>
      </w:pPr>
      <w:r>
        <w:rPr>
          <w:rFonts w:ascii="Calibri" w:cs="Calibri" w:eastAsia="Calibri" w:hAnsi="Calibri"/>
          <w:i/>
          <w:iCs/>
          <w:color w:val="555555"/>
          <w:sz w:val="24"/>
          <w:szCs w:val="24"/>
        </w:rPr>
        <w:t xml:space="preserve">Legal Document Analysis — Inheritance &amp; Divorce Law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5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Project</w:t>
            </w:r>
          </w:p>
        </w:tc>
        <w:tc>
          <w:tcPr>
            <w:tcW w:type="dxa" w:w="65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Agentic RAG Playground (LangChain)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Domain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Legal Document Analysis</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Jurisdictions</w:t>
            </w:r>
          </w:p>
        </w:tc>
        <w:tc>
          <w:tcPr>
            <w:tcW w:type="dxa" w:w="65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Estonia, Italy, Slovenia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Date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February 23, 2026</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Evaluation</w:t>
            </w:r>
          </w:p>
        </w:tc>
        <w:tc>
          <w:tcPr>
            <w:tcW w:type="dxa" w:w="65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RAGAS Framework (30 QA pairs)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LLM</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OpenAI GPT-4o-mini (temp=0.2, via OpenRouter)</w:t>
            </w:r>
          </w:p>
        </w:tc>
      </w:tr>
      <w:tr>
        <w:tc>
          <w:tcPr>
            <w:tcW w:type="dxa" w:w="2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Embeddings</w:t>
            </w:r>
          </w:p>
        </w:tc>
        <w:tc>
          <w:tcPr>
            <w:tcW w:type="dxa" w:w="65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sentence-transformers/all-MiniLM-L6-v2 (384D)</w:t>
            </w:r>
          </w:p>
        </w:tc>
      </w:tr>
    </w:tbl>
    <w:p>
      <w:pPr>
        <w:spacing w:before="400" w:after="0"/>
      </w:pPr>
    </w:p>
    <w:p>
      <w:r>
        <w:br w:type="page"/>
      </w:r>
    </w:p>
    <w:p>
      <w:pPr>
        <w:pStyle w:val="Heading1"/>
      </w:pPr>
      <w:r>
        <w:rPr>
          <w:rFonts w:ascii="Calibri" w:cs="Calibri" w:eastAsia="Calibri" w:hAnsi="Calibri"/>
          <w:b/>
          <w:bCs/>
          <w:color w:val="1E3A5F"/>
        </w:rPr>
        <w:t xml:space="preserve">1. Executive Summary</w:t>
      </w:r>
    </w:p>
    <w:p>
      <w:pPr>
        <w:spacing w:before="60" w:after="60"/>
      </w:pPr>
      <w:r>
        <w:rPr>
          <w:rFonts w:ascii="Calibri" w:cs="Calibri" w:eastAsia="Calibri" w:hAnsi="Calibri"/>
          <w:sz w:val="22"/>
          <w:szCs w:val="22"/>
        </w:rPr>
        <w:t xml:space="preserve">This project evaluates three agentic RAG (Retrieval-Augmented Generation) architectures for legal question-answering across European legal systems. RAGAS metrics were applied to top-10 retrieved documents using a 30-question test set.</w:t>
      </w:r>
    </w:p>
    <w:p>
      <w:pPr>
        <w:spacing w:before="80" w:after="0"/>
      </w:pPr>
    </w:p>
    <w:p>
      <w:pPr>
        <w:pStyle w:val="Heading2"/>
      </w:pPr>
      <w:r>
        <w:rPr>
          <w:rFonts w:ascii="Calibri" w:cs="Calibri" w:eastAsia="Calibri" w:hAnsi="Calibri"/>
          <w:b/>
          <w:bCs/>
          <w:color w:val="2980B9"/>
        </w:rPr>
        <w:t xml:space="preserve">Overall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300"/>
        <w:gridCol w:w="1200"/>
        <w:gridCol w:w="900"/>
        <w:gridCol w:w="1860"/>
      </w:tblGrid>
      <w:tr>
        <w:tc>
          <w:tcPr>
            <w:tcW w:type="dxa" w:w="17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1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Faithfulness</w:t>
            </w:r>
          </w:p>
        </w:tc>
        <w:tc>
          <w:tcPr>
            <w:tcW w:type="dxa" w:w="1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Context Recall</w:t>
            </w:r>
          </w:p>
        </w:tc>
        <w:tc>
          <w:tcPr>
            <w:tcW w:type="dxa" w:w="13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Answer Relevancy</w:t>
            </w:r>
          </w:p>
        </w:tc>
        <w:tc>
          <w:tcPr>
            <w:tcW w:type="dxa" w:w="1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Correctness</w:t>
            </w:r>
          </w:p>
        </w:tc>
        <w:tc>
          <w:tcPr>
            <w:tcW w:type="dxa" w:w="9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18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17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Single Agent RAG</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0.827 ⭐</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0.767 ⭐</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0.798</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0.708 ⭐</w:t>
            </w:r>
          </w:p>
        </w:tc>
        <w:tc>
          <w:tcPr>
            <w:tcW w:type="dxa" w:w="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0.78</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 Production Ready</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Multi-Agent RAG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0.558 ✗</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0.827 ⭐</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0.706</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0.72</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 Experimental</w:t>
            </w:r>
          </w:p>
        </w:tc>
      </w:tr>
      <w:tr>
        <w:tc>
          <w:tcPr>
            <w:tcW w:type="dxa" w:w="17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Hybrid Legal RAG</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0.685</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0.667 ✗</w:t>
            </w:r>
          </w:p>
        </w:tc>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0.626 ✗</w:t>
            </w:r>
          </w:p>
        </w:tc>
        <w:tc>
          <w:tcPr>
            <w:tcW w:type="dxa" w:w="1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0.646 ✗</w:t>
            </w:r>
          </w:p>
        </w:tc>
        <w:tc>
          <w:tcPr>
            <w:tcW w:type="dxa" w:w="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0.68</w:t>
            </w:r>
          </w:p>
        </w:tc>
        <w:tc>
          <w:tcPr>
            <w:tcW w:type="dxa" w:w="18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 Shelved</w:t>
            </w:r>
          </w:p>
        </w:tc>
      </w:tr>
    </w:tbl>
    <w:p>
      <w:pPr>
        <w:spacing w:before="120" w:after="0"/>
      </w:pPr>
    </w:p>
    <w:p>
      <w:pPr>
        <w:spacing w:before="60" w:after="60"/>
      </w:pPr>
      <w:r>
        <w:rPr>
          <w:rFonts w:ascii="Calibri" w:cs="Calibri" w:eastAsia="Calibri" w:hAnsi="Calibri"/>
          <w:sz w:val="22"/>
          <w:szCs w:val="22"/>
        </w:rPr>
        <w:t xml:space="preserve">Key Insight: The Single Agent RAG demonstrates the most reliable answer quality. Simpler architectures outperform complex ones in this legal domain. Context Precision is identical (0.800) across all agents, indicating embedding quality is not the bottleneck.</w:t>
      </w:r>
    </w:p>
    <w:p>
      <w:pPr>
        <w:spacing w:before="100" w:after="0"/>
      </w:pPr>
    </w:p>
    <w:p>
      <w:r>
        <w:br w:type="page"/>
      </w:r>
    </w:p>
    <w:p>
      <w:pPr>
        <w:pStyle w:val="Heading1"/>
      </w:pPr>
      <w:r>
        <w:rPr>
          <w:rFonts w:ascii="Calibri" w:cs="Calibri" w:eastAsia="Calibri" w:hAnsi="Calibri"/>
          <w:b/>
          <w:bCs/>
          <w:color w:val="1E3A5F"/>
        </w:rPr>
        <w:t xml:space="preserve">2. System Architecture</w:t>
      </w:r>
    </w:p>
    <w:p>
      <w:pPr>
        <w:pStyle w:val="Heading2"/>
      </w:pPr>
      <w:r>
        <w:rPr>
          <w:rFonts w:ascii="Calibri" w:cs="Calibri" w:eastAsia="Calibri" w:hAnsi="Calibri"/>
          <w:b/>
          <w:bCs/>
          <w:color w:val="2980B9"/>
        </w:rPr>
        <w:t xml:space="preserve">Data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Stage</w:t>
            </w:r>
          </w:p>
        </w:tc>
        <w:tc>
          <w:tcPr>
            <w:tcW w:type="dxa" w:w="2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54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Details</w:t>
            </w:r>
          </w:p>
        </w:tc>
      </w:tr>
      <w:tr>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Input</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Raw Legal Documents</w:t>
            </w:r>
          </w:p>
        </w:tc>
        <w:tc>
          <w:tcPr>
            <w:tcW w:type="dxa" w:w="54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JSON format — Divorce &amp; Inheritance articles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Parsing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Document Loader</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Extracts text, metadata (law type, jurisdiction, costs)</w:t>
            </w:r>
          </w:p>
        </w:tc>
      </w:tr>
      <w:tr>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Embedding</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HuggingFace all-MiniLM-L6-v2</w:t>
            </w:r>
          </w:p>
        </w:tc>
        <w:tc>
          <w:tcPr>
            <w:tcW w:type="dxa" w:w="54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384-dim vectors, L2-normalized, CPU</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Indexing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FAISS Vector Stores</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3 indexes: General, Divorce (div), Inheritance (inh)</w:t>
            </w:r>
          </w:p>
        </w:tc>
      </w:tr>
      <w:tr>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Retrieval</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RAG Pipelines (×3)</w:t>
            </w:r>
          </w:p>
        </w:tc>
        <w:tc>
          <w:tcPr>
            <w:tcW w:type="dxa" w:w="54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Single / Multi-Agent / Hybrid agents query FAISS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Generation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OpenRouter GPT-4o-mini</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temp=0.2, max_tokens=512</w:t>
            </w:r>
          </w:p>
        </w:tc>
      </w:tr>
      <w:tr>
        <w:tc>
          <w:tcPr>
            <w:tcW w:type="dxa" w:w="1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Evaluation</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RAGAS Framework</w:t>
            </w:r>
          </w:p>
        </w:tc>
        <w:tc>
          <w:tcPr>
            <w:tcW w:type="dxa" w:w="54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5 metrics: precision, recall, faithfulness, relevancy, correctness</w:t>
            </w:r>
          </w:p>
        </w:tc>
      </w:tr>
    </w:tbl>
    <w:p>
      <w:pPr>
        <w:spacing w:before="120" w:after="0"/>
      </w:pPr>
    </w:p>
    <w:p>
      <w:pPr>
        <w:pStyle w:val="Heading2"/>
      </w:pPr>
      <w:r>
        <w:rPr>
          <w:rFonts w:ascii="Calibri" w:cs="Calibri" w:eastAsia="Calibri" w:hAnsi="Calibri"/>
          <w:b/>
          <w:bCs/>
          <w:color w:val="2980B9"/>
        </w:rPr>
        <w:t xml:space="preserve">Corpus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Jurisdiction</w:t>
            </w:r>
          </w:p>
        </w:tc>
        <w:tc>
          <w:tcPr>
            <w:tcW w:type="dxa" w:w="4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Legal Domains</w:t>
            </w:r>
          </w:p>
        </w:tc>
        <w:tc>
          <w:tcPr>
            <w:tcW w:type="dxa" w:w="31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Documents</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Estonia</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Divorce Law, Inheritance Law, Case Law</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~66+ articles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Italy</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Divorce Law, Inheritance Law, Case Law</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~66+ articles</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Slovenia</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Divorce Law, Inheritance Law, Case Law</w:t>
            </w:r>
          </w:p>
        </w:tc>
        <w:tc>
          <w:tcPr>
            <w:tcW w:type="dxa" w:w="31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~66+ articles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Total</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3 domains × 3 jurisdictions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200+ articles &amp; case law</w:t>
            </w:r>
          </w:p>
        </w:tc>
      </w:tr>
    </w:tbl>
    <w:p>
      <w:pPr>
        <w:spacing w:before="100" w:after="0"/>
      </w:pPr>
    </w:p>
    <w:p>
      <w:r>
        <w:br w:type="page"/>
      </w:r>
    </w:p>
    <w:p>
      <w:pPr>
        <w:pStyle w:val="Heading1"/>
      </w:pPr>
      <w:r>
        <w:rPr>
          <w:rFonts w:ascii="Calibri" w:cs="Calibri" w:eastAsia="Calibri" w:hAnsi="Calibri"/>
          <w:b/>
          <w:bCs/>
          <w:color w:val="1E3A5F"/>
        </w:rPr>
        <w:t xml:space="preserve">3. Agent Workflows</w:t>
      </w:r>
    </w:p>
    <w:p>
      <w:pPr>
        <w:pStyle w:val="Heading2"/>
      </w:pPr>
      <w:r>
        <w:rPr>
          <w:rFonts w:ascii="Calibri" w:cs="Calibri" w:eastAsia="Calibri" w:hAnsi="Calibri"/>
          <w:b/>
          <w:bCs/>
          <w:color w:val="2980B9"/>
        </w:rPr>
        <w:t xml:space="preserve">Agent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2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Single Agent</w:t>
            </w:r>
          </w:p>
        </w:tc>
        <w:tc>
          <w:tcPr>
            <w:tcW w:type="dxa" w:w="24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Multi-Agent</w:t>
            </w:r>
          </w:p>
        </w:tc>
        <w:tc>
          <w:tcPr>
            <w:tcW w:type="dxa" w:w="24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Hybrid Legal</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Architecture</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Linear pipeline</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Supervisor + Sub-agents</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Metadata-aware pipeline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Routing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None (single DB)</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LLM-based routing</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Schema-based filtering</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Synthesis</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Direct LLM answer</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Supervisor combines answers</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Schema-validated output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Retrieval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FAISS top-10</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FAISS per agent (top-10)</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FAISS + metadata filter</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Context Window</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4000 chars</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4000 chars per agent</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4000 chars + schema</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Failure Mode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Limited recall</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Hallucination in synthesis</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Over-filtering</w:t>
            </w:r>
          </w:p>
        </w:tc>
      </w:tr>
      <w:tr>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Complexity</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Low</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High</w:t>
            </w:r>
          </w:p>
        </w:tc>
        <w:tc>
          <w:tcPr>
            <w:tcW w:type="dxa" w:w="248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Medium</w:t>
            </w:r>
          </w:p>
        </w:tc>
      </w:tr>
    </w:tbl>
    <w:p>
      <w:pPr>
        <w:spacing w:before="120" w:after="0"/>
      </w:pPr>
    </w:p>
    <w:p>
      <w:pPr>
        <w:pStyle w:val="Heading2"/>
      </w:pPr>
      <w:r>
        <w:rPr>
          <w:rFonts w:ascii="Calibri" w:cs="Calibri" w:eastAsia="Calibri" w:hAnsi="Calibri"/>
          <w:b/>
          <w:bCs/>
          <w:color w:val="2980B9"/>
        </w:rPr>
        <w:t xml:space="preserve">Step-by-Step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2960"/>
      </w:tblGrid>
      <w:tr>
        <w:tc>
          <w:tcPr>
            <w:tcW w:type="dxa" w:w="6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9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Single Agent RAG</w:t>
            </w:r>
          </w:p>
        </w:tc>
        <w:tc>
          <w:tcPr>
            <w:tcW w:type="dxa" w:w="29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Multi-Agent RAG</w:t>
            </w:r>
          </w:p>
        </w:tc>
        <w:tc>
          <w:tcPr>
            <w:tcW w:type="dxa" w:w="29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Hybrid Legal RAG</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1</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Load RAGConfig &amp; LLM</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Init Supervisor LLM</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Extract legal metadata from question</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2</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Load embedding model</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Load all DB descriptions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LLM schema mapping (JSON validation)</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3</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Load FAISS vector store</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Profile DB metadata</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Build metadata filter (law, type, cost)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Semantic search (top-10)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Supervisor routes question to DB(s)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Load FAISS + semantic search (top-10)</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5</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Similarity filter (≥0.1)</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Sub-agents run Single RAG each</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Apply metadata hard filter</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6</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Build context (4000 chars)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Collect sub-agent answers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Re-rank results</w:t>
            </w:r>
          </w:p>
        </w:tc>
      </w:tr>
      <w:tr>
        <w:tc>
          <w:tcPr>
            <w:tcW w:type="dxa" w:w="6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7</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LLM inference (temp=0.2)</w:t>
            </w:r>
          </w:p>
        </w:tc>
        <w:tc>
          <w:tcPr>
            <w:tcW w:type="dxa" w:w="2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Supervisor synthesizes answers</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LLM structured generation</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8</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Return answer + sources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Return final answer + all sources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Return answer + metadata + sources</w:t>
            </w:r>
          </w:p>
        </w:tc>
      </w:tr>
    </w:tbl>
    <w:p>
      <w:pPr>
        <w:spacing w:before="100" w:after="0"/>
      </w:pPr>
    </w:p>
    <w:p>
      <w:r>
        <w:br w:type="page"/>
      </w:r>
    </w:p>
    <w:p>
      <w:pPr>
        <w:pStyle w:val="Heading1"/>
      </w:pPr>
      <w:r>
        <w:rPr>
          <w:rFonts w:ascii="Calibri" w:cs="Calibri" w:eastAsia="Calibri" w:hAnsi="Calibri"/>
          <w:b/>
          <w:bCs/>
          <w:color w:val="1E3A5F"/>
        </w:rPr>
        <w:t xml:space="preserve">4. Technical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w:t>
            </w:r>
          </w:p>
        </w:tc>
        <w:tc>
          <w:tcPr>
            <w:tcW w:type="dxa" w:w="2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c>
          <w:tcPr>
            <w:tcW w:type="dxa" w:w="33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LLM</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Provider</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OpenRouter</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OpenAI-compatible API</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LLM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Model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GPT-4o-mini</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Cost-efficient, strong reasoning</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LLM</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Temperature</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0.2</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Low randomness — deterministic answers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LLM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Max Tokens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512</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Concise legal answers</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Embeddings</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Model</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all-MiniLM-L6-v2</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384D, fast on CPU</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Embeddings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Device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CPU (forced)</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Reproducibility</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Embeddings</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Normalization</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L2</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Enables cosine similarity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Retrieval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Top-K</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10 documents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Balance coverage vs context size</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Retrieval</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Similarity Threshold</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0.1</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Filter poor matches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Retrieval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Context Window</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4000 chars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Fit within LLM context</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Vector Store</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Type</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FAISS</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Fast in-memory similarity search</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Evaluation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Framework</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RAGAS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5 RAG-specific metrics</w:t>
            </w:r>
          </w:p>
        </w:tc>
      </w:tr>
      <w:tr>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Evaluation</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Test Set</w:t>
            </w:r>
          </w:p>
        </w:tc>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30 QA pairs</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10 per agent type</w:t>
            </w:r>
          </w:p>
        </w:tc>
      </w:tr>
    </w:tbl>
    <w:p>
      <w:pPr>
        <w:spacing w:before="100" w:after="0"/>
      </w:pPr>
    </w:p>
    <w:p>
      <w:r>
        <w:br w:type="page"/>
      </w:r>
    </w:p>
    <w:p>
      <w:pPr>
        <w:pStyle w:val="Heading1"/>
      </w:pPr>
      <w:r>
        <w:rPr>
          <w:rFonts w:ascii="Calibri" w:cs="Calibri" w:eastAsia="Calibri" w:hAnsi="Calibri"/>
          <w:b/>
          <w:bCs/>
          <w:color w:val="1E3A5F"/>
        </w:rPr>
        <w:t xml:space="preserve">5. Performance Metrics Analysis</w:t>
      </w:r>
    </w:p>
    <w:p>
      <w:pPr>
        <w:pStyle w:val="Heading2"/>
      </w:pPr>
      <w:r>
        <w:rPr>
          <w:rFonts w:ascii="Calibri" w:cs="Calibri" w:eastAsia="Calibri" w:hAnsi="Calibri"/>
          <w:b/>
          <w:bCs/>
          <w:color w:val="2980B9"/>
        </w:rPr>
        <w:t xml:space="preserve">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c>
          <w:tcPr>
            <w:tcW w:type="dxa" w:w="21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4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Measures</w:t>
            </w:r>
          </w:p>
        </w:tc>
        <w:tc>
          <w:tcPr>
            <w:tcW w:type="dxa" w:w="30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Ideal Value</w:t>
            </w:r>
          </w:p>
        </w:tc>
      </w:tr>
      <w:tr>
        <w:tc>
          <w:tcPr>
            <w:tcW w:type="dxa" w:w="21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Context Precision</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Are retrieved documents relevant to the question?</w:t>
            </w:r>
          </w:p>
        </w:tc>
        <w:tc>
          <w:tcPr>
            <w:tcW w:type="dxa" w:w="3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1.0 (all retrieved docs relevant)</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Context Recall</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Does retrieved context cover the ground truth?</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1.0 (no ground truth missed)</w:t>
            </w:r>
          </w:p>
        </w:tc>
      </w:tr>
      <w:tr>
        <w:tc>
          <w:tcPr>
            <w:tcW w:type="dxa" w:w="21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Faithfulness</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Is the answer grounded in the retrieved context?</w:t>
            </w:r>
          </w:p>
        </w:tc>
        <w:tc>
          <w:tcPr>
            <w:tcW w:type="dxa" w:w="3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1.0 (no hallucination)</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Answer Relevancy</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Does the answer address the question asked?</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1.0 (on-topic response)</w:t>
            </w:r>
          </w:p>
        </w:tc>
      </w:tr>
      <w:tr>
        <w:tc>
          <w:tcPr>
            <w:tcW w:type="dxa" w:w="21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Answer Correctness</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Is the answer factually correct vs ground truth?</w:t>
            </w:r>
          </w:p>
        </w:tc>
        <w:tc>
          <w:tcPr>
            <w:tcW w:type="dxa" w:w="30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1.0 (fully accurate)</w:t>
            </w:r>
          </w:p>
        </w:tc>
      </w:tr>
    </w:tbl>
    <w:p>
      <w:pPr>
        <w:spacing w:before="120" w:after="0"/>
      </w:pPr>
    </w:p>
    <w:p>
      <w:pPr>
        <w:pStyle w:val="Heading2"/>
      </w:pPr>
      <w:r>
        <w:rPr>
          <w:rFonts w:ascii="Calibri" w:cs="Calibri" w:eastAsia="Calibri" w:hAnsi="Calibri"/>
          <w:b/>
          <w:bCs/>
          <w:color w:val="2980B9"/>
        </w:rPr>
        <w:t xml:space="preserve">Detailed Metric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2960"/>
      </w:tblGrid>
      <w:tr>
        <w:tc>
          <w:tcPr>
            <w:tcW w:type="dxa" w:w="19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1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Single (Rank)</w:t>
            </w:r>
          </w:p>
        </w:tc>
        <w:tc>
          <w:tcPr>
            <w:tcW w:type="dxa" w:w="1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Multi (Rank)</w:t>
            </w:r>
          </w:p>
        </w:tc>
        <w:tc>
          <w:tcPr>
            <w:tcW w:type="dxa" w:w="1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Hybrid (Rank)</w:t>
            </w:r>
          </w:p>
        </w:tc>
        <w:tc>
          <w:tcPr>
            <w:tcW w:type="dxa" w:w="29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Finding</w:t>
            </w:r>
          </w:p>
        </w:tc>
      </w:tr>
      <w:tr>
        <w:tc>
          <w:tcPr>
            <w:tcW w:type="dxa" w:w="1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context_precision</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0.800 🥇</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0.800 🥇</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0.800 🥇</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Tied — embedding quality not bottleneck</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context_recall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0.767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0.700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0.667 🥉</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Filtering reduces coverage by 10%</w:t>
            </w:r>
          </w:p>
        </w:tc>
      </w:tr>
      <w:tr>
        <w:tc>
          <w:tcPr>
            <w:tcW w:type="dxa" w:w="1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faithfulness</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0.827 🥇</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0.558 🥉</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0.685 🥈</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27% gap — synthesis causes hallucination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answer_relevancy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0.798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0.827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0.626 🥉</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Routing captures intent better</w:t>
            </w:r>
          </w:p>
        </w:tc>
      </w:tr>
      <w:tr>
        <w:tc>
          <w:tcPr>
            <w:tcW w:type="dxa" w:w="19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answer_correctness</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0.708 🥇</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0.706 🥈</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0.646 🥉</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Simplicity correlates with accuracy</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Overall Score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0.78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0.72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0.68 🥉</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Single Agent wins all-around</w:t>
            </w:r>
          </w:p>
        </w:tc>
      </w:tr>
    </w:tbl>
    <w:p>
      <w:pPr>
        <w:spacing w:before="100" w:after="0"/>
      </w:pPr>
    </w:p>
    <w:p>
      <w:r>
        <w:br w:type="page"/>
      </w:r>
    </w:p>
    <w:p>
      <w:pPr>
        <w:pStyle w:val="Heading1"/>
      </w:pPr>
      <w:r>
        <w:rPr>
          <w:rFonts w:ascii="Calibri" w:cs="Calibri" w:eastAsia="Calibri" w:hAnsi="Calibri"/>
          <w:b/>
          <w:bCs/>
          <w:color w:val="1E3A5F"/>
        </w:rPr>
        <w:t xml:space="preserve">6. Key Findings &amp;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2400"/>
        <w:gridCol w:w="2760"/>
      </w:tblGrid>
      <w:tr>
        <w:tc>
          <w:tcPr>
            <w:tcW w:type="dxa" w:w="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Finding</w:t>
            </w:r>
          </w:p>
        </w:tc>
        <w:tc>
          <w:tcPr>
            <w:tcW w:type="dxa" w:w="18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Evidence</w:t>
            </w:r>
          </w:p>
        </w:tc>
        <w:tc>
          <w:tcPr>
            <w:tcW w:type="dxa" w:w="2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Root Cause</w:t>
            </w:r>
          </w:p>
        </w:tc>
        <w:tc>
          <w:tcPr>
            <w:tcW w:type="dxa" w:w="27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Impact</w:t>
            </w:r>
          </w:p>
        </w:tc>
      </w:tr>
      <w:tr>
        <w:tc>
          <w:tcPr>
            <w:tcW w:type="dxa" w:w="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1</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Simplicity Wins</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Single Agent: 0.78 vs 0.72/0.68</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Fewer pipeline stages = fewer failure points</w:t>
            </w:r>
          </w:p>
        </w:tc>
        <w:tc>
          <w:tcPr>
            <w:tcW w:type="dxa" w:w="27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Deploy Single Agent for production</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Synthesis Causes Hallucination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Faithfulness: 0.827 → 0.558 (−27%)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Supervisor fills gaps with generated claims not in retrieved docs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Multi-Agent not production-safe</w:t>
            </w:r>
          </w:p>
        </w:tc>
      </w:tr>
      <w:tr>
        <w:tc>
          <w:tcPr>
            <w:tcW w:type="dxa" w:w="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3</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Hard Filters Hurt Recall</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Recall: 0.767 → 0.667 (−10%)</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Metadata schema filters out valid documents</w:t>
            </w:r>
          </w:p>
        </w:tc>
        <w:tc>
          <w:tcPr>
            <w:tcW w:type="dxa" w:w="27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Hybrid RAG misses relevant context</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Embedding Not the Bottleneck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Precision = 0.800 for all agents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All agents start with identical retrieval quality</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Don't upgrade embeddings — fix architecture</w:t>
            </w:r>
          </w:p>
        </w:tc>
      </w:tr>
      <w:tr>
        <w:tc>
          <w:tcPr>
            <w:tcW w:type="dxa" w:w="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5</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Legal Domain is Challenging</w:t>
            </w:r>
          </w:p>
        </w:tc>
        <w:tc>
          <w:tcPr>
            <w:tcW w:type="dxa" w:w="18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Best correctness: 70.8%</w:t>
            </w:r>
          </w:p>
        </w:tc>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Legal reasoning requires world knowledge beyond retrieved docs</w:t>
            </w:r>
          </w:p>
        </w:tc>
        <w:tc>
          <w:tcPr>
            <w:tcW w:type="dxa" w:w="27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Fine-tuning needed to reach 90%+</w:t>
            </w:r>
          </w:p>
        </w:tc>
      </w:tr>
    </w:tbl>
    <w:p>
      <w:pPr>
        <w:spacing w:before="100" w:after="0"/>
      </w:pPr>
    </w:p>
    <w:p>
      <w:r>
        <w:br w:type="page"/>
      </w:r>
    </w:p>
    <w:p>
      <w:pPr>
        <w:pStyle w:val="Heading1"/>
      </w:pPr>
      <w:r>
        <w:rPr>
          <w:rFonts w:ascii="Calibri" w:cs="Calibri" w:eastAsia="Calibri" w:hAnsi="Calibri"/>
          <w:b/>
          <w:bCs/>
          <w:color w:val="1E3A5F"/>
        </w:rPr>
        <w:t xml:space="preserve">7. Recommendations &amp; Roadmap</w:t>
      </w:r>
    </w:p>
    <w:p>
      <w:pPr>
        <w:pStyle w:val="Heading2"/>
      </w:pPr>
      <w:r>
        <w:rPr>
          <w:rFonts w:ascii="Calibri" w:cs="Calibri" w:eastAsia="Calibri" w:hAnsi="Calibri"/>
          <w:b/>
          <w:bCs/>
          <w:color w:val="2980B9"/>
        </w:rPr>
        <w:t xml:space="preserve">Immediate Actions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3960"/>
      </w:tblGrid>
      <w:tr>
        <w:tc>
          <w:tcPr>
            <w:tcW w:type="dxa" w:w="2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1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Priority</w:t>
            </w:r>
          </w:p>
        </w:tc>
        <w:tc>
          <w:tcPr>
            <w:tcW w:type="dxa" w:w="39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Reason</w:t>
            </w:r>
          </w:p>
        </w:tc>
      </w:tr>
      <w:tr>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 Deploy to production</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Single Agent RAG</w:t>
            </w:r>
          </w:p>
        </w:tc>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HIGH</w:t>
            </w:r>
          </w:p>
        </w:tc>
        <w:tc>
          <w:tcPr>
            <w:tcW w:type="dxa" w:w="3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Highest faithfulness (0.827) + correctness (0.708)</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 Keep experimental only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Multi-Agent RAG</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HIGH</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Faithfulness 0.558 — hallucination risk</w:t>
            </w:r>
          </w:p>
        </w:tc>
      </w:tr>
      <w:tr>
        <w:tc>
          <w:tcPr>
            <w:tcW w:type="dxa" w:w="24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 Shelve pending redesign</w:t>
            </w:r>
          </w:p>
        </w:tc>
        <w:tc>
          <w:tcPr>
            <w:tcW w:type="dxa" w:w="2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Hybrid Legal RAG</w:t>
            </w:r>
          </w:p>
        </w:tc>
        <w:tc>
          <w:tcPr>
            <w:tcW w:type="dxa" w:w="10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MEDIUM</w:t>
            </w:r>
          </w:p>
        </w:tc>
        <w:tc>
          <w:tcPr>
            <w:tcW w:type="dxa" w:w="3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Lowest correctness 0.646; over-constrained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 Update agent selection docs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All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MEDIUM</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Clarify which agent to use per use case</w:t>
            </w:r>
          </w:p>
        </w:tc>
      </w:tr>
    </w:tbl>
    <w:p>
      <w:pPr>
        <w:spacing w:before="120" w:after="0"/>
      </w:pPr>
    </w:p>
    <w:p>
      <w:pPr>
        <w:pStyle w:val="Heading2"/>
      </w:pPr>
      <w:r>
        <w:rPr>
          <w:rFonts w:ascii="Calibri" w:cs="Calibri" w:eastAsia="Calibri" w:hAnsi="Calibri"/>
          <w:b/>
          <w:bCs/>
          <w:color w:val="2980B9"/>
        </w:rPr>
        <w:t xml:space="preserve">3-Month Improvement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500"/>
        <w:gridCol w:w="3360"/>
      </w:tblGrid>
      <w:tr>
        <w:tc>
          <w:tcPr>
            <w:tcW w:type="dxa" w:w="13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Timeline</w:t>
            </w:r>
          </w:p>
        </w:tc>
        <w:tc>
          <w:tcPr>
            <w:tcW w:type="dxa" w:w="3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Task</w:t>
            </w:r>
          </w:p>
        </w:tc>
        <w:tc>
          <w:tcPr>
            <w:tcW w:type="dxa" w:w="1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33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Expected Improvement</w:t>
            </w:r>
          </w:p>
        </w:tc>
      </w:tr>
      <w:tr>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Week 1</w:t>
            </w:r>
          </w:p>
        </w:tc>
        <w:tc>
          <w:tcPr>
            <w:tcW w:type="dxa" w:w="3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Deploy Single Agent</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Single</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Immediate production value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Weeks 2–3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Multi-Agent architecture review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Multi</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Identify hallucination sources</w:t>
            </w:r>
          </w:p>
        </w:tc>
      </w:tr>
      <w:tr>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Weeks 2–3</w:t>
            </w:r>
          </w:p>
        </w:tc>
        <w:tc>
          <w:tcPr>
            <w:tcW w:type="dxa" w:w="3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Implement constrained synthesis</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Multi</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Faithfulness target: ≥0.75</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Weeks 3–4</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Switch to soft metadata filtering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Hybrid</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Recall target: ≥0.73</w:t>
            </w:r>
          </w:p>
        </w:tc>
      </w:tr>
      <w:tr>
        <w:tc>
          <w:tcPr>
            <w:tcW w:type="dxa" w:w="13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Weeks 4+</w:t>
            </w:r>
          </w:p>
        </w:tc>
        <w:tc>
          <w:tcPr>
            <w:tcW w:type="dxa" w:w="3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Extended evaluation (top-20, top-50)</w:t>
            </w:r>
          </w:p>
        </w:tc>
        <w:tc>
          <w:tcPr>
            <w:tcW w:type="dxa" w:w="1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All</w:t>
            </w:r>
          </w:p>
        </w:tc>
        <w:tc>
          <w:tcPr>
            <w:tcW w:type="dxa" w:w="33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Understand scaling behavior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Month 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Cross-jurisdiction error analysis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All</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Identify jurisdiction-specific gaps</w:t>
            </w:r>
          </w:p>
        </w:tc>
      </w:tr>
    </w:tbl>
    <w:p>
      <w:pPr>
        <w:spacing w:before="120" w:after="0"/>
      </w:pPr>
    </w:p>
    <w:p>
      <w:pPr>
        <w:pStyle w:val="Heading2"/>
      </w:pPr>
      <w:r>
        <w:rPr>
          <w:rFonts w:ascii="Calibri" w:cs="Calibri" w:eastAsia="Calibri" w:hAnsi="Calibri"/>
          <w:b/>
          <w:bCs/>
          <w:color w:val="2980B9"/>
        </w:rPr>
        <w:t xml:space="preserve">One-Year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Initiative</w:t>
            </w:r>
          </w:p>
        </w:tc>
        <w:tc>
          <w:tcPr>
            <w:tcW w:type="dxa" w:w="4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29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Target Metric</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Hybrid Ensemble</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Combine all three agents with learned weighting</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All metrics ≥ 0.80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Domain Fine-tuning</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Custom embeddings &amp; LLM on legal domain data</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Correctness ≥ 0.90</w:t>
            </w:r>
          </w:p>
        </w:tc>
      </w:tr>
      <w:tr>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Constrained Multi-Agent</w:t>
            </w:r>
          </w:p>
        </w:tc>
        <w:tc>
          <w:tcPr>
            <w:tcW w:type="dxa" w:w="4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Formal verification of synthesis claims</w:t>
            </w:r>
          </w:p>
        </w:tc>
        <w:tc>
          <w:tcPr>
            <w:tcW w:type="dxa" w:w="29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Faithfulness ≥ 0.80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Hierarchical Retrieval</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Metadata-first then semantic re-ranking</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Recall ≥ 0.80</w:t>
            </w:r>
          </w:p>
        </w:tc>
      </w:tr>
    </w:tbl>
    <w:p>
      <w:pPr>
        <w:spacing w:before="100" w:after="0"/>
      </w:pPr>
    </w:p>
    <w:p>
      <w:r>
        <w:br w:type="page"/>
      </w:r>
    </w:p>
    <w:p>
      <w:pPr>
        <w:pStyle w:val="Heading1"/>
      </w:pPr>
      <w:r>
        <w:rPr>
          <w:rFonts w:ascii="Calibri" w:cs="Calibri" w:eastAsia="Calibri" w:hAnsi="Calibri"/>
          <w:b/>
          <w:bCs/>
          <w:color w:val="1E3A5F"/>
        </w:rPr>
        <w:t xml:space="preserve">8.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560"/>
      </w:tblGrid>
      <w:tr>
        <w:tc>
          <w:tcPr>
            <w:tcW w:type="dxa" w:w="25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2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Weighted Score</w:t>
            </w:r>
          </w:p>
        </w:tc>
        <w:tc>
          <w:tcPr>
            <w:tcW w:type="dxa" w:w="21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c>
          <w:tcPr>
            <w:tcW w:type="dxa" w:w="25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Recommended Action</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Single Agent RAG</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0.78 / 1.00 (78%)</w:t>
            </w:r>
          </w:p>
        </w:tc>
        <w:tc>
          <w:tcPr>
            <w:tcW w:type="dxa" w:w="21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 Production Ready</w:t>
            </w:r>
          </w:p>
        </w:tc>
        <w:tc>
          <w:tcPr>
            <w:tcW w:type="dxa" w:w="25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Deploy immediately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Calibri" w:cs="Calibri" w:eastAsia="Calibri" w:hAnsi="Calibri"/>
                <w:sz w:val="20"/>
                <w:szCs w:val="20"/>
              </w:rPr>
              <w:t xml:space="preserve">Multi-Agent RAG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0.72 / 1.00 (72%)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 Experimental</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Redesign synthesis layer</w:t>
            </w:r>
          </w:p>
        </w:tc>
      </w:tr>
      <w:tr>
        <w:tc>
          <w:tcPr>
            <w:tcW w:type="dxa" w:w="25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left"/>
            </w:pPr>
            <w:r>
              <w:rPr>
                <w:rFonts w:ascii="Calibri" w:cs="Calibri" w:eastAsia="Calibri" w:hAnsi="Calibri"/>
                <w:sz w:val="20"/>
                <w:szCs w:val="20"/>
              </w:rPr>
              <w:t xml:space="preserve">Hybrid Legal RAG</w:t>
            </w:r>
          </w:p>
        </w:tc>
        <w:tc>
          <w:tcPr>
            <w:tcW w:type="dxa" w:w="22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0.68 / 1.00 (68%)</w:t>
            </w:r>
          </w:p>
        </w:tc>
        <w:tc>
          <w:tcPr>
            <w:tcW w:type="dxa" w:w="210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 Shelved</w:t>
            </w:r>
          </w:p>
        </w:tc>
        <w:tc>
          <w:tcPr>
            <w:tcW w:type="dxa" w:w="2560"/>
            <w:tcBorders>
              <w:top w:val="single" w:color="AAAAAA" w:sz="1"/>
              <w:left w:val="single" w:color="AAAAAA" w:sz="1"/>
              <w:bottom w:val="single" w:color="AAAAAA" w:sz="1"/>
              <w:right w:val="single" w:color="AAAAAA" w:sz="1"/>
            </w:tcBorders>
            <w:shd w:fill="F2F3F4" w:val="clear"/>
            <w:tcMar>
              <w:top w:type="dxa" w:w="60"/>
              <w:left w:type="dxa" w:w="120"/>
              <w:bottom w:type="dxa" w:w="60"/>
              <w:right w:type="dxa" w:w="120"/>
            </w:tcMar>
          </w:tcPr>
          <w:p>
            <w:pPr>
              <w:jc w:val="center"/>
            </w:pPr>
            <w:r>
              <w:rPr>
                <w:rFonts w:ascii="Calibri" w:cs="Calibri" w:eastAsia="Calibri" w:hAnsi="Calibri"/>
                <w:sz w:val="20"/>
                <w:szCs w:val="20"/>
              </w:rPr>
              <w:t xml:space="preserve">Switch to soft filtering</w:t>
            </w:r>
          </w:p>
        </w:tc>
      </w:tr>
    </w:tbl>
    <w:p>
      <w:pPr>
        <w:spacing w:before="120" w:after="0"/>
      </w:pPr>
    </w:p>
    <w:p>
      <w:pPr>
        <w:spacing w:before="60" w:after="60"/>
      </w:pPr>
      <w:r>
        <w:rPr>
          <w:rFonts w:ascii="Calibri" w:cs="Calibri" w:eastAsia="Calibri" w:hAnsi="Calibri"/>
          <w:sz w:val="22"/>
          <w:szCs w:val="22"/>
        </w:rPr>
        <w:t xml:space="preserve">The Single Agent RAG is the clear winner for production deployment. While more complex architectures offer appealing capabilities (intelligent routing, metadata-awareness), they introduce failure modes that degrade answer quality. The path forward is incremental: deploy the reliable baseline, systematically fix the architectures, and eventually combine them into a robust ensemble.</w:t>
      </w:r>
    </w:p>
    <w:p>
      <w:pPr>
        <w:spacing w:before="60" w:after="0"/>
      </w:pPr>
    </w:p>
    <w:p>
      <w:pPr>
        <w:spacing w:before="60" w:after="60"/>
      </w:pPr>
      <w:r>
        <w:rPr>
          <w:rFonts w:ascii="Calibri" w:cs="Calibri" w:eastAsia="Calibri" w:hAnsi="Calibri"/>
          <w:i/>
          <w:iCs/>
          <w:color w:val="888888"/>
          <w:sz w:val="22"/>
          <w:szCs w:val="22"/>
        </w:rPr>
        <w:t xml:space="preserve">Evaluation Period: 30 QA pairs | RAGAS Framework | February 23,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pBdr>
      <w:tabs>
        <w:tab w:val="right" w:pos="9360"/>
      </w:tabs>
    </w:pPr>
    <w:r>
      <w:rPr>
        <w:rFonts w:ascii="Calibri" w:cs="Calibri" w:eastAsia="Calibri" w:hAnsi="Calibri"/>
        <w:color w:val="999999"/>
        <w:sz w:val="16"/>
        <w:szCs w:val="16"/>
      </w:rPr>
      <w:t xml:space="preserve">Confidential | Internal Report</w:t>
    </w:r>
    <w:r>
      <w:rPr>
        <w:rFonts w:ascii="Calibri" w:cs="Calibri" w:eastAsia="Calibri" w:hAnsi="Calibri"/>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pPr>
    <w:r>
      <w:rPr>
        <w:rFonts w:ascii="Calibri" w:cs="Calibri" w:eastAsia="Calibri" w:hAnsi="Calibri"/>
        <w:color w:val="666666"/>
        <w:sz w:val="18"/>
        <w:szCs w:val="18"/>
      </w:rPr>
      <w:t xml:space="preserve">Agentic RAG Project | Legal Document Analysis</w:t>
    </w:r>
    <w:r>
      <w:rPr>
        <w:rFonts w:ascii="Calibri" w:cs="Calibri" w:eastAsia="Calibri" w:hAnsi="Calibri"/>
        <w:color w:val="999999"/>
        <w:sz w:val="18"/>
        <w:szCs w:val="18"/>
      </w:rPr>
      <w:t xml:space="preserv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Calibri" w:cs="Calibri" w:eastAsia="Calibri" w:hAnsi="Calibri"/>
      <w:b/>
      <w:bCs/>
      <w:color w:val="1E3A5F"/>
      <w:sz w:val="36"/>
      <w:szCs w:val="36"/>
    </w:rPr>
  </w:style>
  <w:style w:type="paragraph" w:styleId="Heading2">
    <w:name w:val="Heading 2"/>
    <w:basedOn w:val="Normal"/>
    <w:next w:val="Normal"/>
    <w:pPr>
      <w:spacing w:before="240" w:after="120"/>
      <w:outlineLvl w:val="1"/>
    </w:pPr>
    <w:rPr>
      <w:rFonts w:ascii="Calibri" w:cs="Calibri" w:eastAsia="Calibri" w:hAnsi="Calibri"/>
      <w:b/>
      <w:bCs/>
      <w:color w:val="2980B9"/>
      <w:sz w:val="28"/>
      <w:szCs w:val="28"/>
    </w:rPr>
  </w:style>
  <w:style w:type="paragraph" w:styleId="Heading3">
    <w:name w:val="Heading 3"/>
    <w:basedOn w:val="Normal"/>
    <w:next w:val="Normal"/>
    <w:pPr>
      <w:spacing w:before="160" w:after="8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2026-02-23T18:58:10.465Z</dcterms:created>
  <dcterms:modified xsi:type="dcterms:W3CDTF">2026-02-23T18:58:10.467Z</dcterms:modified>
</cp:coreProperties>
</file>

<file path=docProps/custom.xml><?xml version="1.0" encoding="utf-8"?>
<Properties xmlns="http://schemas.openxmlformats.org/officeDocument/2006/custom-properties" xmlns:vt="http://schemas.openxmlformats.org/officeDocument/2006/docPropsVTypes"/>
</file>